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FF5304">
      <w:pPr>
        <w:pageBreakBefore w:val="0"/>
        <w:kinsoku/>
        <w:overflowPunct/>
        <w:topLinePunct w:val="0"/>
        <w:bidi w:val="0"/>
        <w:ind w:left="0" w:leftChars="0" w:right="0"/>
        <w:jc w:val="center"/>
        <w:rPr>
          <w:rFonts w:hint="default" w:ascii="Times New Roman" w:hAnsi="Times New Roman" w:cs="Times New Roman"/>
          <w:color w:val="000000" w:themeColor="text1"/>
          <w:sz w:val="72"/>
          <w:szCs w:val="72"/>
          <w14:textFill>
            <w14:solidFill>
              <w14:schemeClr w14:val="tx1"/>
            </w14:solidFill>
          </w14:textFill>
        </w:rPr>
      </w:pPr>
      <w:bookmarkStart w:id="0" w:name="_Toc27577"/>
      <w:bookmarkStart w:id="1" w:name="_Toc10516"/>
      <w:bookmarkStart w:id="24" w:name="_GoBack"/>
      <w:bookmarkEnd w:id="24"/>
    </w:p>
    <w:p w14:paraId="31F2E70D">
      <w:pPr>
        <w:pageBreakBefore w:val="0"/>
        <w:kinsoku/>
        <w:overflowPunct/>
        <w:topLinePunct w:val="0"/>
        <w:bidi w:val="0"/>
        <w:ind w:left="0" w:leftChars="0" w:right="0"/>
        <w:jc w:val="center"/>
        <w:rPr>
          <w:rFonts w:hint="default" w:ascii="Times New Roman" w:hAnsi="Times New Roman" w:cs="Times New Roman"/>
          <w:b/>
          <w:bCs/>
          <w:color w:val="000000" w:themeColor="text1"/>
          <w:sz w:val="72"/>
          <w:szCs w:val="72"/>
          <w14:textFill>
            <w14:solidFill>
              <w14:schemeClr w14:val="tx1"/>
            </w14:solidFill>
          </w14:textFill>
        </w:rPr>
      </w:pPr>
      <w:r>
        <w:rPr>
          <w:rFonts w:hint="default" w:ascii="Times New Roman" w:hAnsi="Times New Roman" w:cs="Times New Roman"/>
          <w:b/>
          <w:bCs/>
          <w:color w:val="000000" w:themeColor="text1"/>
          <w:sz w:val="72"/>
          <w:szCs w:val="72"/>
          <w14:textFill>
            <w14:solidFill>
              <w14:schemeClr w14:val="tx1"/>
            </w14:solidFill>
          </w14:textFill>
        </w:rPr>
        <w:t>建设项目环境影响报告表</w:t>
      </w:r>
      <w:bookmarkEnd w:id="0"/>
      <w:bookmarkEnd w:id="1"/>
    </w:p>
    <w:p w14:paraId="39F98851">
      <w:pPr>
        <w:pageBreakBefore w:val="0"/>
        <w:kinsoku/>
        <w:overflowPunct/>
        <w:topLinePunct w:val="0"/>
        <w:bidi w:val="0"/>
        <w:adjustRightInd w:val="0"/>
        <w:snapToGrid w:val="0"/>
        <w:ind w:left="0" w:leftChars="0" w:right="0"/>
        <w:jc w:val="center"/>
        <w:rPr>
          <w:rFonts w:hint="default" w:ascii="Times New Roman" w:hAnsi="Times New Roman" w:cs="Times New Roman"/>
          <w:b/>
          <w:bCs/>
          <w:color w:val="000000" w:themeColor="text1"/>
          <w:sz w:val="44"/>
          <w:szCs w:val="44"/>
          <w14:textFill>
            <w14:solidFill>
              <w14:schemeClr w14:val="tx1"/>
            </w14:solidFill>
          </w14:textFill>
        </w:rPr>
      </w:pPr>
      <w:r>
        <w:rPr>
          <w:rFonts w:hint="default" w:ascii="Times New Roman" w:hAnsi="Times New Roman" w:cs="Times New Roman"/>
          <w:b/>
          <w:bCs/>
          <w:color w:val="000000" w:themeColor="text1"/>
          <w:sz w:val="44"/>
          <w:szCs w:val="44"/>
          <w14:textFill>
            <w14:solidFill>
              <w14:schemeClr w14:val="tx1"/>
            </w14:solidFill>
          </w14:textFill>
        </w:rPr>
        <w:t>（污染影响类）</w:t>
      </w:r>
    </w:p>
    <w:p w14:paraId="53E6F226">
      <w:pPr>
        <w:pageBreakBefore w:val="0"/>
        <w:kinsoku/>
        <w:overflowPunct/>
        <w:topLinePunct w:val="0"/>
        <w:bidi w:val="0"/>
        <w:adjustRightInd w:val="0"/>
        <w:snapToGrid w:val="0"/>
        <w:spacing w:line="288" w:lineRule="auto"/>
        <w:ind w:left="0" w:leftChars="0" w:right="0" w:firstLine="1040"/>
        <w:rPr>
          <w:rFonts w:hint="default" w:ascii="Times New Roman" w:hAnsi="Times New Roman" w:eastAsia="宋体" w:cs="Times New Roman"/>
          <w:color w:val="000000" w:themeColor="text1"/>
          <w:sz w:val="36"/>
          <w:szCs w:val="36"/>
          <w:lang w:val="en-US" w:eastAsia="zh-CN"/>
          <w14:textFill>
            <w14:solidFill>
              <w14:schemeClr w14:val="tx1"/>
            </w14:solidFill>
          </w14:textFill>
        </w:rPr>
      </w:pPr>
    </w:p>
    <w:p w14:paraId="5CAD5BBC">
      <w:pPr>
        <w:pageBreakBefore w:val="0"/>
        <w:kinsoku/>
        <w:overflowPunct/>
        <w:topLinePunct w:val="0"/>
        <w:bidi w:val="0"/>
        <w:adjustRightInd w:val="0"/>
        <w:snapToGrid w:val="0"/>
        <w:spacing w:line="288" w:lineRule="auto"/>
        <w:ind w:left="0" w:leftChars="0" w:right="0" w:firstLine="1040"/>
        <w:rPr>
          <w:rFonts w:hint="default" w:ascii="Times New Roman" w:hAnsi="Times New Roman" w:cs="Times New Roman"/>
          <w:color w:val="000000" w:themeColor="text1"/>
          <w:sz w:val="36"/>
          <w:szCs w:val="36"/>
          <w14:textFill>
            <w14:solidFill>
              <w14:schemeClr w14:val="tx1"/>
            </w14:solidFill>
          </w14:textFill>
        </w:rPr>
      </w:pPr>
    </w:p>
    <w:p w14:paraId="2C1D3DBB">
      <w:pPr>
        <w:pageBreakBefore w:val="0"/>
        <w:kinsoku/>
        <w:overflowPunct/>
        <w:topLinePunct w:val="0"/>
        <w:bidi w:val="0"/>
        <w:adjustRightInd w:val="0"/>
        <w:snapToGrid w:val="0"/>
        <w:spacing w:line="288" w:lineRule="auto"/>
        <w:ind w:left="0" w:leftChars="0" w:right="0" w:firstLine="1040"/>
        <w:rPr>
          <w:rFonts w:hint="default" w:ascii="Times New Roman" w:hAnsi="Times New Roman" w:cs="Times New Roman"/>
          <w:color w:val="000000" w:themeColor="text1"/>
          <w:sz w:val="36"/>
          <w:szCs w:val="36"/>
          <w14:textFill>
            <w14:solidFill>
              <w14:schemeClr w14:val="tx1"/>
            </w14:solidFill>
          </w14:textFill>
        </w:rPr>
      </w:pPr>
    </w:p>
    <w:p w14:paraId="32C0252F">
      <w:pPr>
        <w:pageBreakBefore w:val="0"/>
        <w:kinsoku/>
        <w:overflowPunct/>
        <w:topLinePunct w:val="0"/>
        <w:bidi w:val="0"/>
        <w:adjustRightInd w:val="0"/>
        <w:snapToGrid w:val="0"/>
        <w:spacing w:line="288" w:lineRule="auto"/>
        <w:ind w:left="0" w:leftChars="0" w:right="0" w:firstLine="1040"/>
        <w:rPr>
          <w:rFonts w:hint="default" w:ascii="Times New Roman" w:hAnsi="Times New Roman" w:cs="Times New Roman"/>
          <w:color w:val="000000" w:themeColor="text1"/>
          <w:sz w:val="36"/>
          <w:szCs w:val="36"/>
          <w14:textFill>
            <w14:solidFill>
              <w14:schemeClr w14:val="tx1"/>
            </w14:solidFill>
          </w14:textFill>
        </w:rPr>
      </w:pPr>
    </w:p>
    <w:p w14:paraId="02E0A1DE">
      <w:pPr>
        <w:pageBreakBefore w:val="0"/>
        <w:kinsoku/>
        <w:overflowPunct/>
        <w:topLinePunct w:val="0"/>
        <w:bidi w:val="0"/>
        <w:ind w:left="0" w:leftChars="0" w:right="0" w:firstLine="1040"/>
        <w:jc w:val="center"/>
        <w:rPr>
          <w:rFonts w:hint="default" w:ascii="Times New Roman" w:hAnsi="Times New Roman" w:cs="Times New Roman"/>
          <w:color w:val="000000" w:themeColor="text1"/>
          <w:sz w:val="36"/>
          <w:szCs w:val="36"/>
          <w14:textFill>
            <w14:solidFill>
              <w14:schemeClr w14:val="tx1"/>
            </w14:solidFill>
          </w14:textFill>
        </w:rPr>
      </w:pPr>
    </w:p>
    <w:p w14:paraId="00971A23">
      <w:pPr>
        <w:keepNext w:val="0"/>
        <w:keepLines w:val="0"/>
        <w:pageBreakBefore w:val="0"/>
        <w:widowControl w:val="0"/>
        <w:kinsoku/>
        <w:wordWrap/>
        <w:overflowPunct/>
        <w:topLinePunct w:val="0"/>
        <w:autoSpaceDE/>
        <w:autoSpaceDN/>
        <w:bidi w:val="0"/>
        <w:adjustRightInd w:val="0"/>
        <w:snapToGrid w:val="0"/>
        <w:spacing w:line="360" w:lineRule="auto"/>
        <w:ind w:right="0" w:firstLine="281" w:firstLineChars="100"/>
        <w:jc w:val="both"/>
        <w:textAlignment w:val="auto"/>
        <w:rPr>
          <w:rFonts w:hint="default" w:ascii="Times New Roman" w:hAnsi="Times New Roman" w:cs="Times New Roman"/>
          <w:b/>
          <w:bCs/>
          <w:color w:val="000000" w:themeColor="text1"/>
          <w:sz w:val="28"/>
          <w:szCs w:val="28"/>
          <w:u w:val="single"/>
          <w:lang w:val="en-US" w:eastAsia="zh-CN"/>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项目名称：</w:t>
      </w:r>
      <w:r>
        <w:rPr>
          <w:rFonts w:hint="default" w:ascii="Times New Roman" w:hAnsi="Times New Roman" w:cs="Times New Roman"/>
          <w:b/>
          <w:bCs/>
          <w:color w:val="000000" w:themeColor="text1"/>
          <w:sz w:val="28"/>
          <w:szCs w:val="28"/>
          <w:u w:val="single"/>
          <w:lang w:val="en-US" w:eastAsia="zh-CN"/>
          <w14:textFill>
            <w14:solidFill>
              <w14:schemeClr w14:val="tx1"/>
            </w14:solidFill>
          </w14:textFill>
        </w:rPr>
        <w:t>玉溪市宏兴液化石油气瓶检测中心钢瓶检测迁建项目</w:t>
      </w:r>
    </w:p>
    <w:p w14:paraId="14B4A1B0">
      <w:pPr>
        <w:keepNext w:val="0"/>
        <w:keepLines w:val="0"/>
        <w:pageBreakBefore w:val="0"/>
        <w:widowControl w:val="0"/>
        <w:kinsoku/>
        <w:wordWrap/>
        <w:overflowPunct/>
        <w:topLinePunct w:val="0"/>
        <w:autoSpaceDE/>
        <w:autoSpaceDN/>
        <w:bidi w:val="0"/>
        <w:adjustRightInd w:val="0"/>
        <w:snapToGrid w:val="0"/>
        <w:spacing w:line="360" w:lineRule="auto"/>
        <w:ind w:right="0" w:firstLine="281" w:firstLineChars="100"/>
        <w:jc w:val="both"/>
        <w:textAlignment w:val="auto"/>
        <w:rPr>
          <w:rFonts w:hint="default" w:ascii="Times New Roman" w:hAnsi="Times New Roman" w:cs="Times New Roman"/>
          <w:b/>
          <w:bCs/>
          <w:color w:val="000000" w:themeColor="text1"/>
          <w:sz w:val="28"/>
          <w:szCs w:val="28"/>
          <w:u w:val="single"/>
          <w:lang w:val="en-US" w:eastAsia="zh-CN"/>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建设单位（盖章）：</w:t>
      </w:r>
      <w:r>
        <w:rPr>
          <w:rFonts w:hint="default" w:ascii="Times New Roman" w:hAnsi="Times New Roman" w:cs="Times New Roman"/>
          <w:b/>
          <w:bCs/>
          <w:color w:val="000000" w:themeColor="text1"/>
          <w:sz w:val="28"/>
          <w:szCs w:val="28"/>
          <w:u w:val="single"/>
          <w:lang w:val="en-US" w:eastAsia="zh-CN"/>
          <w14:textFill>
            <w14:solidFill>
              <w14:schemeClr w14:val="tx1"/>
            </w14:solidFill>
          </w14:textFill>
        </w:rPr>
        <w:t>玉溪市宏兴液化石油气瓶检测中心</w:t>
      </w:r>
    </w:p>
    <w:p w14:paraId="5C44384E">
      <w:pPr>
        <w:keepNext w:val="0"/>
        <w:keepLines w:val="0"/>
        <w:pageBreakBefore w:val="0"/>
        <w:widowControl w:val="0"/>
        <w:kinsoku/>
        <w:wordWrap/>
        <w:overflowPunct/>
        <w:topLinePunct w:val="0"/>
        <w:autoSpaceDE/>
        <w:autoSpaceDN/>
        <w:bidi w:val="0"/>
        <w:adjustRightInd w:val="0"/>
        <w:snapToGrid w:val="0"/>
        <w:spacing w:line="360" w:lineRule="auto"/>
        <w:ind w:right="0" w:firstLine="281" w:firstLineChars="100"/>
        <w:jc w:val="both"/>
        <w:textAlignment w:val="auto"/>
        <w:rPr>
          <w:rFonts w:hint="default" w:ascii="Times New Roman" w:hAnsi="Times New Roman" w:eastAsia="宋体" w:cs="Times New Roman"/>
          <w:b/>
          <w:bCs/>
          <w:color w:val="000000" w:themeColor="text1"/>
          <w:sz w:val="28"/>
          <w:szCs w:val="28"/>
          <w:u w:val="single"/>
          <w:lang w:val="en-US" w:eastAsia="zh-CN"/>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编制日期：</w:t>
      </w:r>
      <w:r>
        <w:rPr>
          <w:rFonts w:hint="default" w:ascii="Times New Roman" w:hAnsi="Times New Roman" w:cs="Times New Roman"/>
          <w:b/>
          <w:bCs/>
          <w:color w:val="000000" w:themeColor="text1"/>
          <w:sz w:val="28"/>
          <w:szCs w:val="28"/>
          <w:u w:val="single"/>
          <w14:textFill>
            <w14:solidFill>
              <w14:schemeClr w14:val="tx1"/>
            </w14:solidFill>
          </w14:textFill>
        </w:rPr>
        <w:t>202</w:t>
      </w:r>
      <w:r>
        <w:rPr>
          <w:rFonts w:hint="default" w:ascii="Times New Roman" w:hAnsi="Times New Roman" w:cs="Times New Roman"/>
          <w:b/>
          <w:bCs/>
          <w:color w:val="000000" w:themeColor="text1"/>
          <w:sz w:val="28"/>
          <w:szCs w:val="28"/>
          <w:u w:val="single"/>
          <w:lang w:val="en-US" w:eastAsia="zh-CN"/>
          <w14:textFill>
            <w14:solidFill>
              <w14:schemeClr w14:val="tx1"/>
            </w14:solidFill>
          </w14:textFill>
        </w:rPr>
        <w:t>5</w:t>
      </w:r>
      <w:r>
        <w:rPr>
          <w:rFonts w:hint="default" w:ascii="Times New Roman" w:hAnsi="Times New Roman" w:cs="Times New Roman"/>
          <w:b/>
          <w:bCs/>
          <w:color w:val="000000" w:themeColor="text1"/>
          <w:sz w:val="28"/>
          <w:szCs w:val="28"/>
          <w:u w:val="single"/>
          <w14:textFill>
            <w14:solidFill>
              <w14:schemeClr w14:val="tx1"/>
            </w14:solidFill>
          </w14:textFill>
        </w:rPr>
        <w:t>年</w:t>
      </w:r>
      <w:r>
        <w:rPr>
          <w:rFonts w:hint="eastAsia" w:cs="Times New Roman"/>
          <w:b/>
          <w:bCs/>
          <w:color w:val="000000" w:themeColor="text1"/>
          <w:sz w:val="28"/>
          <w:szCs w:val="28"/>
          <w:u w:val="single"/>
          <w:lang w:val="en-US" w:eastAsia="zh-CN"/>
          <w14:textFill>
            <w14:solidFill>
              <w14:schemeClr w14:val="tx1"/>
            </w14:solidFill>
          </w14:textFill>
        </w:rPr>
        <w:t>8</w:t>
      </w:r>
      <w:r>
        <w:rPr>
          <w:rFonts w:hint="default" w:ascii="Times New Roman" w:hAnsi="Times New Roman" w:cs="Times New Roman"/>
          <w:b/>
          <w:bCs/>
          <w:color w:val="000000" w:themeColor="text1"/>
          <w:sz w:val="28"/>
          <w:szCs w:val="28"/>
          <w:u w:val="single"/>
          <w14:textFill>
            <w14:solidFill>
              <w14:schemeClr w14:val="tx1"/>
            </w14:solidFill>
          </w14:textFill>
        </w:rPr>
        <w:t>月</w:t>
      </w:r>
    </w:p>
    <w:p w14:paraId="72BF256D">
      <w:pPr>
        <w:pageBreakBefore w:val="0"/>
        <w:kinsoku/>
        <w:overflowPunct/>
        <w:topLinePunct w:val="0"/>
        <w:bidi w:val="0"/>
        <w:adjustRightInd w:val="0"/>
        <w:snapToGrid w:val="0"/>
        <w:spacing w:line="288" w:lineRule="auto"/>
        <w:ind w:left="0" w:leftChars="0" w:right="0" w:firstLine="1040"/>
        <w:jc w:val="center"/>
        <w:rPr>
          <w:rFonts w:hint="default" w:ascii="Times New Roman" w:hAnsi="Times New Roman" w:cs="Times New Roman"/>
          <w:color w:val="000000" w:themeColor="text1"/>
          <w:sz w:val="36"/>
          <w:szCs w:val="36"/>
          <w:u w:val="single"/>
          <w14:textFill>
            <w14:solidFill>
              <w14:schemeClr w14:val="tx1"/>
            </w14:solidFill>
          </w14:textFill>
        </w:rPr>
      </w:pPr>
      <w:bookmarkStart w:id="2" w:name="_Hlk57884087"/>
    </w:p>
    <w:p w14:paraId="6E349484">
      <w:pPr>
        <w:pageBreakBefore w:val="0"/>
        <w:kinsoku/>
        <w:overflowPunct/>
        <w:topLinePunct w:val="0"/>
        <w:bidi w:val="0"/>
        <w:adjustRightInd w:val="0"/>
        <w:snapToGrid w:val="0"/>
        <w:spacing w:line="288" w:lineRule="auto"/>
        <w:ind w:left="0" w:leftChars="0" w:right="0" w:firstLine="1040"/>
        <w:rPr>
          <w:rFonts w:hint="default" w:ascii="Times New Roman" w:hAnsi="Times New Roman" w:cs="Times New Roman"/>
          <w:color w:val="000000" w:themeColor="text1"/>
          <w:sz w:val="36"/>
          <w:szCs w:val="36"/>
          <w14:textFill>
            <w14:solidFill>
              <w14:schemeClr w14:val="tx1"/>
            </w14:solidFill>
          </w14:textFill>
        </w:rPr>
      </w:pPr>
    </w:p>
    <w:p w14:paraId="462B41AB">
      <w:pPr>
        <w:pageBreakBefore w:val="0"/>
        <w:kinsoku/>
        <w:overflowPunct/>
        <w:topLinePunct w:val="0"/>
        <w:bidi w:val="0"/>
        <w:adjustRightInd w:val="0"/>
        <w:snapToGrid w:val="0"/>
        <w:spacing w:line="288" w:lineRule="auto"/>
        <w:ind w:left="0" w:leftChars="0" w:right="0" w:firstLine="1040"/>
        <w:rPr>
          <w:rFonts w:hint="default" w:ascii="Times New Roman" w:hAnsi="Times New Roman" w:cs="Times New Roman"/>
          <w:color w:val="000000" w:themeColor="text1"/>
          <w:sz w:val="36"/>
          <w:szCs w:val="36"/>
          <w14:textFill>
            <w14:solidFill>
              <w14:schemeClr w14:val="tx1"/>
            </w14:solidFill>
          </w14:textFill>
        </w:rPr>
      </w:pPr>
    </w:p>
    <w:p w14:paraId="5BBCB5DB">
      <w:pPr>
        <w:pageBreakBefore w:val="0"/>
        <w:kinsoku/>
        <w:overflowPunct/>
        <w:topLinePunct w:val="0"/>
        <w:bidi w:val="0"/>
        <w:adjustRightInd w:val="0"/>
        <w:snapToGrid w:val="0"/>
        <w:spacing w:line="288" w:lineRule="auto"/>
        <w:ind w:left="0" w:leftChars="0" w:right="0" w:firstLine="1040"/>
        <w:rPr>
          <w:rFonts w:hint="default" w:ascii="Times New Roman" w:hAnsi="Times New Roman" w:cs="Times New Roman"/>
          <w:color w:val="000000" w:themeColor="text1"/>
          <w:sz w:val="36"/>
          <w:szCs w:val="36"/>
          <w:u w:val="single"/>
          <w14:textFill>
            <w14:solidFill>
              <w14:schemeClr w14:val="tx1"/>
            </w14:solidFill>
          </w14:textFill>
        </w:rPr>
      </w:pPr>
    </w:p>
    <w:p w14:paraId="4CE6E692">
      <w:pPr>
        <w:pageBreakBefore w:val="0"/>
        <w:kinsoku/>
        <w:overflowPunct/>
        <w:topLinePunct w:val="0"/>
        <w:bidi w:val="0"/>
        <w:adjustRightInd w:val="0"/>
        <w:snapToGrid w:val="0"/>
        <w:spacing w:line="288" w:lineRule="auto"/>
        <w:ind w:left="0" w:leftChars="0" w:right="0" w:firstLine="1040"/>
        <w:rPr>
          <w:rFonts w:hint="default" w:ascii="Times New Roman" w:hAnsi="Times New Roman" w:cs="Times New Roman"/>
          <w:color w:val="000000" w:themeColor="text1"/>
          <w:sz w:val="36"/>
          <w:szCs w:val="36"/>
          <w:u w:val="single"/>
          <w14:textFill>
            <w14:solidFill>
              <w14:schemeClr w14:val="tx1"/>
            </w14:solidFill>
          </w14:textFill>
        </w:rPr>
      </w:pPr>
    </w:p>
    <w:p w14:paraId="72ED8ED8">
      <w:pPr>
        <w:pageBreakBefore w:val="0"/>
        <w:kinsoku/>
        <w:overflowPunct/>
        <w:topLinePunct w:val="0"/>
        <w:bidi w:val="0"/>
        <w:adjustRightInd w:val="0"/>
        <w:snapToGrid w:val="0"/>
        <w:spacing w:line="288" w:lineRule="auto"/>
        <w:ind w:left="0" w:leftChars="0" w:right="0" w:firstLine="1040"/>
        <w:rPr>
          <w:rFonts w:hint="default" w:ascii="Times New Roman" w:hAnsi="Times New Roman" w:cs="Times New Roman"/>
          <w:color w:val="000000" w:themeColor="text1"/>
          <w:sz w:val="36"/>
          <w:szCs w:val="36"/>
          <w:u w:val="single"/>
          <w14:textFill>
            <w14:solidFill>
              <w14:schemeClr w14:val="tx1"/>
            </w14:solidFill>
          </w14:textFill>
        </w:rPr>
      </w:pPr>
    </w:p>
    <w:p w14:paraId="0E90FB7F">
      <w:pPr>
        <w:pageBreakBefore w:val="0"/>
        <w:kinsoku/>
        <w:overflowPunct/>
        <w:topLinePunct w:val="0"/>
        <w:bidi w:val="0"/>
        <w:adjustRightInd w:val="0"/>
        <w:snapToGrid w:val="0"/>
        <w:spacing w:line="288" w:lineRule="auto"/>
        <w:ind w:left="0" w:leftChars="0" w:right="0" w:firstLine="1040"/>
        <w:rPr>
          <w:rFonts w:hint="default" w:ascii="Times New Roman" w:hAnsi="Times New Roman" w:cs="Times New Roman"/>
          <w:color w:val="000000" w:themeColor="text1"/>
          <w:sz w:val="36"/>
          <w:szCs w:val="36"/>
          <w14:textFill>
            <w14:solidFill>
              <w14:schemeClr w14:val="tx1"/>
            </w14:solidFill>
          </w14:textFill>
        </w:rPr>
      </w:pPr>
    </w:p>
    <w:bookmarkEnd w:id="2"/>
    <w:p w14:paraId="68F9C93F">
      <w:pPr>
        <w:pageBreakBefore w:val="0"/>
        <w:kinsoku/>
        <w:overflowPunct/>
        <w:topLinePunct w:val="0"/>
        <w:bidi w:val="0"/>
        <w:adjustRightInd w:val="0"/>
        <w:snapToGrid w:val="0"/>
        <w:spacing w:line="288" w:lineRule="auto"/>
        <w:ind w:left="0" w:leftChars="0" w:right="0"/>
        <w:jc w:val="center"/>
        <w:rPr>
          <w:rFonts w:hint="default" w:ascii="Times New Roman" w:hAnsi="Times New Roman" w:eastAsia="宋体" w:cs="Times New Roman"/>
          <w:b/>
          <w:bCs/>
          <w:color w:val="000000" w:themeColor="text1"/>
          <w:sz w:val="36"/>
          <w:szCs w:val="36"/>
          <w:lang w:val="en-US" w:eastAsia="zh-CN"/>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cs="Times New Roman"/>
          <w:b/>
          <w:bCs/>
          <w:color w:val="000000" w:themeColor="text1"/>
          <w:sz w:val="36"/>
          <w:szCs w:val="36"/>
          <w14:textFill>
            <w14:solidFill>
              <w14:schemeClr w14:val="tx1"/>
            </w14:solidFill>
          </w14:textFill>
        </w:rPr>
        <w:t>中华人民共和国生态环境部制</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14:paraId="79211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42E6B186">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default" w:ascii="Times New Roman" w:hAnsi="Times New Roman" w:eastAsia="宋体" w:cs="Times New Roman"/>
                <w:b/>
                <w:bCs/>
                <w:color w:val="000000" w:themeColor="text1"/>
                <w:sz w:val="24"/>
                <w:szCs w:val="24"/>
                <w:vertAlign w:val="baseline"/>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391160</wp:posOffset>
                      </wp:positionH>
                      <wp:positionV relativeFrom="paragraph">
                        <wp:posOffset>944880</wp:posOffset>
                      </wp:positionV>
                      <wp:extent cx="1153160" cy="30734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153160" cy="307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C127A8">
                                  <w:pPr>
                                    <w:rPr>
                                      <w:rFonts w:hint="eastAsia" w:eastAsia="宋体"/>
                                      <w:b/>
                                      <w:bCs/>
                                      <w:color w:val="FFC000"/>
                                      <w:lang w:eastAsia="zh-CN"/>
                                    </w:rPr>
                                  </w:pPr>
                                  <w:r>
                                    <w:rPr>
                                      <w:rFonts w:hint="eastAsia"/>
                                      <w:b/>
                                      <w:bCs/>
                                      <w:color w:val="FFC000"/>
                                      <w:lang w:eastAsia="zh-CN"/>
                                    </w:rPr>
                                    <w:t>本项目租用范围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pt;margin-top:74.4pt;height:24.2pt;width:90.8pt;z-index:251665408;mso-width-relative:page;mso-height-relative:page;" filled="f" stroked="f" coordsize="21600,21600" o:gfxdata="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&#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etBOXaAAAACgEAAA8AAAAAAAAAAQAgAAAAIgAAAGRy&#10;cy9kb3ducmV2LnhtbFBLAQIUABQAAAAIAIdO4kAXZsltPAIAAGgEAAAOAAAAAAAAAAEAIAAAACkB&#10;AABkcnMvZTJvRG9jLnhtbFBLBQYAAAAABgAGAFkBAADXBQAAAAA=&#10;">
                      <v:fill on="f" focussize="0,0"/>
                      <v:stroke on="f" weight="0.5pt"/>
                      <v:imagedata o:title=""/>
                      <o:lock v:ext="edit" aspectratio="f"/>
                      <v:textbox>
                        <w:txbxContent>
                          <w:p w14:paraId="39C127A8">
                            <w:pPr>
                              <w:rPr>
                                <w:rFonts w:hint="eastAsia" w:eastAsia="宋体"/>
                                <w:b/>
                                <w:bCs/>
                                <w:color w:val="FFC000"/>
                                <w:lang w:eastAsia="zh-CN"/>
                              </w:rPr>
                            </w:pPr>
                            <w:r>
                              <w:rPr>
                                <w:rFonts w:hint="eastAsia"/>
                                <w:b/>
                                <w:bCs/>
                                <w:color w:val="FFC000"/>
                                <w:lang w:eastAsia="zh-CN"/>
                              </w:rPr>
                              <w:t>本项目租用范围</w:t>
                            </w:r>
                          </w:p>
                        </w:txbxContent>
                      </v:textbox>
                    </v:shape>
                  </w:pict>
                </mc:Fallback>
              </mc:AlternateContent>
            </w:r>
            <w:r>
              <w:rPr>
                <w:rFonts w:hint="default" w:ascii="Times New Roman" w:hAnsi="Times New Roman" w:cs="Times New Roman"/>
                <w:color w:val="000000" w:themeColor="text1"/>
                <w:sz w:val="24"/>
                <w:szCs w:val="24"/>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471805</wp:posOffset>
                      </wp:positionH>
                      <wp:positionV relativeFrom="paragraph">
                        <wp:posOffset>284480</wp:posOffset>
                      </wp:positionV>
                      <wp:extent cx="1153160" cy="307340"/>
                      <wp:effectExtent l="0" t="0" r="0" b="0"/>
                      <wp:wrapNone/>
                      <wp:docPr id="31" name="文本框 31"/>
                      <wp:cNvGraphicFramePr/>
                      <a:graphic xmlns:a="http://schemas.openxmlformats.org/drawingml/2006/main">
                        <a:graphicData uri="http://schemas.microsoft.com/office/word/2010/wordprocessingShape">
                          <wps:wsp>
                            <wps:cNvSpPr txBox="1"/>
                            <wps:spPr>
                              <a:xfrm>
                                <a:off x="2121535" y="1370965"/>
                                <a:ext cx="1153160" cy="307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FB3ADD">
                                  <w:pPr>
                                    <w:rPr>
                                      <w:rFonts w:hint="eastAsia" w:eastAsia="宋体"/>
                                      <w:b/>
                                      <w:bCs/>
                                      <w:color w:val="FF0000"/>
                                      <w:lang w:eastAsia="zh-CN"/>
                                    </w:rPr>
                                  </w:pPr>
                                  <w:r>
                                    <w:rPr>
                                      <w:rFonts w:hint="eastAsia"/>
                                      <w:b/>
                                      <w:bCs/>
                                      <w:color w:val="FF0000"/>
                                      <w:lang w:eastAsia="zh-CN"/>
                                    </w:rPr>
                                    <w:t>浩峰公司范围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5pt;margin-top:22.4pt;height:24.2pt;width:90.8pt;z-index:251664384;mso-width-relative:page;mso-height-relative:page;" filled="f" stroked="f" coordsize="21600,21600" o:gfxdata="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b1qUraAAAACAEAAA8AAAAAAAAA&#10;AQAgAAAAIgAAAGRycy9kb3ducmV2LnhtbFBLAQIUABQAAAAIAIdO4kDjrr6+SAIAAHQEAAAOAAAA&#10;AAAAAAEAIAAAACkBAABkcnMvZTJvRG9jLnhtbFBLBQYAAAAABgAGAFkBAADjBQAAAAA=&#10;">
                      <v:fill on="f" focussize="0,0"/>
                      <v:stroke on="f" weight="0.5pt"/>
                      <v:imagedata o:title=""/>
                      <o:lock v:ext="edit" aspectratio="f"/>
                      <v:textbox>
                        <w:txbxContent>
                          <w:p w14:paraId="6FFB3ADD">
                            <w:pPr>
                              <w:rPr>
                                <w:rFonts w:hint="eastAsia" w:eastAsia="宋体"/>
                                <w:b/>
                                <w:bCs/>
                                <w:color w:val="FF0000"/>
                                <w:lang w:eastAsia="zh-CN"/>
                              </w:rPr>
                            </w:pPr>
                            <w:r>
                              <w:rPr>
                                <w:rFonts w:hint="eastAsia"/>
                                <w:b/>
                                <w:bCs/>
                                <w:color w:val="FF0000"/>
                                <w:lang w:eastAsia="zh-CN"/>
                              </w:rPr>
                              <w:t>浩峰公司范围</w:t>
                            </w:r>
                          </w:p>
                        </w:txbxContent>
                      </v:textbox>
                    </v:shape>
                  </w:pict>
                </mc:Fallback>
              </mc:AlternateContent>
            </w:r>
            <w:r>
              <w:rPr>
                <w:rFonts w:hint="default" w:ascii="Times New Roman" w:hAnsi="Times New Roman" w:cs="Times New Roman"/>
                <w:color w:val="000000" w:themeColor="text1"/>
                <w:sz w:val="24"/>
                <w:szCs w:val="24"/>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32385</wp:posOffset>
                      </wp:positionH>
                      <wp:positionV relativeFrom="paragraph">
                        <wp:posOffset>516890</wp:posOffset>
                      </wp:positionV>
                      <wp:extent cx="2089150" cy="964565"/>
                      <wp:effectExtent l="12700" t="12700" r="12700" b="13335"/>
                      <wp:wrapNone/>
                      <wp:docPr id="28" name="任意多边形 28"/>
                      <wp:cNvGraphicFramePr/>
                      <a:graphic xmlns:a="http://schemas.openxmlformats.org/drawingml/2006/main">
                        <a:graphicData uri="http://schemas.microsoft.com/office/word/2010/wordprocessingShape">
                          <wps:wsp>
                            <wps:cNvSpPr/>
                            <wps:spPr>
                              <a:xfrm>
                                <a:off x="0" y="0"/>
                                <a:ext cx="2089150" cy="964565"/>
                              </a:xfrm>
                              <a:custGeom>
                                <a:avLst/>
                                <a:gdLst>
                                  <a:gd name="connisteX0" fmla="*/ 0 w 6008370"/>
                                  <a:gd name="connsiteY0" fmla="*/ 674370 h 2755265"/>
                                  <a:gd name="connisteX1" fmla="*/ 1428750 w 6008370"/>
                                  <a:gd name="connsiteY1" fmla="*/ 2169160 h 2755265"/>
                                  <a:gd name="connisteX2" fmla="*/ 1567815 w 6008370"/>
                                  <a:gd name="connsiteY2" fmla="*/ 2080895 h 2755265"/>
                                  <a:gd name="connisteX3" fmla="*/ 2263775 w 6008370"/>
                                  <a:gd name="connsiteY3" fmla="*/ 1934210 h 2755265"/>
                                  <a:gd name="connisteX4" fmla="*/ 3707130 w 6008370"/>
                                  <a:gd name="connsiteY4" fmla="*/ 2249805 h 2755265"/>
                                  <a:gd name="connisteX5" fmla="*/ 3722370 w 6008370"/>
                                  <a:gd name="connsiteY5" fmla="*/ 2190750 h 2755265"/>
                                  <a:gd name="connisteX6" fmla="*/ 3876040 w 6008370"/>
                                  <a:gd name="connsiteY6" fmla="*/ 2227580 h 2755265"/>
                                  <a:gd name="connisteX7" fmla="*/ 3890645 w 6008370"/>
                                  <a:gd name="connsiteY7" fmla="*/ 2110105 h 2755265"/>
                                  <a:gd name="connisteX8" fmla="*/ 4498975 w 6008370"/>
                                  <a:gd name="connsiteY8" fmla="*/ 2242185 h 2755265"/>
                                  <a:gd name="connisteX9" fmla="*/ 4454525 w 6008370"/>
                                  <a:gd name="connsiteY9" fmla="*/ 2513330 h 2755265"/>
                                  <a:gd name="connisteX10" fmla="*/ 5341620 w 6008370"/>
                                  <a:gd name="connsiteY10" fmla="*/ 2689225 h 2755265"/>
                                  <a:gd name="connisteX11" fmla="*/ 5414645 w 6008370"/>
                                  <a:gd name="connsiteY11" fmla="*/ 2637790 h 2755265"/>
                                  <a:gd name="connisteX12" fmla="*/ 5480685 w 6008370"/>
                                  <a:gd name="connsiteY12" fmla="*/ 2755265 h 2755265"/>
                                  <a:gd name="connisteX13" fmla="*/ 5810250 w 6008370"/>
                                  <a:gd name="connsiteY13" fmla="*/ 2410460 h 2755265"/>
                                  <a:gd name="connisteX14" fmla="*/ 6008370 w 6008370"/>
                                  <a:gd name="connsiteY14" fmla="*/ 1817370 h 2755265"/>
                                  <a:gd name="connisteX15" fmla="*/ 5986145 w 6008370"/>
                                  <a:gd name="connsiteY15" fmla="*/ 1685290 h 2755265"/>
                                  <a:gd name="connisteX16" fmla="*/ 5927725 w 6008370"/>
                                  <a:gd name="connsiteY16" fmla="*/ 1524000 h 2755265"/>
                                  <a:gd name="connisteX17" fmla="*/ 5832475 w 6008370"/>
                                  <a:gd name="connsiteY17" fmla="*/ 1333500 h 2755265"/>
                                  <a:gd name="connisteX18" fmla="*/ 5597525 w 6008370"/>
                                  <a:gd name="connsiteY18" fmla="*/ 1143000 h 2755265"/>
                                  <a:gd name="connisteX19" fmla="*/ 5436870 w 6008370"/>
                                  <a:gd name="connsiteY19" fmla="*/ 1062355 h 2755265"/>
                                  <a:gd name="connisteX20" fmla="*/ 5070475 w 6008370"/>
                                  <a:gd name="connsiteY20" fmla="*/ 1011555 h 2755265"/>
                                  <a:gd name="connisteX21" fmla="*/ 4528185 w 6008370"/>
                                  <a:gd name="connsiteY21" fmla="*/ 1033145 h 2755265"/>
                                  <a:gd name="connisteX22" fmla="*/ 4323080 w 6008370"/>
                                  <a:gd name="connsiteY22" fmla="*/ 1047750 h 2755265"/>
                                  <a:gd name="connisteX23" fmla="*/ 3985895 w 6008370"/>
                                  <a:gd name="connsiteY23" fmla="*/ 908685 h 2755265"/>
                                  <a:gd name="connisteX24" fmla="*/ 2828290 w 6008370"/>
                                  <a:gd name="connsiteY24" fmla="*/ 381000 h 2755265"/>
                                  <a:gd name="connisteX25" fmla="*/ 2022475 w 6008370"/>
                                  <a:gd name="connsiteY25" fmla="*/ 154305 h 2755265"/>
                                  <a:gd name="connisteX26" fmla="*/ 1736725 w 6008370"/>
                                  <a:gd name="connsiteY26" fmla="*/ 73660 h 2755265"/>
                                  <a:gd name="connisteX27" fmla="*/ 1377315 w 6008370"/>
                                  <a:gd name="connsiteY27" fmla="*/ 0 h 2755265"/>
                                  <a:gd name="connisteX28" fmla="*/ 1223645 w 6008370"/>
                                  <a:gd name="connsiteY28" fmla="*/ 0 h 2755265"/>
                                  <a:gd name="connisteX29" fmla="*/ 1120775 w 6008370"/>
                                  <a:gd name="connsiteY29" fmla="*/ 0 h 2755265"/>
                                  <a:gd name="connisteX30" fmla="*/ 996315 w 6008370"/>
                                  <a:gd name="connsiteY30" fmla="*/ 29210 h 2755265"/>
                                  <a:gd name="connisteX31" fmla="*/ 762000 w 6008370"/>
                                  <a:gd name="connsiteY31" fmla="*/ 132080 h 2755265"/>
                                  <a:gd name="connisteX32" fmla="*/ 424815 w 6008370"/>
                                  <a:gd name="connsiteY32" fmla="*/ 359410 h 2755265"/>
                                  <a:gd name="connisteX33" fmla="*/ 73025 w 6008370"/>
                                  <a:gd name="connsiteY33" fmla="*/ 608330 h 2755265"/>
                                  <a:gd name="connisteX34" fmla="*/ 0 w 6008370"/>
                                  <a:gd name="connsiteY34" fmla="*/ 674370 h 275526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 ang="0">
                                    <a:pos x="connisteX30" y="connsiteY30"/>
                                  </a:cxn>
                                  <a:cxn ang="0">
                                    <a:pos x="connisteX31" y="connsiteY31"/>
                                  </a:cxn>
                                  <a:cxn ang="0">
                                    <a:pos x="connisteX32" y="connsiteY32"/>
                                  </a:cxn>
                                  <a:cxn ang="0">
                                    <a:pos x="connisteX33" y="connsiteY33"/>
                                  </a:cxn>
                                  <a:cxn ang="0">
                                    <a:pos x="connisteX34" y="connsiteY34"/>
                                  </a:cxn>
                                </a:cxnLst>
                                <a:rect l="l" t="t" r="r" b="b"/>
                                <a:pathLst>
                                  <a:path w="6008370" h="2755265">
                                    <a:moveTo>
                                      <a:pt x="0" y="674370"/>
                                    </a:moveTo>
                                    <a:lnTo>
                                      <a:pt x="1428750" y="2169160"/>
                                    </a:lnTo>
                                    <a:lnTo>
                                      <a:pt x="1567815" y="2080895"/>
                                    </a:lnTo>
                                    <a:lnTo>
                                      <a:pt x="2263775" y="1934210"/>
                                    </a:lnTo>
                                    <a:lnTo>
                                      <a:pt x="3707130" y="2249805"/>
                                    </a:lnTo>
                                    <a:lnTo>
                                      <a:pt x="3722370" y="2190750"/>
                                    </a:lnTo>
                                    <a:lnTo>
                                      <a:pt x="3876040" y="2227580"/>
                                    </a:lnTo>
                                    <a:lnTo>
                                      <a:pt x="3890645" y="2110105"/>
                                    </a:lnTo>
                                    <a:lnTo>
                                      <a:pt x="4498975" y="2242185"/>
                                    </a:lnTo>
                                    <a:lnTo>
                                      <a:pt x="4454525" y="2513330"/>
                                    </a:lnTo>
                                    <a:lnTo>
                                      <a:pt x="5341620" y="2689225"/>
                                    </a:lnTo>
                                    <a:lnTo>
                                      <a:pt x="5414645" y="2637790"/>
                                    </a:lnTo>
                                    <a:lnTo>
                                      <a:pt x="5480685" y="2755265"/>
                                    </a:lnTo>
                                    <a:lnTo>
                                      <a:pt x="5810250" y="2410460"/>
                                    </a:lnTo>
                                    <a:lnTo>
                                      <a:pt x="6008370" y="1817370"/>
                                    </a:lnTo>
                                    <a:lnTo>
                                      <a:pt x="5986145" y="1685290"/>
                                    </a:lnTo>
                                    <a:lnTo>
                                      <a:pt x="5927725" y="1524000"/>
                                    </a:lnTo>
                                    <a:lnTo>
                                      <a:pt x="5832475" y="1333500"/>
                                    </a:lnTo>
                                    <a:lnTo>
                                      <a:pt x="5597525" y="1143000"/>
                                    </a:lnTo>
                                    <a:lnTo>
                                      <a:pt x="5436870" y="1062355"/>
                                    </a:lnTo>
                                    <a:lnTo>
                                      <a:pt x="5070475" y="1011555"/>
                                    </a:lnTo>
                                    <a:lnTo>
                                      <a:pt x="4528185" y="1033145"/>
                                    </a:lnTo>
                                    <a:lnTo>
                                      <a:pt x="4323080" y="1047750"/>
                                    </a:lnTo>
                                    <a:lnTo>
                                      <a:pt x="3985895" y="908685"/>
                                    </a:lnTo>
                                    <a:lnTo>
                                      <a:pt x="2828290" y="381000"/>
                                    </a:lnTo>
                                    <a:lnTo>
                                      <a:pt x="2022475" y="154305"/>
                                    </a:lnTo>
                                    <a:lnTo>
                                      <a:pt x="1736725" y="73660"/>
                                    </a:lnTo>
                                    <a:lnTo>
                                      <a:pt x="1377315" y="0"/>
                                    </a:lnTo>
                                    <a:lnTo>
                                      <a:pt x="1223645" y="0"/>
                                    </a:lnTo>
                                    <a:lnTo>
                                      <a:pt x="1120775" y="0"/>
                                    </a:lnTo>
                                    <a:lnTo>
                                      <a:pt x="996315" y="29210"/>
                                    </a:lnTo>
                                    <a:lnTo>
                                      <a:pt x="762000" y="132080"/>
                                    </a:lnTo>
                                    <a:lnTo>
                                      <a:pt x="424815" y="359410"/>
                                    </a:lnTo>
                                    <a:lnTo>
                                      <a:pt x="73025" y="608330"/>
                                    </a:lnTo>
                                    <a:lnTo>
                                      <a:pt x="0" y="674370"/>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55pt;margin-top:40.7pt;height:75.95pt;width:164.5pt;z-index:251662336;mso-width-relative:page;mso-height-relative:page;" filled="f" stroked="t" coordsize="6008370,2755265" o:gfxdata="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" path="m0,674370l1428750,2169160,1567815,2080895,2263775,1934210,3707130,2249805,3722370,2190750,3876040,2227580,3890645,2110105,4498975,2242185,4454525,2513330,5341620,2689225,5414645,2637790,5480685,2755265,5810250,2410460,6008370,1817370,5986145,1685290,5927725,1524000,5832475,1333500,5597525,1143000,5436870,1062355,5070475,1011555,4528185,1033145,4323080,1047750,3985895,908685,2828290,381000,2022475,154305,1736725,73660,1377315,0,1223645,0,1120775,0,996315,29210,762000,132080,424815,359410,73025,608330,0,674370xe">
                      <v:path o:connectlocs="0,236083;496785,759380;545139,728481;787129,677129;1288993,787613;1294292,766939;1347724,779832;1352803,738706;1564323,784945;1548867,879868;1857316,941445;1882707,923439;1905670,964565;2020262,843855;2089150,636226;2081422,589987;2061109,533522;2027990,466832;1946296,400142;1890435,371909;1763037,354125;1574479,361684;1503163,366797;1385922,318113;983415,133380;703227,54019;603870,25786;478901,0;425469,0;389700,0;346425,10225;264952,46238;147710,125822;25391,212964;0,236083" o:connectangles="0,0,0,0,0,0,0,0,0,0,0,0,0,0,0,0,0,0,0,0,0,0,0,0,0,0,0,0,0,0,0,0,0,0,0"/>
                      <v:fill on="f" focussize="0,0"/>
                      <v:stroke weight="2pt" color="#FF0000 [2404]" joinstyle="round"/>
                      <v:imagedata o:title=""/>
                      <o:lock v:ext="edit" aspectratio="f"/>
                    </v:shape>
                  </w:pict>
                </mc:Fallback>
              </mc:AlternateContent>
            </w:r>
            <w:r>
              <w:rPr>
                <w:rFonts w:hint="default" w:ascii="Times New Roman" w:hAnsi="Times New Roman" w:cs="Times New Roman"/>
                <w:color w:val="000000" w:themeColor="text1"/>
                <w:sz w:val="24"/>
                <w:szCs w:val="24"/>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401320</wp:posOffset>
                      </wp:positionH>
                      <wp:positionV relativeFrom="paragraph">
                        <wp:posOffset>883920</wp:posOffset>
                      </wp:positionV>
                      <wp:extent cx="1213485" cy="400050"/>
                      <wp:effectExtent l="12700" t="12700" r="31115" b="25400"/>
                      <wp:wrapNone/>
                      <wp:docPr id="38" name="任意多边形 38"/>
                      <wp:cNvGraphicFramePr/>
                      <a:graphic xmlns:a="http://schemas.openxmlformats.org/drawingml/2006/main">
                        <a:graphicData uri="http://schemas.microsoft.com/office/word/2010/wordprocessingShape">
                          <wps:wsp>
                            <wps:cNvSpPr/>
                            <wps:spPr>
                              <a:xfrm>
                                <a:off x="0" y="0"/>
                                <a:ext cx="1213485" cy="400050"/>
                              </a:xfrm>
                              <a:custGeom>
                                <a:avLst/>
                                <a:gdLst>
                                  <a:gd name="connisteX0" fmla="*/ 3941445 w 4058920"/>
                                  <a:gd name="connsiteY0" fmla="*/ 1333500 h 1457960"/>
                                  <a:gd name="connisteX1" fmla="*/ 3590290 w 4058920"/>
                                  <a:gd name="connsiteY1" fmla="*/ 1259840 h 1457960"/>
                                  <a:gd name="connisteX2" fmla="*/ 3553460 w 4058920"/>
                                  <a:gd name="connsiteY2" fmla="*/ 1399540 h 1457960"/>
                                  <a:gd name="connisteX3" fmla="*/ 3384550 w 4058920"/>
                                  <a:gd name="connsiteY3" fmla="*/ 1384300 h 1457960"/>
                                  <a:gd name="connisteX4" fmla="*/ 3355340 w 4058920"/>
                                  <a:gd name="connsiteY4" fmla="*/ 1457960 h 1457960"/>
                                  <a:gd name="connisteX5" fmla="*/ 1530985 w 4058920"/>
                                  <a:gd name="connsiteY5" fmla="*/ 1025525 h 1457960"/>
                                  <a:gd name="connisteX6" fmla="*/ 644525 w 4058920"/>
                                  <a:gd name="connsiteY6" fmla="*/ 1230630 h 1457960"/>
                                  <a:gd name="connisteX7" fmla="*/ 505460 w 4058920"/>
                                  <a:gd name="connsiteY7" fmla="*/ 1318895 h 1457960"/>
                                  <a:gd name="connisteX8" fmla="*/ 0 w 4058920"/>
                                  <a:gd name="connsiteY8" fmla="*/ 754380 h 1457960"/>
                                  <a:gd name="connisteX9" fmla="*/ 1501775 w 4058920"/>
                                  <a:gd name="connsiteY9" fmla="*/ 0 h 1457960"/>
                                  <a:gd name="connisteX10" fmla="*/ 4058920 w 4058920"/>
                                  <a:gd name="connsiteY10" fmla="*/ 600710 h 1457960"/>
                                  <a:gd name="connisteX11" fmla="*/ 3941445 w 4058920"/>
                                  <a:gd name="connsiteY11" fmla="*/ 1333500 h 145796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Lst>
                                <a:rect l="l" t="t" r="r" b="b"/>
                                <a:pathLst>
                                  <a:path w="4058920" h="1457960">
                                    <a:moveTo>
                                      <a:pt x="3941445" y="1333500"/>
                                    </a:moveTo>
                                    <a:lnTo>
                                      <a:pt x="3590290" y="1259840"/>
                                    </a:lnTo>
                                    <a:lnTo>
                                      <a:pt x="3553460" y="1399540"/>
                                    </a:lnTo>
                                    <a:lnTo>
                                      <a:pt x="3384550" y="1384300"/>
                                    </a:lnTo>
                                    <a:lnTo>
                                      <a:pt x="3355340" y="1457960"/>
                                    </a:lnTo>
                                    <a:lnTo>
                                      <a:pt x="1530985" y="1025525"/>
                                    </a:lnTo>
                                    <a:lnTo>
                                      <a:pt x="644525" y="1230630"/>
                                    </a:lnTo>
                                    <a:lnTo>
                                      <a:pt x="505460" y="1318895"/>
                                    </a:lnTo>
                                    <a:lnTo>
                                      <a:pt x="0" y="754380"/>
                                    </a:lnTo>
                                    <a:lnTo>
                                      <a:pt x="1501775" y="0"/>
                                    </a:lnTo>
                                    <a:lnTo>
                                      <a:pt x="4058920" y="600710"/>
                                    </a:lnTo>
                                    <a:lnTo>
                                      <a:pt x="3941445" y="1333500"/>
                                    </a:lnTo>
                                    <a:close/>
                                  </a:path>
                                </a:pathLst>
                              </a:custGeom>
                              <a:noFill/>
                              <a:ln w="25400" cmpd="sng">
                                <a:solidFill>
                                  <a:srgbClr val="FFC000"/>
                                </a:solidFill>
                                <a:prstDash val="solid"/>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1.6pt;margin-top:69.6pt;height:31.5pt;width:95.55pt;z-index:251663360;mso-width-relative:page;mso-height-relative:page;" filled="f" stroked="t" coordsize="4058920,1457960" o:gfxdata="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" path="m3941445,1333500l3590290,1259840,3553460,1399540,3384550,1384300,3355340,1457960,1530985,1025525,644525,1230630,505460,1318895,0,754380,1501775,0,4058920,600710,3941445,1333500xe">
                      <v:path o:connectlocs="1178363,365899;1073379,345687;1062368,384020;1011870,379838;1003137,400050;457714,281394;192692,337672;151116,361891;0,206994;448981,0;1213485,164828;1178363,365899" o:connectangles="0,0,0,0,0,0,0,0,0,0,0,0"/>
                      <v:fill on="f" focussize="0,0"/>
                      <v:stroke weight="2pt" color="#FFC000 [2404]" joinstyle="round"/>
                      <v:imagedata o:title=""/>
                      <o:lock v:ext="edit" aspectratio="f"/>
                    </v:shape>
                  </w:pict>
                </mc:Fallback>
              </mc:AlternateContent>
            </w:r>
            <w:r>
              <w:rPr>
                <w:rFonts w:hint="default" w:ascii="Times New Roman" w:hAnsi="Times New Roman" w:cs="Times New Roman"/>
                <w:color w:val="000000" w:themeColor="text1"/>
                <w:sz w:val="24"/>
                <w:szCs w:val="24"/>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69850</wp:posOffset>
                      </wp:positionH>
                      <wp:positionV relativeFrom="paragraph">
                        <wp:posOffset>824230</wp:posOffset>
                      </wp:positionV>
                      <wp:extent cx="243205" cy="317500"/>
                      <wp:effectExtent l="10160" t="7620" r="13335" b="17780"/>
                      <wp:wrapNone/>
                      <wp:docPr id="27" name="任意多边形 27"/>
                      <wp:cNvGraphicFramePr/>
                      <a:graphic xmlns:a="http://schemas.openxmlformats.org/drawingml/2006/main">
                        <a:graphicData uri="http://schemas.microsoft.com/office/word/2010/wordprocessingShape">
                          <wps:wsp>
                            <wps:cNvSpPr/>
                            <wps:spPr>
                              <a:xfrm>
                                <a:off x="1042035" y="1910715"/>
                                <a:ext cx="243205" cy="317500"/>
                              </a:xfrm>
                              <a:custGeom>
                                <a:avLst/>
                                <a:gdLst>
                                  <a:gd name="connisteX0" fmla="*/ 0 w 243205"/>
                                  <a:gd name="connsiteY0" fmla="*/ 0 h 317500"/>
                                  <a:gd name="connisteX1" fmla="*/ 243205 w 243205"/>
                                  <a:gd name="connsiteY1" fmla="*/ 317500 h 317500"/>
                                </a:gdLst>
                                <a:ahLst/>
                                <a:cxnLst>
                                  <a:cxn ang="0">
                                    <a:pos x="connisteX0" y="connsiteY0"/>
                                  </a:cxn>
                                  <a:cxn ang="0">
                                    <a:pos x="connisteX1" y="connsiteY1"/>
                                  </a:cxn>
                                </a:cxnLst>
                                <a:rect l="l" t="t" r="r" b="b"/>
                                <a:pathLst>
                                  <a:path w="243205" h="317500">
                                    <a:moveTo>
                                      <a:pt x="0" y="0"/>
                                    </a:moveTo>
                                    <a:lnTo>
                                      <a:pt x="243205" y="317500"/>
                                    </a:lnTo>
                                  </a:path>
                                </a:pathLst>
                              </a:custGeom>
                              <a:noFill/>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5.5pt;margin-top:64.9pt;height:25pt;width:19.15pt;z-index:251660288;mso-width-relative:page;mso-height-relative:page;" filled="f" stroked="t" coordsize="243205,317500" o:gfxdata="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xLexXNQAAAAJAQAADwAAAAAAAAABACAAAAAiAAAAZHJzL2Rvd25yZXYu&#10;eG1sUEsBAhQAFAAAAAgAh07iQBuu5FCqAgAA5gUAAA4AAAAAAAAAAQAgAAAAIwEAAGRycy9lMm9E&#10;b2MueG1sUEsFBgAAAAAGAAYAWQEAAD8GAAAAAA==&#10;" path="m0,0l243205,317500e">
                      <v:path o:connectlocs="0,0;243205,317500" o:connectangles="0,0"/>
                      <v:fill on="f" focussize="0,0"/>
                      <v:stroke weight="2pt" color="#376092 [2404]" joinstyle="round"/>
                      <v:imagedata o:title=""/>
                      <o:lock v:ext="edit" aspectratio="f"/>
                    </v:shape>
                  </w:pict>
                </mc:Fallback>
              </mc:AlternateContent>
            </w:r>
            <w:r>
              <w:rPr>
                <w:rFonts w:hint="default" w:ascii="Times New Roman" w:hAnsi="Times New Roman" w:eastAsia="宋体" w:cs="Times New Roman"/>
                <w:b/>
                <w:bCs/>
                <w:color w:val="000000" w:themeColor="text1"/>
                <w:sz w:val="24"/>
                <w:szCs w:val="24"/>
                <w:vertAlign w:val="baseline"/>
                <w:lang w:eastAsia="zh-CN"/>
                <w14:textFill>
                  <w14:solidFill>
                    <w14:schemeClr w14:val="tx1"/>
                  </w14:solidFill>
                </w14:textFill>
              </w:rPr>
              <w:drawing>
                <wp:inline distT="0" distB="0" distL="114300" distR="114300">
                  <wp:extent cx="2710180" cy="1806575"/>
                  <wp:effectExtent l="0" t="0" r="13970" b="3175"/>
                  <wp:docPr id="7" name="图片 7" descr="DJI_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JI_0876"/>
                          <pic:cNvPicPr>
                            <a:picLocks noChangeAspect="1"/>
                          </pic:cNvPicPr>
                        </pic:nvPicPr>
                        <pic:blipFill>
                          <a:blip r:embed="rId7"/>
                          <a:stretch>
                            <a:fillRect/>
                          </a:stretch>
                        </pic:blipFill>
                        <pic:spPr>
                          <a:xfrm>
                            <a:off x="0" y="0"/>
                            <a:ext cx="2710180" cy="1806575"/>
                          </a:xfrm>
                          <a:prstGeom prst="rect">
                            <a:avLst/>
                          </a:prstGeom>
                        </pic:spPr>
                      </pic:pic>
                    </a:graphicData>
                  </a:graphic>
                </wp:inline>
              </w:drawing>
            </w:r>
          </w:p>
          <w:p w14:paraId="7C1F981E">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eastAsia="zh-CN"/>
                <w14:textFill>
                  <w14:solidFill>
                    <w14:schemeClr w14:val="tx1"/>
                  </w14:solidFill>
                </w14:textFill>
              </w:rPr>
              <w:t>项目区概况</w:t>
            </w:r>
          </w:p>
        </w:tc>
        <w:tc>
          <w:tcPr>
            <w:tcW w:w="4530" w:type="dxa"/>
          </w:tcPr>
          <w:p w14:paraId="2D55FA3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cs="Times New Roman"/>
                <w:b/>
                <w:bCs/>
                <w:color w:val="000000" w:themeColor="text1"/>
                <w:sz w:val="24"/>
                <w:szCs w:val="24"/>
                <w:vertAlign w:val="baseline"/>
                <w:lang w:eastAsia="zh-CN"/>
                <w14:textFill>
                  <w14:solidFill>
                    <w14:schemeClr w14:val="tx1"/>
                  </w14:solidFill>
                </w14:textFill>
              </w:rPr>
            </w:pPr>
            <w:r>
              <w:rPr>
                <w:rFonts w:hint="default" w:ascii="Times New Roman" w:hAnsi="Times New Roman" w:cs="Times New Roman"/>
                <w:b/>
                <w:bCs/>
                <w:color w:val="000000" w:themeColor="text1"/>
                <w:sz w:val="24"/>
                <w:szCs w:val="24"/>
                <w:vertAlign w:val="baseline"/>
                <w:lang w:eastAsia="zh-CN"/>
                <w14:textFill>
                  <w14:solidFill>
                    <w14:schemeClr w14:val="tx1"/>
                  </w14:solidFill>
                </w14:textFill>
              </w:rPr>
              <w:drawing>
                <wp:inline distT="0" distB="0" distL="114300" distR="114300">
                  <wp:extent cx="2692400" cy="1818005"/>
                  <wp:effectExtent l="0" t="0" r="12700" b="10795"/>
                  <wp:docPr id="37" name="图片 37" descr="IMG_20250513_15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0250513_151209"/>
                          <pic:cNvPicPr>
                            <a:picLocks noChangeAspect="1"/>
                          </pic:cNvPicPr>
                        </pic:nvPicPr>
                        <pic:blipFill>
                          <a:blip r:embed="rId8"/>
                          <a:stretch>
                            <a:fillRect/>
                          </a:stretch>
                        </pic:blipFill>
                        <pic:spPr>
                          <a:xfrm>
                            <a:off x="0" y="0"/>
                            <a:ext cx="2692400" cy="1818005"/>
                          </a:xfrm>
                          <a:prstGeom prst="rect">
                            <a:avLst/>
                          </a:prstGeom>
                        </pic:spPr>
                      </pic:pic>
                    </a:graphicData>
                  </a:graphic>
                </wp:inline>
              </w:drawing>
            </w:r>
          </w:p>
          <w:p w14:paraId="28297EE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bCs/>
                <w:color w:val="000000" w:themeColor="text1"/>
                <w:sz w:val="24"/>
                <w:szCs w:val="24"/>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4"/>
                <w:szCs w:val="24"/>
                <w:vertAlign w:val="baseline"/>
                <w:lang w:eastAsia="zh-CN"/>
                <w14:textFill>
                  <w14:solidFill>
                    <w14:schemeClr w14:val="tx1"/>
                  </w14:solidFill>
                </w14:textFill>
              </w:rPr>
              <w:t>租用生产车间内现状</w:t>
            </w:r>
          </w:p>
        </w:tc>
      </w:tr>
      <w:tr w14:paraId="0F4F3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4530" w:type="dxa"/>
          </w:tcPr>
          <w:p w14:paraId="3095326E">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drawing>
                <wp:inline distT="0" distB="0" distL="114300" distR="114300">
                  <wp:extent cx="2710180" cy="1806575"/>
                  <wp:effectExtent l="0" t="0" r="13970" b="3175"/>
                  <wp:docPr id="39" name="图片 39" descr="DJI_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JI_0877"/>
                          <pic:cNvPicPr>
                            <a:picLocks noChangeAspect="1"/>
                          </pic:cNvPicPr>
                        </pic:nvPicPr>
                        <pic:blipFill>
                          <a:blip r:embed="rId9"/>
                          <a:stretch>
                            <a:fillRect/>
                          </a:stretch>
                        </pic:blipFill>
                        <pic:spPr>
                          <a:xfrm>
                            <a:off x="0" y="0"/>
                            <a:ext cx="2710180" cy="1806575"/>
                          </a:xfrm>
                          <a:prstGeom prst="rect">
                            <a:avLst/>
                          </a:prstGeom>
                        </pic:spPr>
                      </pic:pic>
                    </a:graphicData>
                  </a:graphic>
                </wp:inline>
              </w:drawing>
            </w:r>
          </w:p>
          <w:p w14:paraId="2F8F9E46">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项目区外北侧现状</w:t>
            </w:r>
          </w:p>
        </w:tc>
        <w:tc>
          <w:tcPr>
            <w:tcW w:w="4530" w:type="dxa"/>
          </w:tcPr>
          <w:p w14:paraId="43CC01DD">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4"/>
                <w:szCs w:val="24"/>
                <w:vertAlign w:val="baseline"/>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eastAsia="zh-CN"/>
                <w14:textFill>
                  <w14:solidFill>
                    <w14:schemeClr w14:val="tx1"/>
                  </w14:solidFill>
                </w14:textFill>
              </w:rPr>
              <w:drawing>
                <wp:inline distT="0" distB="0" distL="114300" distR="114300">
                  <wp:extent cx="2710180" cy="1806575"/>
                  <wp:effectExtent l="0" t="0" r="13970" b="3175"/>
                  <wp:docPr id="40" name="图片 40" descr="DJI_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JI_0879"/>
                          <pic:cNvPicPr>
                            <a:picLocks noChangeAspect="1"/>
                          </pic:cNvPicPr>
                        </pic:nvPicPr>
                        <pic:blipFill>
                          <a:blip r:embed="rId10"/>
                          <a:stretch>
                            <a:fillRect/>
                          </a:stretch>
                        </pic:blipFill>
                        <pic:spPr>
                          <a:xfrm>
                            <a:off x="0" y="0"/>
                            <a:ext cx="2710180" cy="1806575"/>
                          </a:xfrm>
                          <a:prstGeom prst="rect">
                            <a:avLst/>
                          </a:prstGeom>
                        </pic:spPr>
                      </pic:pic>
                    </a:graphicData>
                  </a:graphic>
                </wp:inline>
              </w:drawing>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项目区外南侧现状</w:t>
            </w:r>
          </w:p>
        </w:tc>
      </w:tr>
      <w:tr w14:paraId="1209D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319D578F">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drawing>
                <wp:inline distT="0" distB="0" distL="114300" distR="114300">
                  <wp:extent cx="2710180" cy="1806575"/>
                  <wp:effectExtent l="0" t="0" r="13970" b="3175"/>
                  <wp:docPr id="41" name="图片 41" descr="DJI_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JI_0880"/>
                          <pic:cNvPicPr>
                            <a:picLocks noChangeAspect="1"/>
                          </pic:cNvPicPr>
                        </pic:nvPicPr>
                        <pic:blipFill>
                          <a:blip r:embed="rId11"/>
                          <a:stretch>
                            <a:fillRect/>
                          </a:stretch>
                        </pic:blipFill>
                        <pic:spPr>
                          <a:xfrm>
                            <a:off x="0" y="0"/>
                            <a:ext cx="2710180" cy="1806575"/>
                          </a:xfrm>
                          <a:prstGeom prst="rect">
                            <a:avLst/>
                          </a:prstGeom>
                        </pic:spPr>
                      </pic:pic>
                    </a:graphicData>
                  </a:graphic>
                </wp:inline>
              </w:drawing>
            </w:r>
          </w:p>
          <w:p w14:paraId="3286F6AB">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项目区外东侧现状</w:t>
            </w:r>
          </w:p>
        </w:tc>
        <w:tc>
          <w:tcPr>
            <w:tcW w:w="4530" w:type="dxa"/>
          </w:tcPr>
          <w:p w14:paraId="24F88CC7">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drawing>
                <wp:inline distT="0" distB="0" distL="114300" distR="114300">
                  <wp:extent cx="2710180" cy="1806575"/>
                  <wp:effectExtent l="0" t="0" r="13970" b="3175"/>
                  <wp:docPr id="42" name="图片 42" descr="DJI_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JI_0878"/>
                          <pic:cNvPicPr>
                            <a:picLocks noChangeAspect="1"/>
                          </pic:cNvPicPr>
                        </pic:nvPicPr>
                        <pic:blipFill>
                          <a:blip r:embed="rId12"/>
                          <a:stretch>
                            <a:fillRect/>
                          </a:stretch>
                        </pic:blipFill>
                        <pic:spPr>
                          <a:xfrm>
                            <a:off x="0" y="0"/>
                            <a:ext cx="2710180" cy="1806575"/>
                          </a:xfrm>
                          <a:prstGeom prst="rect">
                            <a:avLst/>
                          </a:prstGeom>
                        </pic:spPr>
                      </pic:pic>
                    </a:graphicData>
                  </a:graphic>
                </wp:inline>
              </w:drawing>
            </w:r>
          </w:p>
          <w:p w14:paraId="636D45BC">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项目区外西侧现状</w:t>
            </w:r>
          </w:p>
        </w:tc>
      </w:tr>
      <w:tr w14:paraId="66230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30" w:type="dxa"/>
          </w:tcPr>
          <w:p w14:paraId="61345C07">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drawing>
                <wp:inline distT="0" distB="0" distL="114300" distR="114300">
                  <wp:extent cx="2692400" cy="2019300"/>
                  <wp:effectExtent l="0" t="0" r="12700" b="0"/>
                  <wp:docPr id="43" name="图片 43" descr="IMG_20250513_15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20250513_150829"/>
                          <pic:cNvPicPr>
                            <a:picLocks noChangeAspect="1"/>
                          </pic:cNvPicPr>
                        </pic:nvPicPr>
                        <pic:blipFill>
                          <a:blip r:embed="rId13"/>
                          <a:stretch>
                            <a:fillRect/>
                          </a:stretch>
                        </pic:blipFill>
                        <pic:spPr>
                          <a:xfrm>
                            <a:off x="0" y="0"/>
                            <a:ext cx="2692400" cy="2019300"/>
                          </a:xfrm>
                          <a:prstGeom prst="rect">
                            <a:avLst/>
                          </a:prstGeom>
                        </pic:spPr>
                      </pic:pic>
                    </a:graphicData>
                  </a:graphic>
                </wp:inline>
              </w:drawing>
            </w:r>
          </w:p>
          <w:p w14:paraId="10FD7472">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浩峰公司厂区进出道路现状</w:t>
            </w:r>
          </w:p>
        </w:tc>
        <w:tc>
          <w:tcPr>
            <w:tcW w:w="4530" w:type="dxa"/>
          </w:tcPr>
          <w:p w14:paraId="5BA716B0">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drawing>
                <wp:inline distT="0" distB="0" distL="114300" distR="114300">
                  <wp:extent cx="2692400" cy="2019300"/>
                  <wp:effectExtent l="0" t="0" r="12700" b="0"/>
                  <wp:docPr id="18" name="图片 18" descr="IMG_20250430_08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50430_084935"/>
                          <pic:cNvPicPr>
                            <a:picLocks noChangeAspect="1"/>
                          </pic:cNvPicPr>
                        </pic:nvPicPr>
                        <pic:blipFill>
                          <a:blip r:embed="rId14"/>
                          <a:stretch>
                            <a:fillRect/>
                          </a:stretch>
                        </pic:blipFill>
                        <pic:spPr>
                          <a:xfrm>
                            <a:off x="0" y="0"/>
                            <a:ext cx="2692400" cy="2019300"/>
                          </a:xfrm>
                          <a:prstGeom prst="rect">
                            <a:avLst/>
                          </a:prstGeom>
                        </pic:spPr>
                      </pic:pic>
                    </a:graphicData>
                  </a:graphic>
                </wp:inline>
              </w:drawing>
            </w:r>
          </w:p>
          <w:p w14:paraId="07D523B5">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vertAlign w:val="baseline"/>
                <w:lang w:val="en-US" w:eastAsia="zh-CN"/>
                <w14:textFill>
                  <w14:solidFill>
                    <w14:schemeClr w14:val="tx1"/>
                  </w14:solidFill>
                </w14:textFill>
              </w:rPr>
              <w:t>工程师现场踏勘照片</w:t>
            </w:r>
          </w:p>
        </w:tc>
      </w:tr>
    </w:tbl>
    <w:p w14:paraId="6BF0AB67">
      <w:pPr>
        <w:pageBreakBefore w:val="0"/>
        <w:kinsoku/>
        <w:overflowPunct/>
        <w:topLinePunct w:val="0"/>
        <w:bidi w:val="0"/>
        <w:adjustRightInd w:val="0"/>
        <w:snapToGrid w:val="0"/>
        <w:spacing w:line="360" w:lineRule="auto"/>
        <w:ind w:left="0" w:leftChars="0" w:right="0"/>
        <w:jc w:val="center"/>
        <w:rPr>
          <w:rFonts w:hint="default" w:ascii="Times New Roman" w:hAnsi="Times New Roman" w:cs="Times New Roman"/>
          <w:b/>
          <w:bCs/>
          <w:color w:val="000000" w:themeColor="text1"/>
          <w:sz w:val="28"/>
          <w:szCs w:val="28"/>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065A4FF9">
      <w:pPr>
        <w:pageBreakBefore w:val="0"/>
        <w:kinsoku/>
        <w:overflowPunct/>
        <w:topLinePunct w:val="0"/>
        <w:bidi w:val="0"/>
        <w:adjustRightInd w:val="0"/>
        <w:snapToGrid w:val="0"/>
        <w:spacing w:line="360" w:lineRule="auto"/>
        <w:ind w:left="0" w:leftChars="0" w:right="0"/>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目录</w:t>
      </w:r>
    </w:p>
    <w:p w14:paraId="656623F7">
      <w:pPr>
        <w:pStyle w:val="11"/>
        <w:pageBreakBefore w:val="0"/>
        <w:tabs>
          <w:tab w:val="right" w:leader="dot" w:pos="8844"/>
        </w:tabs>
        <w:kinsoku/>
        <w:overflowPunct/>
        <w:topLinePunct w:val="0"/>
        <w:bidi w:val="0"/>
        <w:spacing w:line="360" w:lineRule="auto"/>
        <w:ind w:left="0" w:leftChars="0" w:right="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fldChar w:fldCharType="begin"/>
      </w:r>
      <w:r>
        <w:rPr>
          <w:rFonts w:hint="default" w:ascii="Times New Roman" w:hAnsi="Times New Roman" w:cs="Times New Roman"/>
          <w:b/>
          <w:bCs/>
          <w:color w:val="000000" w:themeColor="text1"/>
          <w:sz w:val="24"/>
          <w:szCs w:val="24"/>
          <w14:textFill>
            <w14:solidFill>
              <w14:schemeClr w14:val="tx1"/>
            </w14:solidFill>
          </w14:textFill>
        </w:rPr>
        <w:instrText xml:space="preserve">TOC \o "1-1" \h \u </w:instrText>
      </w:r>
      <w:r>
        <w:rPr>
          <w:rFonts w:hint="default" w:ascii="Times New Roman" w:hAnsi="Times New Roman" w:cs="Times New Roman"/>
          <w:b/>
          <w:bCs/>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HYPERLINK \l "_Toc20961"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bCs/>
          <w:snapToGrid w:val="0"/>
          <w:color w:val="000000" w:themeColor="text1"/>
          <w:sz w:val="24"/>
          <w:szCs w:val="24"/>
          <w14:textFill>
            <w14:solidFill>
              <w14:schemeClr w14:val="tx1"/>
            </w14:solidFill>
          </w14:textFill>
        </w:rPr>
        <w:t>一、建设项目基本情况</w:t>
      </w:r>
      <w:r>
        <w:rPr>
          <w:rFonts w:hint="default" w:ascii="Times New Roman" w:hAnsi="Times New Roman" w:cs="Times New Roman"/>
          <w:color w:val="000000" w:themeColor="text1"/>
          <w:sz w:val="24"/>
          <w:szCs w:val="24"/>
          <w14:textFill>
            <w14:solidFill>
              <w14:schemeClr w14:val="tx1"/>
            </w14:solidFill>
          </w14:textFill>
        </w:rPr>
        <w:tab/>
      </w: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PAGEREF _Toc20961 \h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1</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fldChar w:fldCharType="end"/>
      </w:r>
    </w:p>
    <w:p w14:paraId="2E657E76">
      <w:pPr>
        <w:pStyle w:val="11"/>
        <w:pageBreakBefore w:val="0"/>
        <w:tabs>
          <w:tab w:val="right" w:leader="dot" w:pos="8844"/>
        </w:tabs>
        <w:kinsoku/>
        <w:overflowPunct/>
        <w:topLinePunct w:val="0"/>
        <w:bidi w:val="0"/>
        <w:spacing w:line="360" w:lineRule="auto"/>
        <w:ind w:left="0" w:leftChars="0" w:right="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HYPERLINK \l "_Toc1587"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bCs/>
          <w:snapToGrid w:val="0"/>
          <w:color w:val="000000" w:themeColor="text1"/>
          <w:sz w:val="24"/>
          <w:szCs w:val="24"/>
          <w14:textFill>
            <w14:solidFill>
              <w14:schemeClr w14:val="tx1"/>
            </w14:solidFill>
          </w14:textFill>
        </w:rPr>
        <w:t>二、建设项目工程分析</w:t>
      </w:r>
      <w:r>
        <w:rPr>
          <w:rFonts w:hint="default" w:ascii="Times New Roman" w:hAnsi="Times New Roman" w:cs="Times New Roman"/>
          <w:color w:val="000000" w:themeColor="text1"/>
          <w:sz w:val="24"/>
          <w:szCs w:val="24"/>
          <w14:textFill>
            <w14:solidFill>
              <w14:schemeClr w14:val="tx1"/>
            </w14:solidFill>
          </w14:textFill>
        </w:rPr>
        <w:tab/>
      </w: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PAGEREF _Toc1587 \h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28</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fldChar w:fldCharType="end"/>
      </w:r>
    </w:p>
    <w:p w14:paraId="51BF5EA2">
      <w:pPr>
        <w:pStyle w:val="11"/>
        <w:pageBreakBefore w:val="0"/>
        <w:tabs>
          <w:tab w:val="right" w:leader="dot" w:pos="8844"/>
        </w:tabs>
        <w:kinsoku/>
        <w:overflowPunct/>
        <w:topLinePunct w:val="0"/>
        <w:bidi w:val="0"/>
        <w:spacing w:line="360" w:lineRule="auto"/>
        <w:ind w:left="0" w:leftChars="0" w:right="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HYPERLINK \l "_Toc7404"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bCs/>
          <w:snapToGrid w:val="0"/>
          <w:color w:val="000000" w:themeColor="text1"/>
          <w:sz w:val="24"/>
          <w:szCs w:val="24"/>
          <w14:textFill>
            <w14:solidFill>
              <w14:schemeClr w14:val="tx1"/>
            </w14:solidFill>
          </w14:textFill>
        </w:rPr>
        <w:t>三、区域环境质量现状、环境保护目标及评价标准</w:t>
      </w:r>
      <w:r>
        <w:rPr>
          <w:rFonts w:hint="default" w:ascii="Times New Roman" w:hAnsi="Times New Roman" w:cs="Times New Roman"/>
          <w:color w:val="000000" w:themeColor="text1"/>
          <w:sz w:val="24"/>
          <w:szCs w:val="24"/>
          <w14:textFill>
            <w14:solidFill>
              <w14:schemeClr w14:val="tx1"/>
            </w14:solidFill>
          </w14:textFill>
        </w:rPr>
        <w:tab/>
      </w: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PAGEREF _Toc7404 \h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56</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fldChar w:fldCharType="end"/>
      </w:r>
    </w:p>
    <w:p w14:paraId="66ECCE55">
      <w:pPr>
        <w:pStyle w:val="11"/>
        <w:pageBreakBefore w:val="0"/>
        <w:tabs>
          <w:tab w:val="right" w:leader="dot" w:pos="8844"/>
        </w:tabs>
        <w:kinsoku/>
        <w:overflowPunct/>
        <w:topLinePunct w:val="0"/>
        <w:bidi w:val="0"/>
        <w:spacing w:line="360" w:lineRule="auto"/>
        <w:ind w:left="0" w:leftChars="0" w:right="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HYPERLINK \l "_Toc6112"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bCs/>
          <w:snapToGrid w:val="0"/>
          <w:color w:val="000000" w:themeColor="text1"/>
          <w:sz w:val="24"/>
          <w:szCs w:val="24"/>
          <w14:textFill>
            <w14:solidFill>
              <w14:schemeClr w14:val="tx1"/>
            </w14:solidFill>
          </w14:textFill>
        </w:rPr>
        <w:t>四、主要环境影响和保护措施</w:t>
      </w:r>
      <w:r>
        <w:rPr>
          <w:rFonts w:hint="default" w:ascii="Times New Roman" w:hAnsi="Times New Roman" w:cs="Times New Roman"/>
          <w:color w:val="000000" w:themeColor="text1"/>
          <w:sz w:val="24"/>
          <w:szCs w:val="24"/>
          <w14:textFill>
            <w14:solidFill>
              <w14:schemeClr w14:val="tx1"/>
            </w14:solidFill>
          </w14:textFill>
        </w:rPr>
        <w:tab/>
      </w: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PAGEREF _Toc6112 \h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66</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fldChar w:fldCharType="end"/>
      </w:r>
    </w:p>
    <w:p w14:paraId="52E38366">
      <w:pPr>
        <w:pStyle w:val="11"/>
        <w:pageBreakBefore w:val="0"/>
        <w:tabs>
          <w:tab w:val="right" w:leader="dot" w:pos="8844"/>
        </w:tabs>
        <w:kinsoku/>
        <w:overflowPunct/>
        <w:topLinePunct w:val="0"/>
        <w:bidi w:val="0"/>
        <w:spacing w:line="360" w:lineRule="auto"/>
        <w:ind w:left="0" w:leftChars="0" w:right="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HYPERLINK \l "_Toc6939"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bCs/>
          <w:snapToGrid w:val="0"/>
          <w:color w:val="000000" w:themeColor="text1"/>
          <w:sz w:val="24"/>
          <w:szCs w:val="24"/>
          <w14:textFill>
            <w14:solidFill>
              <w14:schemeClr w14:val="tx1"/>
            </w14:solidFill>
          </w14:textFill>
        </w:rPr>
        <w:t>五、环境保护措施监督检查清单</w:t>
      </w:r>
      <w:r>
        <w:rPr>
          <w:rFonts w:hint="default" w:ascii="Times New Roman" w:hAnsi="Times New Roman" w:cs="Times New Roman"/>
          <w:color w:val="000000" w:themeColor="text1"/>
          <w:sz w:val="24"/>
          <w:szCs w:val="24"/>
          <w14:textFill>
            <w14:solidFill>
              <w14:schemeClr w14:val="tx1"/>
            </w14:solidFill>
          </w14:textFill>
        </w:rPr>
        <w:tab/>
      </w: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PAGEREF _Toc6939 \h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105</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fldChar w:fldCharType="end"/>
      </w:r>
    </w:p>
    <w:p w14:paraId="47C25B25">
      <w:pPr>
        <w:pStyle w:val="11"/>
        <w:pageBreakBefore w:val="0"/>
        <w:tabs>
          <w:tab w:val="right" w:leader="dot" w:pos="8844"/>
        </w:tabs>
        <w:kinsoku/>
        <w:overflowPunct/>
        <w:topLinePunct w:val="0"/>
        <w:bidi w:val="0"/>
        <w:spacing w:line="360" w:lineRule="auto"/>
        <w:ind w:left="0" w:leftChars="0" w:right="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HYPERLINK \l "_Toc24787"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bCs/>
          <w:snapToGrid w:val="0"/>
          <w:color w:val="000000" w:themeColor="text1"/>
          <w:sz w:val="24"/>
          <w:szCs w:val="24"/>
          <w14:textFill>
            <w14:solidFill>
              <w14:schemeClr w14:val="tx1"/>
            </w14:solidFill>
          </w14:textFill>
        </w:rPr>
        <w:t>六、结论</w:t>
      </w:r>
      <w:r>
        <w:rPr>
          <w:rFonts w:hint="default" w:ascii="Times New Roman" w:hAnsi="Times New Roman" w:cs="Times New Roman"/>
          <w:color w:val="000000" w:themeColor="text1"/>
          <w:sz w:val="24"/>
          <w:szCs w:val="24"/>
          <w14:textFill>
            <w14:solidFill>
              <w14:schemeClr w14:val="tx1"/>
            </w14:solidFill>
          </w14:textFill>
        </w:rPr>
        <w:tab/>
      </w: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PAGEREF _Toc24787 \h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108</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fldChar w:fldCharType="end"/>
      </w:r>
    </w:p>
    <w:p w14:paraId="21794E53">
      <w:pPr>
        <w:pStyle w:val="11"/>
        <w:pageBreakBefore w:val="0"/>
        <w:tabs>
          <w:tab w:val="right" w:leader="dot" w:pos="8844"/>
        </w:tabs>
        <w:kinsoku/>
        <w:overflowPunct/>
        <w:topLinePunct w:val="0"/>
        <w:bidi w:val="0"/>
        <w:spacing w:line="360" w:lineRule="auto"/>
        <w:ind w:left="0" w:leftChars="0" w:right="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HYPERLINK \l "_Toc24156"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bCs/>
          <w:snapToGrid w:val="0"/>
          <w:color w:val="000000" w:themeColor="text1"/>
          <w:sz w:val="24"/>
          <w:szCs w:val="24"/>
          <w14:textFill>
            <w14:solidFill>
              <w14:schemeClr w14:val="tx1"/>
            </w14:solidFill>
          </w14:textFill>
        </w:rPr>
        <w:t>附表</w:t>
      </w:r>
      <w:r>
        <w:rPr>
          <w:rFonts w:hint="default" w:ascii="Times New Roman" w:hAnsi="Times New Roman" w:cs="Times New Roman"/>
          <w:color w:val="000000" w:themeColor="text1"/>
          <w:sz w:val="24"/>
          <w:szCs w:val="24"/>
          <w14:textFill>
            <w14:solidFill>
              <w14:schemeClr w14:val="tx1"/>
            </w14:solidFill>
          </w14:textFill>
        </w:rPr>
        <w:tab/>
      </w: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PAGEREF _Toc24156 \h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109</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fldChar w:fldCharType="end"/>
      </w:r>
    </w:p>
    <w:p w14:paraId="05E1BFDE">
      <w:pPr>
        <w:pStyle w:val="2"/>
        <w:pageBreakBefore w:val="0"/>
        <w:kinsoku/>
        <w:overflowPunct/>
        <w:topLinePunct w:val="0"/>
        <w:bidi w:val="0"/>
        <w:spacing w:after="0"/>
        <w:ind w:left="0" w:leftChars="0" w:right="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fldChar w:fldCharType="end"/>
      </w:r>
    </w:p>
    <w:p w14:paraId="5D4E9E52">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
          <w:bCs w:val="0"/>
          <w:color w:val="000000" w:themeColor="text1"/>
          <w:sz w:val="24"/>
          <w:szCs w:val="24"/>
          <w:lang w:eastAsia="zh-CN"/>
          <w14:textFill>
            <w14:solidFill>
              <w14:schemeClr w14:val="tx1"/>
            </w14:solidFill>
          </w14:textFill>
        </w:rPr>
      </w:pPr>
    </w:p>
    <w:p w14:paraId="073541D0">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
          <w:bCs w:val="0"/>
          <w:color w:val="000000" w:themeColor="text1"/>
          <w:sz w:val="24"/>
          <w:szCs w:val="24"/>
          <w:lang w:eastAsia="zh-CN"/>
          <w14:textFill>
            <w14:solidFill>
              <w14:schemeClr w14:val="tx1"/>
            </w14:solidFill>
          </w14:textFill>
        </w:rPr>
      </w:pPr>
    </w:p>
    <w:p w14:paraId="25BC59DE">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
          <w:bCs w:val="0"/>
          <w:color w:val="000000" w:themeColor="text1"/>
          <w:sz w:val="24"/>
          <w:szCs w:val="24"/>
          <w:lang w:eastAsia="zh-CN"/>
          <w14:textFill>
            <w14:solidFill>
              <w14:schemeClr w14:val="tx1"/>
            </w14:solidFill>
          </w14:textFill>
        </w:rPr>
      </w:pPr>
    </w:p>
    <w:p w14:paraId="73967BC5">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
          <w:bCs w:val="0"/>
          <w:color w:val="000000" w:themeColor="text1"/>
          <w:sz w:val="24"/>
          <w:szCs w:val="24"/>
          <w:lang w:eastAsia="zh-CN"/>
          <w14:textFill>
            <w14:solidFill>
              <w14:schemeClr w14:val="tx1"/>
            </w14:solidFill>
          </w14:textFill>
        </w:rPr>
      </w:pPr>
    </w:p>
    <w:p w14:paraId="04CC546C">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
          <w:bCs w:val="0"/>
          <w:color w:val="000000" w:themeColor="text1"/>
          <w:sz w:val="24"/>
          <w:szCs w:val="24"/>
          <w:lang w:eastAsia="zh-CN"/>
          <w14:textFill>
            <w14:solidFill>
              <w14:schemeClr w14:val="tx1"/>
            </w14:solidFill>
          </w14:textFill>
        </w:rPr>
      </w:pPr>
    </w:p>
    <w:p w14:paraId="3E06D250">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
          <w:bCs w:val="0"/>
          <w:color w:val="000000" w:themeColor="text1"/>
          <w:sz w:val="24"/>
          <w:szCs w:val="24"/>
          <w:lang w:eastAsia="zh-CN"/>
          <w14:textFill>
            <w14:solidFill>
              <w14:schemeClr w14:val="tx1"/>
            </w14:solidFill>
          </w14:textFill>
        </w:rPr>
      </w:pPr>
    </w:p>
    <w:p w14:paraId="3E71F72D">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
          <w:bCs w:val="0"/>
          <w:color w:val="000000" w:themeColor="text1"/>
          <w:sz w:val="24"/>
          <w:szCs w:val="24"/>
          <w:lang w:eastAsia="zh-CN"/>
          <w14:textFill>
            <w14:solidFill>
              <w14:schemeClr w14:val="tx1"/>
            </w14:solidFill>
          </w14:textFill>
        </w:rPr>
      </w:pPr>
    </w:p>
    <w:p w14:paraId="2B8A0547">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
          <w:bCs w:val="0"/>
          <w:color w:val="000000" w:themeColor="text1"/>
          <w:sz w:val="24"/>
          <w:szCs w:val="24"/>
          <w:lang w:eastAsia="zh-CN"/>
          <w14:textFill>
            <w14:solidFill>
              <w14:schemeClr w14:val="tx1"/>
            </w14:solidFill>
          </w14:textFill>
        </w:rPr>
      </w:pPr>
    </w:p>
    <w:p w14:paraId="71B39A85">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
          <w:bCs w:val="0"/>
          <w:color w:val="000000" w:themeColor="text1"/>
          <w:sz w:val="24"/>
          <w:szCs w:val="24"/>
          <w:lang w:eastAsia="zh-CN"/>
          <w14:textFill>
            <w14:solidFill>
              <w14:schemeClr w14:val="tx1"/>
            </w14:solidFill>
          </w14:textFill>
        </w:rPr>
      </w:pPr>
    </w:p>
    <w:p w14:paraId="1BF438BC">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
          <w:bCs w:val="0"/>
          <w:color w:val="000000" w:themeColor="text1"/>
          <w:sz w:val="24"/>
          <w:szCs w:val="24"/>
          <w:lang w:eastAsia="zh-CN"/>
          <w14:textFill>
            <w14:solidFill>
              <w14:schemeClr w14:val="tx1"/>
            </w14:solidFill>
          </w14:textFill>
        </w:rPr>
      </w:pPr>
    </w:p>
    <w:p w14:paraId="5B3477DA">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
          <w:bCs w:val="0"/>
          <w:color w:val="000000" w:themeColor="text1"/>
          <w:sz w:val="24"/>
          <w:szCs w:val="24"/>
          <w:lang w:eastAsia="zh-CN"/>
          <w14:textFill>
            <w14:solidFill>
              <w14:schemeClr w14:val="tx1"/>
            </w14:solidFill>
          </w14:textFill>
        </w:rPr>
      </w:pPr>
    </w:p>
    <w:p w14:paraId="2DD11922">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
          <w:bCs w:val="0"/>
          <w:color w:val="000000" w:themeColor="text1"/>
          <w:sz w:val="24"/>
          <w:szCs w:val="24"/>
          <w:lang w:eastAsia="zh-CN"/>
          <w14:textFill>
            <w14:solidFill>
              <w14:schemeClr w14:val="tx1"/>
            </w14:solidFill>
          </w14:textFill>
        </w:rPr>
      </w:pPr>
    </w:p>
    <w:p w14:paraId="4A0C18A1">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
          <w:bCs w:val="0"/>
          <w:color w:val="000000" w:themeColor="text1"/>
          <w:sz w:val="24"/>
          <w:szCs w:val="24"/>
          <w:lang w:eastAsia="zh-CN"/>
          <w14:textFill>
            <w14:solidFill>
              <w14:schemeClr w14:val="tx1"/>
            </w14:solidFill>
          </w14:textFill>
        </w:rPr>
      </w:pPr>
    </w:p>
    <w:p w14:paraId="18A7F57B">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
          <w:bCs w:val="0"/>
          <w:color w:val="000000" w:themeColor="text1"/>
          <w:sz w:val="24"/>
          <w:szCs w:val="24"/>
          <w:lang w:eastAsia="zh-CN"/>
          <w14:textFill>
            <w14:solidFill>
              <w14:schemeClr w14:val="tx1"/>
            </w14:solidFill>
          </w14:textFill>
        </w:rPr>
      </w:pPr>
    </w:p>
    <w:p w14:paraId="5F249BDF">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
          <w:bCs w:val="0"/>
          <w:color w:val="000000" w:themeColor="text1"/>
          <w:sz w:val="24"/>
          <w:szCs w:val="24"/>
          <w:lang w:eastAsia="zh-CN"/>
          <w14:textFill>
            <w14:solidFill>
              <w14:schemeClr w14:val="tx1"/>
            </w14:solidFill>
          </w14:textFill>
        </w:rPr>
      </w:pPr>
    </w:p>
    <w:p w14:paraId="488ADA13">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
          <w:bCs w:val="0"/>
          <w:color w:val="000000" w:themeColor="text1"/>
          <w:sz w:val="24"/>
          <w:szCs w:val="24"/>
          <w:lang w:eastAsia="zh-CN"/>
          <w14:textFill>
            <w14:solidFill>
              <w14:schemeClr w14:val="tx1"/>
            </w14:solidFill>
          </w14:textFill>
        </w:rPr>
      </w:pPr>
    </w:p>
    <w:p w14:paraId="5E47F665">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
          <w:bCs w:val="0"/>
          <w:color w:val="000000" w:themeColor="text1"/>
          <w:sz w:val="24"/>
          <w:szCs w:val="24"/>
          <w:lang w:eastAsia="zh-CN"/>
          <w14:textFill>
            <w14:solidFill>
              <w14:schemeClr w14:val="tx1"/>
            </w14:solidFill>
          </w14:textFill>
        </w:rPr>
      </w:pPr>
    </w:p>
    <w:p w14:paraId="34F6444E">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
          <w:bCs w:val="0"/>
          <w:color w:val="000000" w:themeColor="text1"/>
          <w:sz w:val="24"/>
          <w:szCs w:val="24"/>
          <w:lang w:eastAsia="zh-CN"/>
          <w14:textFill>
            <w14:solidFill>
              <w14:schemeClr w14:val="tx1"/>
            </w14:solidFill>
          </w14:textFill>
        </w:rPr>
      </w:pPr>
    </w:p>
    <w:p w14:paraId="3925B1B6">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
          <w:bCs w:val="0"/>
          <w:color w:val="000000" w:themeColor="text1"/>
          <w:sz w:val="24"/>
          <w:szCs w:val="24"/>
          <w:lang w:eastAsia="zh-CN"/>
          <w14:textFill>
            <w14:solidFill>
              <w14:schemeClr w14:val="tx1"/>
            </w14:solidFill>
          </w14:textFill>
        </w:rPr>
      </w:pPr>
    </w:p>
    <w:p w14:paraId="35373C92">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
          <w:bCs w:val="0"/>
          <w:color w:val="000000" w:themeColor="text1"/>
          <w:sz w:val="24"/>
          <w:szCs w:val="24"/>
          <w:lang w:eastAsia="zh-CN"/>
          <w14:textFill>
            <w14:solidFill>
              <w14:schemeClr w14:val="tx1"/>
            </w14:solidFill>
          </w14:textFill>
        </w:rPr>
      </w:pPr>
    </w:p>
    <w:p w14:paraId="3BD566ED">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
          <w:bCs w:val="0"/>
          <w:color w:val="000000" w:themeColor="text1"/>
          <w:sz w:val="24"/>
          <w:szCs w:val="24"/>
          <w:lang w:eastAsia="zh-CN"/>
          <w14:textFill>
            <w14:solidFill>
              <w14:schemeClr w14:val="tx1"/>
            </w14:solidFill>
          </w14:textFill>
        </w:rPr>
      </w:pPr>
    </w:p>
    <w:p w14:paraId="4357E166">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
          <w:bCs w:val="0"/>
          <w:color w:val="000000" w:themeColor="text1"/>
          <w:sz w:val="24"/>
          <w:szCs w:val="24"/>
          <w:lang w:eastAsia="zh-CN"/>
          <w14:textFill>
            <w14:solidFill>
              <w14:schemeClr w14:val="tx1"/>
            </w14:solidFill>
          </w14:textFill>
        </w:rPr>
      </w:pPr>
    </w:p>
    <w:p w14:paraId="19D52029">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
          <w:bCs w:val="0"/>
          <w:color w:val="000000" w:themeColor="text1"/>
          <w:sz w:val="24"/>
          <w:szCs w:val="24"/>
          <w:lang w:eastAsia="zh-CN"/>
          <w14:textFill>
            <w14:solidFill>
              <w14:schemeClr w14:val="tx1"/>
            </w14:solidFill>
          </w14:textFill>
        </w:rPr>
      </w:pPr>
    </w:p>
    <w:p w14:paraId="0E0A345C">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
          <w:bCs w:val="0"/>
          <w:color w:val="000000" w:themeColor="text1"/>
          <w:sz w:val="24"/>
          <w:szCs w:val="24"/>
          <w:lang w:eastAsia="zh-CN"/>
          <w14:textFill>
            <w14:solidFill>
              <w14:schemeClr w14:val="tx1"/>
            </w14:solidFill>
          </w14:textFill>
        </w:rPr>
      </w:pPr>
      <w:r>
        <w:rPr>
          <w:rFonts w:hint="default" w:ascii="Times New Roman" w:hAnsi="Times New Roman" w:cs="Times New Roman"/>
          <w:b/>
          <w:bCs w:val="0"/>
          <w:color w:val="000000" w:themeColor="text1"/>
          <w:sz w:val="24"/>
          <w:szCs w:val="24"/>
          <w:lang w:eastAsia="zh-CN"/>
          <w14:textFill>
            <w14:solidFill>
              <w14:schemeClr w14:val="tx1"/>
            </w14:solidFill>
          </w14:textFill>
        </w:rPr>
        <w:t>附件</w:t>
      </w:r>
    </w:p>
    <w:p w14:paraId="41FB6CB6">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附件1</w:t>
      </w:r>
      <w:r>
        <w:rPr>
          <w:rFonts w:hint="default" w:ascii="Times New Roman" w:hAnsi="Times New Roman" w:cs="Times New Roman"/>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委托书</w:t>
      </w:r>
    </w:p>
    <w:p w14:paraId="63315618">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附件2</w:t>
      </w:r>
      <w:r>
        <w:rPr>
          <w:rFonts w:hint="default" w:ascii="Times New Roman" w:hAnsi="Times New Roman" w:cs="Times New Roman"/>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备案证</w:t>
      </w:r>
    </w:p>
    <w:p w14:paraId="3E731CFA">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附件3</w:t>
      </w:r>
      <w:r>
        <w:rPr>
          <w:rFonts w:hint="default" w:ascii="Times New Roman" w:hAnsi="Times New Roman" w:cs="Times New Roman"/>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营业执照</w:t>
      </w:r>
    </w:p>
    <w:p w14:paraId="103A8E43">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附件4</w:t>
      </w:r>
      <w:r>
        <w:rPr>
          <w:rFonts w:hint="default" w:ascii="Times New Roman" w:hAnsi="Times New Roman" w:cs="Times New Roman"/>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租地协议</w:t>
      </w:r>
    </w:p>
    <w:p w14:paraId="07AF4928">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附件5</w:t>
      </w:r>
      <w:r>
        <w:rPr>
          <w:rFonts w:hint="default" w:ascii="Times New Roman" w:hAnsi="Times New Roman" w:cs="Times New Roman"/>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村委会及街道意见</w:t>
      </w:r>
    </w:p>
    <w:p w14:paraId="47313E63">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附件6</w:t>
      </w:r>
      <w:r>
        <w:rPr>
          <w:rFonts w:hint="default" w:ascii="Times New Roman" w:hAnsi="Times New Roman" w:cs="Times New Roman"/>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固体生物质燃料检测报告</w:t>
      </w:r>
    </w:p>
    <w:p w14:paraId="035BA0FF">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附件7</w:t>
      </w:r>
      <w:r>
        <w:rPr>
          <w:rFonts w:hint="default" w:ascii="Times New Roman" w:hAnsi="Times New Roman" w:cs="Times New Roman"/>
          <w:bCs/>
          <w:color w:val="000000" w:themeColor="text1"/>
          <w:sz w:val="24"/>
          <w:szCs w:val="24"/>
          <w:lang w:val="en-US" w:eastAsia="zh-CN"/>
          <w14:textFill>
            <w14:solidFill>
              <w14:schemeClr w14:val="tx1"/>
            </w14:solidFill>
          </w14:textFill>
        </w:rPr>
        <w:t xml:space="preserve">  热固性粉末成分</w:t>
      </w:r>
    </w:p>
    <w:p w14:paraId="40FB90CF">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附件8</w:t>
      </w:r>
      <w:r>
        <w:rPr>
          <w:rFonts w:hint="default" w:ascii="Times New Roman" w:hAnsi="Times New Roman" w:cs="Times New Roman"/>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油墨</w:t>
      </w:r>
      <w:r>
        <w:rPr>
          <w:rFonts w:hint="default" w:ascii="Times New Roman" w:hAnsi="Times New Roman" w:cs="Times New Roman"/>
          <w:bCs/>
          <w:color w:val="000000" w:themeColor="text1"/>
          <w:sz w:val="24"/>
          <w:szCs w:val="24"/>
          <w:lang w:val="en-US" w:eastAsia="zh-CN"/>
          <w14:textFill>
            <w14:solidFill>
              <w14:schemeClr w14:val="tx1"/>
            </w14:solidFill>
          </w14:textFill>
        </w:rPr>
        <w:t>成分</w:t>
      </w:r>
    </w:p>
    <w:p w14:paraId="6EB21CE3">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附件9</w:t>
      </w:r>
      <w:r>
        <w:rPr>
          <w:rFonts w:hint="default" w:ascii="Times New Roman" w:hAnsi="Times New Roman" w:cs="Times New Roman"/>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浩峰公司自然资源局查询情况</w:t>
      </w:r>
    </w:p>
    <w:p w14:paraId="7D8897AD">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附件10</w:t>
      </w:r>
      <w:r>
        <w:rPr>
          <w:rFonts w:hint="default" w:ascii="Times New Roman" w:hAnsi="Times New Roman" w:cs="Times New Roman"/>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原项目环评行政许可</w:t>
      </w:r>
    </w:p>
    <w:p w14:paraId="78AD44B5">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附件11</w:t>
      </w:r>
      <w:r>
        <w:rPr>
          <w:rFonts w:hint="default" w:ascii="Times New Roman" w:hAnsi="Times New Roman" w:cs="Times New Roman"/>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原项目验收意见</w:t>
      </w:r>
    </w:p>
    <w:p w14:paraId="6062ECC5">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附件12</w:t>
      </w:r>
      <w:r>
        <w:rPr>
          <w:rFonts w:hint="default" w:ascii="Times New Roman" w:hAnsi="Times New Roman" w:cs="Times New Roman"/>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云南红塔产业园区规划环评审查意见</w:t>
      </w:r>
    </w:p>
    <w:p w14:paraId="67665DCA">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附件13 生态环境管控单元与环境管控详情</w:t>
      </w:r>
    </w:p>
    <w:p w14:paraId="740718BC">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附件1</w:t>
      </w:r>
      <w:r>
        <w:rPr>
          <w:rFonts w:hint="default" w:ascii="Times New Roman" w:hAnsi="Times New Roman" w:cs="Times New Roman"/>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 xml:space="preserve"> 项目进度表</w:t>
      </w:r>
    </w:p>
    <w:p w14:paraId="73435296">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附件1</w:t>
      </w:r>
      <w:r>
        <w:rPr>
          <w:rFonts w:hint="default" w:ascii="Times New Roman" w:hAnsi="Times New Roman" w:cs="Times New Roman"/>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 xml:space="preserve"> 三级审核单</w:t>
      </w:r>
    </w:p>
    <w:p w14:paraId="1E2EDAB8">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附件16 项目合同</w:t>
      </w:r>
    </w:p>
    <w:p w14:paraId="66227D8A">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附件17 专家意见、签到表、修改清单</w:t>
      </w:r>
    </w:p>
    <w:p w14:paraId="71945A0A">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
          <w:bCs w:val="0"/>
          <w:color w:val="000000" w:themeColor="text1"/>
          <w:sz w:val="24"/>
          <w:szCs w:val="24"/>
          <w:lang w:eastAsia="zh-CN"/>
          <w14:textFill>
            <w14:solidFill>
              <w14:schemeClr w14:val="tx1"/>
            </w14:solidFill>
          </w14:textFill>
        </w:rPr>
      </w:pPr>
    </w:p>
    <w:p w14:paraId="65E684B8">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
          <w:bCs w:val="0"/>
          <w:color w:val="000000" w:themeColor="text1"/>
          <w:sz w:val="24"/>
          <w:szCs w:val="24"/>
          <w:lang w:eastAsia="zh-CN"/>
          <w14:textFill>
            <w14:solidFill>
              <w14:schemeClr w14:val="tx1"/>
            </w14:solidFill>
          </w14:textFill>
        </w:rPr>
      </w:pPr>
      <w:r>
        <w:rPr>
          <w:rFonts w:hint="default" w:ascii="Times New Roman" w:hAnsi="Times New Roman" w:cs="Times New Roman"/>
          <w:b/>
          <w:bCs w:val="0"/>
          <w:color w:val="000000" w:themeColor="text1"/>
          <w:sz w:val="24"/>
          <w:szCs w:val="24"/>
          <w:lang w:eastAsia="zh-CN"/>
          <w14:textFill>
            <w14:solidFill>
              <w14:schemeClr w14:val="tx1"/>
            </w14:solidFill>
          </w14:textFill>
        </w:rPr>
        <w:t>附图</w:t>
      </w:r>
    </w:p>
    <w:p w14:paraId="6AFC7870">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Cs/>
          <w:color w:val="000000" w:themeColor="text1"/>
          <w:sz w:val="24"/>
          <w:szCs w:val="24"/>
          <w:lang w:val="en-US" w:eastAsia="zh-CN"/>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附图1 项目地理位置图</w:t>
      </w:r>
    </w:p>
    <w:p w14:paraId="409275CB">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Cs/>
          <w:color w:val="000000" w:themeColor="text1"/>
          <w:sz w:val="24"/>
          <w:szCs w:val="24"/>
          <w:lang w:val="en-US" w:eastAsia="zh-CN"/>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附图2 平面布置图</w:t>
      </w:r>
    </w:p>
    <w:p w14:paraId="7B1ADD7F">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Cs/>
          <w:color w:val="000000" w:themeColor="text1"/>
          <w:sz w:val="24"/>
          <w:szCs w:val="24"/>
          <w:lang w:val="en-US" w:eastAsia="zh-CN"/>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附图3 项目区水系图</w:t>
      </w:r>
    </w:p>
    <w:p w14:paraId="723CEDF1">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Cs/>
          <w:color w:val="000000" w:themeColor="text1"/>
          <w:sz w:val="24"/>
          <w:szCs w:val="24"/>
          <w:lang w:val="en-US" w:eastAsia="zh-CN"/>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附图4 外环境关系图</w:t>
      </w:r>
    </w:p>
    <w:p w14:paraId="371832FB">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Cs/>
          <w:color w:val="000000" w:themeColor="text1"/>
          <w:sz w:val="24"/>
          <w:szCs w:val="24"/>
          <w:lang w:val="en-US" w:eastAsia="zh-CN"/>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附图5 分区防渗图</w:t>
      </w:r>
    </w:p>
    <w:p w14:paraId="2613473E">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Cs/>
          <w:color w:val="000000" w:themeColor="text1"/>
          <w:sz w:val="24"/>
          <w:szCs w:val="24"/>
          <w:lang w:val="en-US" w:eastAsia="zh-CN"/>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附图6 水文地质图</w:t>
      </w:r>
    </w:p>
    <w:p w14:paraId="41A44733">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textAlignment w:val="auto"/>
        <w:rPr>
          <w:rFonts w:hint="default" w:ascii="Times New Roman" w:hAnsi="Times New Roman" w:cs="Times New Roman"/>
          <w:bCs/>
          <w:color w:val="000000" w:themeColor="text1"/>
          <w:sz w:val="24"/>
          <w:szCs w:val="24"/>
          <w:lang w:val="en-US" w:eastAsia="zh-CN"/>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附图7 与云南红塔产业园区总体规划关系图</w:t>
      </w:r>
    </w:p>
    <w:p w14:paraId="3651798A">
      <w:pPr>
        <w:pStyle w:val="2"/>
        <w:pageBreakBefore w:val="0"/>
        <w:kinsoku/>
        <w:overflowPunct/>
        <w:topLinePunct w:val="0"/>
        <w:bidi w:val="0"/>
        <w:spacing w:after="0"/>
        <w:ind w:left="0" w:leftChars="0" w:right="0"/>
        <w:rPr>
          <w:rFonts w:hint="default" w:ascii="Times New Roman" w:hAnsi="Times New Roman" w:cs="Times New Roman"/>
          <w:bCs/>
          <w:color w:val="000000" w:themeColor="text1"/>
          <w:sz w:val="24"/>
          <w:szCs w:val="24"/>
          <w:lang w:eastAsia="zh-CN"/>
          <w14:textFill>
            <w14:solidFill>
              <w14:schemeClr w14:val="tx1"/>
            </w14:solidFill>
          </w14:textFill>
        </w:rPr>
      </w:pPr>
    </w:p>
    <w:p w14:paraId="47E309AA">
      <w:pPr>
        <w:pStyle w:val="2"/>
        <w:pageBreakBefore w:val="0"/>
        <w:kinsoku/>
        <w:overflowPunct/>
        <w:topLinePunct w:val="0"/>
        <w:bidi w:val="0"/>
        <w:spacing w:after="0"/>
        <w:ind w:left="0" w:leftChars="0" w:right="0"/>
        <w:rPr>
          <w:rFonts w:hint="default" w:ascii="Times New Roman" w:hAnsi="Times New Roman" w:cs="Times New Roman"/>
          <w:bCs/>
          <w:color w:val="000000" w:themeColor="text1"/>
          <w:sz w:val="24"/>
          <w:szCs w:val="24"/>
          <w:lang w:eastAsia="zh-CN"/>
          <w14:textFill>
            <w14:solidFill>
              <w14:schemeClr w14:val="tx1"/>
            </w14:solidFill>
          </w14:textFill>
        </w:rPr>
      </w:pPr>
    </w:p>
    <w:p w14:paraId="2FD237BC">
      <w:pPr>
        <w:pStyle w:val="2"/>
        <w:pageBreakBefore w:val="0"/>
        <w:kinsoku/>
        <w:overflowPunct/>
        <w:topLinePunct w:val="0"/>
        <w:bidi w:val="0"/>
        <w:spacing w:after="0"/>
        <w:ind w:left="0" w:leftChars="0" w:right="0"/>
        <w:rPr>
          <w:rFonts w:hint="default" w:ascii="Times New Roman" w:hAnsi="Times New Roman" w:eastAsia="宋体" w:cs="Times New Roman"/>
          <w:bCs/>
          <w:color w:val="000000" w:themeColor="text1"/>
          <w:sz w:val="24"/>
          <w:szCs w:val="24"/>
          <w:lang w:eastAsia="zh-CN"/>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1DF1FE4C">
      <w:pPr>
        <w:pStyle w:val="29"/>
        <w:pageBreakBefore w:val="0"/>
        <w:kinsoku/>
        <w:overflowPunct/>
        <w:topLinePunct w:val="0"/>
        <w:bidi w:val="0"/>
        <w:adjustRightInd w:val="0"/>
        <w:snapToGrid w:val="0"/>
        <w:spacing w:before="0" w:beforeAutospacing="0" w:after="0" w:afterAutospacing="0"/>
        <w:ind w:left="0" w:leftChars="0" w:right="0"/>
        <w:jc w:val="center"/>
        <w:outlineLvl w:val="0"/>
        <w:rPr>
          <w:rFonts w:hint="default" w:ascii="Times New Roman" w:hAnsi="Times New Roman" w:cs="Times New Roman"/>
          <w:snapToGrid w:val="0"/>
          <w:color w:val="000000" w:themeColor="text1"/>
          <w:sz w:val="32"/>
          <w:szCs w:val="32"/>
          <w14:textFill>
            <w14:solidFill>
              <w14:schemeClr w14:val="tx1"/>
            </w14:solidFill>
          </w14:textFill>
        </w:rPr>
      </w:pPr>
      <w:bookmarkStart w:id="3" w:name="_Toc20961"/>
      <w:r>
        <w:rPr>
          <w:rFonts w:hint="default" w:ascii="Times New Roman" w:hAnsi="Times New Roman" w:cs="Times New Roman"/>
          <w:b/>
          <w:bCs/>
          <w:snapToGrid w:val="0"/>
          <w:color w:val="000000" w:themeColor="text1"/>
          <w:sz w:val="32"/>
          <w:szCs w:val="32"/>
          <w14:textFill>
            <w14:solidFill>
              <w14:schemeClr w14:val="tx1"/>
            </w14:solidFill>
          </w14:textFill>
        </w:rPr>
        <w:t>一、建设项目基本情况</w:t>
      </w:r>
      <w:bookmarkEnd w:id="3"/>
    </w:p>
    <w:tbl>
      <w:tblPr>
        <w:tblStyle w:val="33"/>
        <w:tblW w:w="88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17"/>
        <w:gridCol w:w="417"/>
        <w:gridCol w:w="2136"/>
        <w:gridCol w:w="1977"/>
        <w:gridCol w:w="2982"/>
      </w:tblGrid>
      <w:tr w14:paraId="27DFDB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1734" w:type="dxa"/>
            <w:gridSpan w:val="2"/>
            <w:tcMar>
              <w:top w:w="16" w:type="dxa"/>
              <w:left w:w="16" w:type="dxa"/>
              <w:right w:w="16" w:type="dxa"/>
            </w:tcMar>
            <w:vAlign w:val="center"/>
          </w:tcPr>
          <w:p w14:paraId="1D477859">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建设项目名称</w:t>
            </w:r>
          </w:p>
        </w:tc>
        <w:tc>
          <w:tcPr>
            <w:tcW w:w="7095" w:type="dxa"/>
            <w:gridSpan w:val="3"/>
            <w:vAlign w:val="center"/>
          </w:tcPr>
          <w:p w14:paraId="5CE9EEC0">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玉溪市宏兴液化石油气瓶检测中心钢瓶检测迁建项目</w:t>
            </w:r>
          </w:p>
        </w:tc>
      </w:tr>
      <w:tr w14:paraId="421F49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1734" w:type="dxa"/>
            <w:gridSpan w:val="2"/>
            <w:tcMar>
              <w:top w:w="16" w:type="dxa"/>
              <w:left w:w="16" w:type="dxa"/>
              <w:right w:w="16" w:type="dxa"/>
            </w:tcMar>
            <w:vAlign w:val="center"/>
          </w:tcPr>
          <w:p w14:paraId="1FE237DA">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项目代码</w:t>
            </w:r>
          </w:p>
        </w:tc>
        <w:tc>
          <w:tcPr>
            <w:tcW w:w="7095" w:type="dxa"/>
            <w:gridSpan w:val="3"/>
            <w:vAlign w:val="center"/>
          </w:tcPr>
          <w:p w14:paraId="0405180C">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2504-530402-04-01-717729</w:t>
            </w:r>
          </w:p>
        </w:tc>
      </w:tr>
      <w:tr w14:paraId="08E53A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14:paraId="0CBDEBC6">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建设单位联系人</w:t>
            </w:r>
          </w:p>
        </w:tc>
        <w:tc>
          <w:tcPr>
            <w:tcW w:w="2136" w:type="dxa"/>
            <w:vAlign w:val="center"/>
          </w:tcPr>
          <w:p w14:paraId="55C03195">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史良</w:t>
            </w:r>
          </w:p>
        </w:tc>
        <w:tc>
          <w:tcPr>
            <w:tcW w:w="1977" w:type="dxa"/>
            <w:vAlign w:val="center"/>
          </w:tcPr>
          <w:p w14:paraId="42D395F5">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联系方式</w:t>
            </w:r>
          </w:p>
        </w:tc>
        <w:tc>
          <w:tcPr>
            <w:tcW w:w="2982" w:type="dxa"/>
            <w:vAlign w:val="center"/>
          </w:tcPr>
          <w:p w14:paraId="604FD545">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13907699967</w:t>
            </w:r>
          </w:p>
        </w:tc>
      </w:tr>
      <w:tr w14:paraId="5EBBE1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14:paraId="75C2A2D5">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建设地点</w:t>
            </w:r>
          </w:p>
        </w:tc>
        <w:tc>
          <w:tcPr>
            <w:tcW w:w="7095" w:type="dxa"/>
            <w:gridSpan w:val="3"/>
            <w:vAlign w:val="center"/>
          </w:tcPr>
          <w:p w14:paraId="725AF9D7">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云南省玉溪市红塔区研和街道可官社区可官一组定古自然村后面的原村办企业雄峰饲料厂（上半部分）的场地</w:t>
            </w:r>
          </w:p>
        </w:tc>
      </w:tr>
      <w:tr w14:paraId="46AB1D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14:paraId="20B209E7">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地理坐标</w:t>
            </w:r>
          </w:p>
        </w:tc>
        <w:tc>
          <w:tcPr>
            <w:tcW w:w="7095" w:type="dxa"/>
            <w:gridSpan w:val="3"/>
            <w:vAlign w:val="center"/>
          </w:tcPr>
          <w:p w14:paraId="797BEE18">
            <w:pPr>
              <w:pageBreakBefore w:val="0"/>
              <w:kinsoku/>
              <w:overflowPunct/>
              <w:topLinePunct w:val="0"/>
              <w:bidi w:val="0"/>
              <w:ind w:left="0" w:leftChars="0" w:right="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东经：</w:t>
            </w:r>
            <w:r>
              <w:rPr>
                <w:rFonts w:hint="default" w:ascii="Times New Roman" w:hAnsi="Times New Roman" w:cs="Times New Roman"/>
                <w:color w:val="000000" w:themeColor="text1"/>
                <w:sz w:val="24"/>
                <w:u w:val="single"/>
                <w14:textFill>
                  <w14:solidFill>
                    <w14:schemeClr w14:val="tx1"/>
                  </w14:solidFill>
                </w14:textFill>
              </w:rPr>
              <w:t>102</w:t>
            </w:r>
            <w:r>
              <w:rPr>
                <w:rFonts w:hint="default" w:ascii="Times New Roman" w:hAnsi="Times New Roman" w:cs="Times New Roman"/>
                <w:color w:val="000000" w:themeColor="text1"/>
                <w:sz w:val="24"/>
                <w14:textFill>
                  <w14:solidFill>
                    <w14:schemeClr w14:val="tx1"/>
                  </w14:solidFill>
                </w14:textFill>
              </w:rPr>
              <w:t>度</w:t>
            </w:r>
            <w:r>
              <w:rPr>
                <w:rFonts w:hint="default" w:ascii="Times New Roman" w:hAnsi="Times New Roman" w:cs="Times New Roman"/>
                <w:color w:val="000000" w:themeColor="text1"/>
                <w:sz w:val="24"/>
                <w:u w:val="single"/>
                <w:lang w:val="en-US" w:eastAsia="zh-CN"/>
                <w14:textFill>
                  <w14:solidFill>
                    <w14:schemeClr w14:val="tx1"/>
                  </w14:solidFill>
                </w14:textFill>
              </w:rPr>
              <w:t>29</w:t>
            </w:r>
            <w:r>
              <w:rPr>
                <w:rFonts w:hint="default" w:ascii="Times New Roman" w:hAnsi="Times New Roman" w:cs="Times New Roman"/>
                <w:color w:val="000000" w:themeColor="text1"/>
                <w:sz w:val="24"/>
                <w14:textFill>
                  <w14:solidFill>
                    <w14:schemeClr w14:val="tx1"/>
                  </w14:solidFill>
                </w14:textFill>
              </w:rPr>
              <w:t>分</w:t>
            </w:r>
            <w:r>
              <w:rPr>
                <w:rFonts w:hint="default" w:ascii="Times New Roman" w:hAnsi="Times New Roman" w:cs="Times New Roman"/>
                <w:color w:val="000000" w:themeColor="text1"/>
                <w:sz w:val="24"/>
                <w:u w:val="single"/>
                <w14:textFill>
                  <w14:solidFill>
                    <w14:schemeClr w14:val="tx1"/>
                  </w14:solidFill>
                </w14:textFill>
              </w:rPr>
              <w:t>3</w:t>
            </w:r>
            <w:r>
              <w:rPr>
                <w:rFonts w:hint="default" w:ascii="Times New Roman" w:hAnsi="Times New Roman" w:cs="Times New Roman"/>
                <w:color w:val="000000" w:themeColor="text1"/>
                <w:sz w:val="24"/>
                <w:u w:val="single"/>
                <w:lang w:val="en-US" w:eastAsia="zh-CN"/>
                <w14:textFill>
                  <w14:solidFill>
                    <w14:schemeClr w14:val="tx1"/>
                  </w14:solidFill>
                </w14:textFill>
              </w:rPr>
              <w:t>5.750</w:t>
            </w:r>
            <w:r>
              <w:rPr>
                <w:rFonts w:hint="default" w:ascii="Times New Roman" w:hAnsi="Times New Roman" w:cs="Times New Roman"/>
                <w:color w:val="000000" w:themeColor="text1"/>
                <w:sz w:val="24"/>
                <w14:textFill>
                  <w14:solidFill>
                    <w14:schemeClr w14:val="tx1"/>
                  </w14:solidFill>
                </w14:textFill>
              </w:rPr>
              <w:t>秒，北纬：</w:t>
            </w:r>
            <w:r>
              <w:rPr>
                <w:rFonts w:hint="default" w:ascii="Times New Roman" w:hAnsi="Times New Roman" w:cs="Times New Roman"/>
                <w:color w:val="000000" w:themeColor="text1"/>
                <w:sz w:val="24"/>
                <w:u w:val="single"/>
                <w14:textFill>
                  <w14:solidFill>
                    <w14:schemeClr w14:val="tx1"/>
                  </w14:solidFill>
                </w14:textFill>
              </w:rPr>
              <w:t>24</w:t>
            </w:r>
            <w:r>
              <w:rPr>
                <w:rFonts w:hint="default" w:ascii="Times New Roman" w:hAnsi="Times New Roman" w:cs="Times New Roman"/>
                <w:color w:val="000000" w:themeColor="text1"/>
                <w:sz w:val="24"/>
                <w14:textFill>
                  <w14:solidFill>
                    <w14:schemeClr w14:val="tx1"/>
                  </w14:solidFill>
                </w14:textFill>
              </w:rPr>
              <w:t>度</w:t>
            </w:r>
            <w:r>
              <w:rPr>
                <w:rFonts w:hint="default" w:ascii="Times New Roman" w:hAnsi="Times New Roman" w:cs="Times New Roman"/>
                <w:color w:val="000000" w:themeColor="text1"/>
                <w:sz w:val="24"/>
                <w:u w:val="single"/>
                <w14:textFill>
                  <w14:solidFill>
                    <w14:schemeClr w14:val="tx1"/>
                  </w14:solidFill>
                </w14:textFill>
              </w:rPr>
              <w:t>1</w:t>
            </w:r>
            <w:r>
              <w:rPr>
                <w:rFonts w:hint="default" w:ascii="Times New Roman" w:hAnsi="Times New Roman" w:cs="Times New Roman"/>
                <w:color w:val="000000" w:themeColor="text1"/>
                <w:sz w:val="24"/>
                <w:u w:val="single"/>
                <w:lang w:val="en-US" w:eastAsia="zh-CN"/>
                <w14:textFill>
                  <w14:solidFill>
                    <w14:schemeClr w14:val="tx1"/>
                  </w14:solidFill>
                </w14:textFill>
              </w:rPr>
              <w:t>6</w:t>
            </w:r>
            <w:r>
              <w:rPr>
                <w:rFonts w:hint="default" w:ascii="Times New Roman" w:hAnsi="Times New Roman" w:cs="Times New Roman"/>
                <w:color w:val="000000" w:themeColor="text1"/>
                <w:sz w:val="24"/>
                <w14:textFill>
                  <w14:solidFill>
                    <w14:schemeClr w14:val="tx1"/>
                  </w14:solidFill>
                </w14:textFill>
              </w:rPr>
              <w:t>分</w:t>
            </w:r>
            <w:r>
              <w:rPr>
                <w:rFonts w:hint="default" w:ascii="Times New Roman" w:hAnsi="Times New Roman" w:cs="Times New Roman"/>
                <w:color w:val="000000" w:themeColor="text1"/>
                <w:sz w:val="24"/>
                <w:u w:val="single"/>
                <w:lang w:val="en-US" w:eastAsia="zh-CN"/>
                <w14:textFill>
                  <w14:solidFill>
                    <w14:schemeClr w14:val="tx1"/>
                  </w14:solidFill>
                </w14:textFill>
              </w:rPr>
              <w:t>6.562</w:t>
            </w:r>
            <w:r>
              <w:rPr>
                <w:rFonts w:hint="default" w:ascii="Times New Roman" w:hAnsi="Times New Roman" w:cs="Times New Roman"/>
                <w:color w:val="000000" w:themeColor="text1"/>
                <w:sz w:val="24"/>
                <w14:textFill>
                  <w14:solidFill>
                    <w14:schemeClr w14:val="tx1"/>
                  </w14:solidFill>
                </w14:textFill>
              </w:rPr>
              <w:t>秒</w:t>
            </w:r>
          </w:p>
        </w:tc>
      </w:tr>
      <w:tr w14:paraId="53498B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34" w:type="dxa"/>
            <w:gridSpan w:val="2"/>
            <w:tcMar>
              <w:top w:w="16" w:type="dxa"/>
              <w:left w:w="16" w:type="dxa"/>
              <w:right w:w="16" w:type="dxa"/>
            </w:tcMar>
            <w:vAlign w:val="center"/>
          </w:tcPr>
          <w:p w14:paraId="50590360">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国民经济</w:t>
            </w:r>
          </w:p>
          <w:p w14:paraId="7368D62A">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行业类别</w:t>
            </w:r>
          </w:p>
        </w:tc>
        <w:tc>
          <w:tcPr>
            <w:tcW w:w="2136" w:type="dxa"/>
            <w:vAlign w:val="center"/>
          </w:tcPr>
          <w:p w14:paraId="1C8713BA">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C4310金属制品</w:t>
            </w:r>
          </w:p>
          <w:p w14:paraId="7FCB7747">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维修</w:t>
            </w:r>
          </w:p>
        </w:tc>
        <w:tc>
          <w:tcPr>
            <w:tcW w:w="1977" w:type="dxa"/>
            <w:vAlign w:val="center"/>
          </w:tcPr>
          <w:p w14:paraId="32CAA2DC">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14:textFill>
                  <w14:solidFill>
                    <w14:schemeClr w14:val="tx1"/>
                  </w14:solidFill>
                </w14:textFill>
              </w:rPr>
            </w:pPr>
            <w:bookmarkStart w:id="4" w:name="_Hlk49843745"/>
            <w:r>
              <w:rPr>
                <w:rFonts w:hint="default" w:ascii="Times New Roman" w:hAnsi="Times New Roman" w:cs="Times New Roman"/>
                <w:color w:val="000000" w:themeColor="text1"/>
                <w:sz w:val="24"/>
                <w14:textFill>
                  <w14:solidFill>
                    <w14:schemeClr w14:val="tx1"/>
                  </w14:solidFill>
                </w14:textFill>
              </w:rPr>
              <w:t>建设项目</w:t>
            </w:r>
          </w:p>
          <w:p w14:paraId="364CFDF5">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行业类别</w:t>
            </w:r>
            <w:bookmarkEnd w:id="4"/>
          </w:p>
        </w:tc>
        <w:tc>
          <w:tcPr>
            <w:tcW w:w="2982" w:type="dxa"/>
            <w:vAlign w:val="center"/>
          </w:tcPr>
          <w:p w14:paraId="6A563E19">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四十、金属制品、机械和设</w:t>
            </w:r>
          </w:p>
          <w:p w14:paraId="1FB09DD8">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备维修业43——86.金属制</w:t>
            </w:r>
          </w:p>
          <w:p w14:paraId="668DD2F1">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品修理431</w:t>
            </w:r>
          </w:p>
        </w:tc>
      </w:tr>
      <w:tr w14:paraId="1FB2DF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34" w:type="dxa"/>
            <w:gridSpan w:val="2"/>
            <w:tcMar>
              <w:top w:w="16" w:type="dxa"/>
              <w:left w:w="16" w:type="dxa"/>
              <w:right w:w="16" w:type="dxa"/>
            </w:tcMar>
            <w:vAlign w:val="center"/>
          </w:tcPr>
          <w:p w14:paraId="4BAA9043">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建设性质</w:t>
            </w:r>
          </w:p>
        </w:tc>
        <w:tc>
          <w:tcPr>
            <w:tcW w:w="2136" w:type="dxa"/>
            <w:vAlign w:val="center"/>
          </w:tcPr>
          <w:p w14:paraId="44085541">
            <w:pPr>
              <w:pageBreakBefore w:val="0"/>
              <w:kinsoku/>
              <w:overflowPunct/>
              <w:topLinePunct w:val="0"/>
              <w:bidi w:val="0"/>
              <w:ind w:left="0" w:leftChars="0" w:right="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52"/>
            </w:r>
            <w:r>
              <w:rPr>
                <w:rFonts w:hint="default" w:ascii="Times New Roman" w:hAnsi="Times New Roman" w:cs="Times New Roman"/>
                <w:color w:val="000000" w:themeColor="text1"/>
                <w:sz w:val="24"/>
                <w14:textFill>
                  <w14:solidFill>
                    <w14:schemeClr w14:val="tx1"/>
                  </w14:solidFill>
                </w14:textFill>
              </w:rPr>
              <w:t>新建（迁建）</w:t>
            </w:r>
          </w:p>
          <w:p w14:paraId="282A57DE">
            <w:pPr>
              <w:pageBreakBefore w:val="0"/>
              <w:kinsoku/>
              <w:overflowPunct/>
              <w:topLinePunct w:val="0"/>
              <w:bidi w:val="0"/>
              <w:ind w:left="0" w:leftChars="0" w:right="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改建</w:t>
            </w:r>
          </w:p>
          <w:p w14:paraId="3F72A24D">
            <w:pPr>
              <w:pageBreakBefore w:val="0"/>
              <w:kinsoku/>
              <w:overflowPunct/>
              <w:topLinePunct w:val="0"/>
              <w:bidi w:val="0"/>
              <w:ind w:left="0" w:leftChars="0" w:right="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扩建</w:t>
            </w:r>
          </w:p>
          <w:p w14:paraId="378A8FFD">
            <w:pPr>
              <w:pageBreakBefore w:val="0"/>
              <w:kinsoku/>
              <w:overflowPunct/>
              <w:topLinePunct w:val="0"/>
              <w:bidi w:val="0"/>
              <w:ind w:left="0" w:leftChars="0" w:right="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技术改造</w:t>
            </w:r>
          </w:p>
        </w:tc>
        <w:tc>
          <w:tcPr>
            <w:tcW w:w="1977" w:type="dxa"/>
            <w:vAlign w:val="center"/>
          </w:tcPr>
          <w:p w14:paraId="2926DE24">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建设项目</w:t>
            </w:r>
          </w:p>
          <w:p w14:paraId="12ED4FFB">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申报情形</w:t>
            </w:r>
          </w:p>
        </w:tc>
        <w:tc>
          <w:tcPr>
            <w:tcW w:w="2982" w:type="dxa"/>
            <w:vAlign w:val="center"/>
          </w:tcPr>
          <w:p w14:paraId="5FE4515E">
            <w:pPr>
              <w:pageBreakBefore w:val="0"/>
              <w:kinsoku/>
              <w:overflowPunct/>
              <w:topLinePunct w:val="0"/>
              <w:bidi w:val="0"/>
              <w:ind w:left="0" w:leftChars="0" w:right="0"/>
              <w:jc w:val="left"/>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52"/>
            </w:r>
            <w:r>
              <w:rPr>
                <w:rFonts w:hint="default" w:ascii="Times New Roman" w:hAnsi="Times New Roman" w:cs="Times New Roman"/>
                <w:color w:val="000000" w:themeColor="text1"/>
                <w:sz w:val="24"/>
                <w14:textFill>
                  <w14:solidFill>
                    <w14:schemeClr w14:val="tx1"/>
                  </w14:solidFill>
                </w14:textFill>
              </w:rPr>
              <w:t>首次申报项目</w:t>
            </w:r>
          </w:p>
          <w:p w14:paraId="56DF7E8B">
            <w:pPr>
              <w:pageBreakBefore w:val="0"/>
              <w:kinsoku/>
              <w:overflowPunct/>
              <w:topLinePunct w:val="0"/>
              <w:bidi w:val="0"/>
              <w:ind w:left="0" w:leftChars="0" w:right="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不予批准后再次申报项目</w:t>
            </w:r>
          </w:p>
          <w:p w14:paraId="207D781C">
            <w:pPr>
              <w:pageBreakBefore w:val="0"/>
              <w:kinsoku/>
              <w:overflowPunct/>
              <w:topLinePunct w:val="0"/>
              <w:bidi w:val="0"/>
              <w:ind w:left="0" w:leftChars="0" w:right="0"/>
              <w:jc w:val="left"/>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超五年重新审核项目</w:t>
            </w:r>
          </w:p>
          <w:p w14:paraId="3AD65237">
            <w:pPr>
              <w:pageBreakBefore w:val="0"/>
              <w:kinsoku/>
              <w:overflowPunct/>
              <w:topLinePunct w:val="0"/>
              <w:bidi w:val="0"/>
              <w:ind w:left="0" w:leftChars="0" w:right="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重大变动重新报批项目</w:t>
            </w:r>
          </w:p>
        </w:tc>
      </w:tr>
      <w:tr w14:paraId="08FE5E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34" w:type="dxa"/>
            <w:gridSpan w:val="2"/>
            <w:tcMar>
              <w:top w:w="16" w:type="dxa"/>
              <w:left w:w="16" w:type="dxa"/>
              <w:right w:w="16" w:type="dxa"/>
            </w:tcMar>
            <w:vAlign w:val="center"/>
          </w:tcPr>
          <w:p w14:paraId="475025C9">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项目审批（核准/</w:t>
            </w:r>
          </w:p>
          <w:p w14:paraId="6B7B9BAD">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备案）部门</w:t>
            </w:r>
          </w:p>
        </w:tc>
        <w:tc>
          <w:tcPr>
            <w:tcW w:w="2136" w:type="dxa"/>
            <w:vAlign w:val="center"/>
          </w:tcPr>
          <w:p w14:paraId="39050D2B">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玉溪市红塔区发展和改革局</w:t>
            </w:r>
          </w:p>
        </w:tc>
        <w:tc>
          <w:tcPr>
            <w:tcW w:w="1977" w:type="dxa"/>
            <w:vAlign w:val="center"/>
          </w:tcPr>
          <w:p w14:paraId="36936D3F">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项目审批（核准/</w:t>
            </w:r>
          </w:p>
          <w:p w14:paraId="16CB8F0D">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备案）文号</w:t>
            </w:r>
          </w:p>
        </w:tc>
        <w:tc>
          <w:tcPr>
            <w:tcW w:w="2982" w:type="dxa"/>
            <w:vAlign w:val="center"/>
          </w:tcPr>
          <w:p w14:paraId="2A770A76">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2504-530402-04-01-717729</w:t>
            </w:r>
          </w:p>
        </w:tc>
      </w:tr>
      <w:tr w14:paraId="525E0D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34" w:type="dxa"/>
            <w:gridSpan w:val="2"/>
            <w:tcMar>
              <w:top w:w="16" w:type="dxa"/>
              <w:left w:w="16" w:type="dxa"/>
              <w:right w:w="16" w:type="dxa"/>
            </w:tcMar>
            <w:vAlign w:val="center"/>
          </w:tcPr>
          <w:p w14:paraId="113C6E2E">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总投资（万元）</w:t>
            </w:r>
          </w:p>
        </w:tc>
        <w:tc>
          <w:tcPr>
            <w:tcW w:w="2136" w:type="dxa"/>
            <w:vAlign w:val="center"/>
          </w:tcPr>
          <w:p w14:paraId="3412FB57">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600</w:t>
            </w:r>
          </w:p>
        </w:tc>
        <w:tc>
          <w:tcPr>
            <w:tcW w:w="1977" w:type="dxa"/>
            <w:tcMar>
              <w:top w:w="16" w:type="dxa"/>
              <w:left w:w="16" w:type="dxa"/>
              <w:right w:w="16" w:type="dxa"/>
            </w:tcMar>
            <w:vAlign w:val="center"/>
          </w:tcPr>
          <w:p w14:paraId="3CCEF2FC">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环保投资（万元）</w:t>
            </w:r>
          </w:p>
        </w:tc>
        <w:tc>
          <w:tcPr>
            <w:tcW w:w="2982" w:type="dxa"/>
            <w:vAlign w:val="center"/>
          </w:tcPr>
          <w:p w14:paraId="0F9B464C">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49</w:t>
            </w:r>
            <w:r>
              <w:rPr>
                <w:rFonts w:hint="default" w:ascii="Times New Roman" w:hAnsi="Times New Roman" w:cs="Times New Roman"/>
                <w:color w:val="000000" w:themeColor="text1"/>
                <w:sz w:val="24"/>
                <w:highlight w:val="none"/>
                <w:lang w:val="en-US" w:eastAsia="zh-CN"/>
                <w14:textFill>
                  <w14:solidFill>
                    <w14:schemeClr w14:val="tx1"/>
                  </w14:solidFill>
                </w14:textFill>
              </w:rPr>
              <w:t>.1</w:t>
            </w:r>
          </w:p>
        </w:tc>
      </w:tr>
      <w:tr w14:paraId="0E2665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34" w:type="dxa"/>
            <w:gridSpan w:val="2"/>
            <w:tcMar>
              <w:top w:w="16" w:type="dxa"/>
              <w:left w:w="16" w:type="dxa"/>
              <w:right w:w="16" w:type="dxa"/>
            </w:tcMar>
            <w:vAlign w:val="center"/>
          </w:tcPr>
          <w:p w14:paraId="42CD3CFB">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环保投资占比（%）</w:t>
            </w:r>
          </w:p>
        </w:tc>
        <w:tc>
          <w:tcPr>
            <w:tcW w:w="2136" w:type="dxa"/>
            <w:vAlign w:val="center"/>
          </w:tcPr>
          <w:p w14:paraId="48177C2D">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8.</w:t>
            </w:r>
            <w:r>
              <w:rPr>
                <w:rFonts w:hint="eastAsia" w:cs="Times New Roman"/>
                <w:color w:val="000000" w:themeColor="text1"/>
                <w:sz w:val="24"/>
                <w:highlight w:val="none"/>
                <w:lang w:val="en-US" w:eastAsia="zh-CN"/>
                <w14:textFill>
                  <w14:solidFill>
                    <w14:schemeClr w14:val="tx1"/>
                  </w14:solidFill>
                </w14:textFill>
              </w:rPr>
              <w:t>183</w:t>
            </w:r>
          </w:p>
        </w:tc>
        <w:tc>
          <w:tcPr>
            <w:tcW w:w="1977" w:type="dxa"/>
            <w:tcMar>
              <w:top w:w="16" w:type="dxa"/>
              <w:left w:w="16" w:type="dxa"/>
              <w:right w:w="16" w:type="dxa"/>
            </w:tcMar>
            <w:vAlign w:val="center"/>
          </w:tcPr>
          <w:p w14:paraId="11F3C002">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施工工期</w:t>
            </w:r>
          </w:p>
        </w:tc>
        <w:tc>
          <w:tcPr>
            <w:tcW w:w="2982" w:type="dxa"/>
            <w:vAlign w:val="center"/>
          </w:tcPr>
          <w:p w14:paraId="14920CE1">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4个月</w:t>
            </w:r>
          </w:p>
        </w:tc>
      </w:tr>
      <w:tr w14:paraId="465E10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2A591B32">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是否开工建设</w:t>
            </w:r>
          </w:p>
        </w:tc>
        <w:tc>
          <w:tcPr>
            <w:tcW w:w="2136" w:type="dxa"/>
            <w:vAlign w:val="center"/>
          </w:tcPr>
          <w:p w14:paraId="32F2BFFC">
            <w:pPr>
              <w:pageBreakBefore w:val="0"/>
              <w:kinsoku/>
              <w:overflowPunct/>
              <w:topLinePunct w:val="0"/>
              <w:bidi w:val="0"/>
              <w:adjustRightInd w:val="0"/>
              <w:snapToGrid w:val="0"/>
              <w:ind w:left="0" w:leftChars="0" w:right="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52"/>
            </w:r>
            <w:r>
              <w:rPr>
                <w:rFonts w:hint="default" w:ascii="Times New Roman" w:hAnsi="Times New Roman" w:cs="Times New Roman"/>
                <w:color w:val="000000" w:themeColor="text1"/>
                <w:sz w:val="24"/>
                <w14:textFill>
                  <w14:solidFill>
                    <w14:schemeClr w14:val="tx1"/>
                  </w14:solidFill>
                </w14:textFill>
              </w:rPr>
              <w:t>否</w:t>
            </w:r>
          </w:p>
          <w:p w14:paraId="6659B128">
            <w:pPr>
              <w:pageBreakBefore w:val="0"/>
              <w:kinsoku/>
              <w:overflowPunct/>
              <w:topLinePunct w:val="0"/>
              <w:bidi w:val="0"/>
              <w:adjustRightInd w:val="0"/>
              <w:snapToGrid w:val="0"/>
              <w:ind w:left="0" w:leftChars="0" w:right="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是：</w:t>
            </w:r>
          </w:p>
        </w:tc>
        <w:tc>
          <w:tcPr>
            <w:tcW w:w="1977" w:type="dxa"/>
            <w:tcMar>
              <w:top w:w="16" w:type="dxa"/>
              <w:left w:w="16" w:type="dxa"/>
              <w:right w:w="16" w:type="dxa"/>
            </w:tcMar>
            <w:vAlign w:val="center"/>
          </w:tcPr>
          <w:p w14:paraId="50E35333">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pacing w:val="-6"/>
                <w:sz w:val="24"/>
                <w14:textFill>
                  <w14:solidFill>
                    <w14:schemeClr w14:val="tx1"/>
                  </w14:solidFill>
                </w14:textFill>
              </w:rPr>
            </w:pPr>
            <w:r>
              <w:rPr>
                <w:rFonts w:hint="default" w:ascii="Times New Roman" w:hAnsi="Times New Roman" w:cs="Times New Roman"/>
                <w:color w:val="000000" w:themeColor="text1"/>
                <w:spacing w:val="-6"/>
                <w:sz w:val="24"/>
                <w14:textFill>
                  <w14:solidFill>
                    <w14:schemeClr w14:val="tx1"/>
                  </w14:solidFill>
                </w14:textFill>
              </w:rPr>
              <w:t>用地（用海）</w:t>
            </w:r>
          </w:p>
          <w:p w14:paraId="0F26EA26">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pacing w:val="-6"/>
                <w:sz w:val="24"/>
                <w14:textFill>
                  <w14:solidFill>
                    <w14:schemeClr w14:val="tx1"/>
                  </w14:solidFill>
                </w14:textFill>
              </w:rPr>
              <w:t>面积（m</w:t>
            </w:r>
            <w:r>
              <w:rPr>
                <w:rFonts w:hint="default" w:ascii="Times New Roman" w:hAnsi="Times New Roman" w:cs="Times New Roman"/>
                <w:color w:val="000000" w:themeColor="text1"/>
                <w:spacing w:val="-6"/>
                <w:sz w:val="24"/>
                <w:vertAlign w:val="superscript"/>
                <w14:textFill>
                  <w14:solidFill>
                    <w14:schemeClr w14:val="tx1"/>
                  </w14:solidFill>
                </w14:textFill>
              </w:rPr>
              <w:t>2</w:t>
            </w:r>
            <w:r>
              <w:rPr>
                <w:rFonts w:hint="default" w:ascii="Times New Roman" w:hAnsi="Times New Roman" w:cs="Times New Roman"/>
                <w:color w:val="000000" w:themeColor="text1"/>
                <w:spacing w:val="-6"/>
                <w:sz w:val="24"/>
                <w14:textFill>
                  <w14:solidFill>
                    <w14:schemeClr w14:val="tx1"/>
                  </w14:solidFill>
                </w14:textFill>
              </w:rPr>
              <w:t>）</w:t>
            </w:r>
          </w:p>
        </w:tc>
        <w:tc>
          <w:tcPr>
            <w:tcW w:w="2982" w:type="dxa"/>
            <w:vAlign w:val="center"/>
          </w:tcPr>
          <w:p w14:paraId="0D769555">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1900</w:t>
            </w:r>
          </w:p>
        </w:tc>
      </w:tr>
      <w:tr w14:paraId="0FA616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317" w:type="dxa"/>
            <w:vAlign w:val="center"/>
          </w:tcPr>
          <w:p w14:paraId="0650E885">
            <w:pPr>
              <w:pageBreakBefore w:val="0"/>
              <w:kinsoku/>
              <w:overflowPunct/>
              <w:topLinePunct w:val="0"/>
              <w:autoSpaceDE w:val="0"/>
              <w:autoSpaceDN w:val="0"/>
              <w:bidi w:val="0"/>
              <w:adjustRightInd w:val="0"/>
              <w:snapToGrid w:val="0"/>
              <w:ind w:left="0" w:leftChars="0" w:right="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专项评价设置情况</w:t>
            </w:r>
          </w:p>
        </w:tc>
        <w:tc>
          <w:tcPr>
            <w:tcW w:w="7512" w:type="dxa"/>
            <w:gridSpan w:val="4"/>
            <w:vAlign w:val="center"/>
          </w:tcPr>
          <w:p w14:paraId="3148327D">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480" w:firstLineChars="200"/>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项目与《建设项目环境影响报告表编制技术指南（污染影响类）（试行）》的专项评价设置原则表对照情况如下：</w:t>
            </w:r>
          </w:p>
          <w:p w14:paraId="0DCAF26D">
            <w:pPr>
              <w:pStyle w:val="45"/>
              <w:pageBreakBefore w:val="0"/>
              <w:kinsoku/>
              <w:overflowPunct/>
              <w:topLinePunct w:val="0"/>
              <w:bidi w:val="0"/>
              <w:spacing w:before="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表1-1项目专项评价判定表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2379"/>
              <w:gridCol w:w="3234"/>
              <w:gridCol w:w="697"/>
            </w:tblGrid>
            <w:tr w14:paraId="429C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dxa"/>
                  <w:vAlign w:val="center"/>
                </w:tcPr>
                <w:p w14:paraId="16EED09B">
                  <w:pPr>
                    <w:pStyle w:val="123"/>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cs="Times New Roman"/>
                      <w:b/>
                      <w:bCs w:val="0"/>
                      <w:color w:val="000000" w:themeColor="text1"/>
                      <w14:textFill>
                        <w14:solidFill>
                          <w14:schemeClr w14:val="tx1"/>
                        </w14:solidFill>
                      </w14:textFill>
                    </w:rPr>
                  </w:pPr>
                  <w:r>
                    <w:rPr>
                      <w:rFonts w:hint="default" w:ascii="Times New Roman" w:hAnsi="Times New Roman" w:cs="Times New Roman"/>
                      <w:b/>
                      <w:bCs w:val="0"/>
                      <w:color w:val="000000" w:themeColor="text1"/>
                      <w14:textFill>
                        <w14:solidFill>
                          <w14:schemeClr w14:val="tx1"/>
                        </w14:solidFill>
                      </w14:textFill>
                    </w:rPr>
                    <w:t>专项评价的类别</w:t>
                  </w:r>
                </w:p>
              </w:tc>
              <w:tc>
                <w:tcPr>
                  <w:tcW w:w="2379" w:type="dxa"/>
                  <w:vAlign w:val="center"/>
                </w:tcPr>
                <w:p w14:paraId="17B3389F">
                  <w:pPr>
                    <w:pStyle w:val="123"/>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cs="Times New Roman"/>
                      <w:b/>
                      <w:bCs w:val="0"/>
                      <w:color w:val="000000" w:themeColor="text1"/>
                      <w14:textFill>
                        <w14:solidFill>
                          <w14:schemeClr w14:val="tx1"/>
                        </w14:solidFill>
                      </w14:textFill>
                    </w:rPr>
                  </w:pPr>
                  <w:r>
                    <w:rPr>
                      <w:rFonts w:hint="default" w:ascii="Times New Roman" w:hAnsi="Times New Roman" w:cs="Times New Roman"/>
                      <w:b/>
                      <w:bCs w:val="0"/>
                      <w:color w:val="000000" w:themeColor="text1"/>
                      <w14:textFill>
                        <w14:solidFill>
                          <w14:schemeClr w14:val="tx1"/>
                        </w14:solidFill>
                      </w14:textFill>
                    </w:rPr>
                    <w:t>设置原则</w:t>
                  </w:r>
                </w:p>
              </w:tc>
              <w:tc>
                <w:tcPr>
                  <w:tcW w:w="3234" w:type="dxa"/>
                  <w:vAlign w:val="center"/>
                </w:tcPr>
                <w:p w14:paraId="10BE22D3">
                  <w:pPr>
                    <w:pStyle w:val="123"/>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cs="Times New Roman"/>
                      <w:b/>
                      <w:bCs w:val="0"/>
                      <w:color w:val="000000" w:themeColor="text1"/>
                      <w14:textFill>
                        <w14:solidFill>
                          <w14:schemeClr w14:val="tx1"/>
                        </w14:solidFill>
                      </w14:textFill>
                    </w:rPr>
                  </w:pPr>
                  <w:r>
                    <w:rPr>
                      <w:rFonts w:hint="default" w:ascii="Times New Roman" w:hAnsi="Times New Roman" w:cs="Times New Roman"/>
                      <w:b/>
                      <w:bCs w:val="0"/>
                      <w:color w:val="000000" w:themeColor="text1"/>
                      <w14:textFill>
                        <w14:solidFill>
                          <w14:schemeClr w14:val="tx1"/>
                        </w14:solidFill>
                      </w14:textFill>
                    </w:rPr>
                    <w:t>本项目情况</w:t>
                  </w:r>
                </w:p>
              </w:tc>
              <w:tc>
                <w:tcPr>
                  <w:tcW w:w="697" w:type="dxa"/>
                  <w:vAlign w:val="center"/>
                </w:tcPr>
                <w:p w14:paraId="55F1DF1C">
                  <w:pPr>
                    <w:pStyle w:val="123"/>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cs="Times New Roman"/>
                      <w:b/>
                      <w:bCs w:val="0"/>
                      <w:color w:val="000000" w:themeColor="text1"/>
                      <w14:textFill>
                        <w14:solidFill>
                          <w14:schemeClr w14:val="tx1"/>
                        </w14:solidFill>
                      </w14:textFill>
                    </w:rPr>
                  </w:pPr>
                  <w:r>
                    <w:rPr>
                      <w:rFonts w:hint="default" w:ascii="Times New Roman" w:hAnsi="Times New Roman" w:cs="Times New Roman"/>
                      <w:b/>
                      <w:bCs w:val="0"/>
                      <w:color w:val="000000" w:themeColor="text1"/>
                      <w14:textFill>
                        <w14:solidFill>
                          <w14:schemeClr w14:val="tx1"/>
                        </w14:solidFill>
                      </w14:textFill>
                    </w:rPr>
                    <w:t>设置与否</w:t>
                  </w:r>
                </w:p>
              </w:tc>
            </w:tr>
            <w:tr w14:paraId="7A2D7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976" w:type="dxa"/>
                  <w:vAlign w:val="center"/>
                </w:tcPr>
                <w:p w14:paraId="50A6088D">
                  <w:pPr>
                    <w:pStyle w:val="123"/>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w:t>
                  </w:r>
                </w:p>
              </w:tc>
              <w:tc>
                <w:tcPr>
                  <w:tcW w:w="2379" w:type="dxa"/>
                  <w:vAlign w:val="center"/>
                </w:tcPr>
                <w:p w14:paraId="4D68EF19">
                  <w:pPr>
                    <w:pStyle w:val="123"/>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排放废气中含有有毒有害污染物、二噁英、苯并芘、氰化物、氯气且厂外500m范围内有环境空气保护目标的建设项目</w:t>
                  </w:r>
                </w:p>
              </w:tc>
              <w:tc>
                <w:tcPr>
                  <w:tcW w:w="3234" w:type="dxa"/>
                  <w:vAlign w:val="center"/>
                </w:tcPr>
                <w:p w14:paraId="1C14BAB1">
                  <w:pPr>
                    <w:pStyle w:val="123"/>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项目排放废气主要为颗粒物、非甲烷总烃</w:t>
                  </w:r>
                  <w:r>
                    <w:rPr>
                      <w:rFonts w:hint="default" w:ascii="Times New Roman" w:hAnsi="Times New Roman" w:cs="Times New Roman"/>
                      <w:color w:val="000000" w:themeColor="text1"/>
                      <w:lang w:eastAsia="zh-CN"/>
                      <w14:textFill>
                        <w14:solidFill>
                          <w14:schemeClr w14:val="tx1"/>
                        </w14:solidFill>
                      </w14:textFill>
                    </w:rPr>
                    <w:t>、二氧化硫、氮氧化物</w:t>
                  </w:r>
                  <w:r>
                    <w:rPr>
                      <w:rFonts w:hint="default" w:ascii="Times New Roman" w:hAnsi="Times New Roman" w:cs="Times New Roman"/>
                      <w:color w:val="000000" w:themeColor="text1"/>
                      <w14:textFill>
                        <w14:solidFill>
                          <w14:schemeClr w14:val="tx1"/>
                        </w14:solidFill>
                      </w14:textFill>
                    </w:rPr>
                    <w:t>，不排放含有毒有害污染物、二噁英、苯并</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芘、氰化物、氯气等废气。</w:t>
                  </w:r>
                </w:p>
              </w:tc>
              <w:tc>
                <w:tcPr>
                  <w:tcW w:w="697" w:type="dxa"/>
                  <w:vAlign w:val="center"/>
                </w:tcPr>
                <w:p w14:paraId="6EFC9EC9">
                  <w:pPr>
                    <w:pStyle w:val="123"/>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否</w:t>
                  </w:r>
                </w:p>
              </w:tc>
            </w:tr>
            <w:tr w14:paraId="436A3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dxa"/>
                  <w:vAlign w:val="center"/>
                </w:tcPr>
                <w:p w14:paraId="1C195F82">
                  <w:pPr>
                    <w:pStyle w:val="123"/>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地表水</w:t>
                  </w:r>
                </w:p>
              </w:tc>
              <w:tc>
                <w:tcPr>
                  <w:tcW w:w="2379" w:type="dxa"/>
                  <w:vAlign w:val="center"/>
                </w:tcPr>
                <w:p w14:paraId="5293D204">
                  <w:pPr>
                    <w:pStyle w:val="123"/>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新增工业废水直排建设项目（槽罐车外运污水处理厂的除外）；新增废水直排的污水集中处理厂</w:t>
                  </w:r>
                </w:p>
              </w:tc>
              <w:tc>
                <w:tcPr>
                  <w:tcW w:w="3234" w:type="dxa"/>
                  <w:vAlign w:val="center"/>
                </w:tcPr>
                <w:p w14:paraId="7C8C81D4">
                  <w:pPr>
                    <w:pStyle w:val="123"/>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本项目生活污水经化粪池收集后进入一体化生活污水处理设施，经</w:t>
                  </w:r>
                  <w:r>
                    <w:rPr>
                      <w:rFonts w:hint="default" w:ascii="Times New Roman" w:hAnsi="Times New Roman" w:cs="Times New Roman"/>
                      <w:color w:val="000000" w:themeColor="text1"/>
                      <w14:textFill>
                        <w14:solidFill>
                          <w14:schemeClr w14:val="tx1"/>
                        </w14:solidFill>
                      </w14:textFill>
                    </w:rPr>
                    <w:t>处理达绿化标准后</w:t>
                  </w:r>
                  <w:r>
                    <w:rPr>
                      <w:rFonts w:hint="default" w:ascii="Times New Roman" w:hAnsi="Times New Roman" w:cs="Times New Roman"/>
                      <w:color w:val="000000" w:themeColor="text1"/>
                      <w:lang w:val="en-US" w:eastAsia="zh-CN"/>
                      <w14:textFill>
                        <w14:solidFill>
                          <w14:schemeClr w14:val="tx1"/>
                        </w14:solidFill>
                      </w14:textFill>
                    </w:rPr>
                    <w:t>进入收集池，</w:t>
                  </w:r>
                  <w:r>
                    <w:rPr>
                      <w:rFonts w:hint="default" w:ascii="Times New Roman" w:hAnsi="Times New Roman" w:cs="Times New Roman"/>
                      <w:color w:val="000000" w:themeColor="text1"/>
                      <w14:textFill>
                        <w14:solidFill>
                          <w14:schemeClr w14:val="tx1"/>
                        </w14:solidFill>
                      </w14:textFill>
                    </w:rPr>
                    <w:t>回用于</w:t>
                  </w:r>
                  <w:r>
                    <w:rPr>
                      <w:rFonts w:hint="default" w:ascii="Times New Roman" w:hAnsi="Times New Roman" w:cs="Times New Roman"/>
                      <w:color w:val="000000" w:themeColor="text1"/>
                      <w:lang w:val="en-US" w:eastAsia="zh-CN"/>
                      <w14:textFill>
                        <w14:solidFill>
                          <w14:schemeClr w14:val="tx1"/>
                        </w14:solidFill>
                      </w14:textFill>
                    </w:rPr>
                    <w:t>绿化</w:t>
                  </w:r>
                  <w:r>
                    <w:rPr>
                      <w:rFonts w:hint="default" w:ascii="Times New Roman" w:hAnsi="Times New Roman" w:cs="Times New Roman"/>
                      <w:color w:val="000000" w:themeColor="text1"/>
                      <w:lang w:eastAsia="zh-CN"/>
                      <w14:textFill>
                        <w14:solidFill>
                          <w14:schemeClr w14:val="tx1"/>
                        </w14:solidFill>
                      </w14:textFill>
                    </w:rPr>
                    <w:t>，不外排</w:t>
                  </w:r>
                  <w:r>
                    <w:rPr>
                      <w:rFonts w:hint="default" w:ascii="Times New Roman" w:hAnsi="Times New Roman" w:cs="Times New Roman"/>
                      <w:color w:val="000000" w:themeColor="text1"/>
                      <w:lang w:val="en-US" w:eastAsia="zh-CN"/>
                      <w14:textFill>
                        <w14:solidFill>
                          <w14:schemeClr w14:val="tx1"/>
                        </w14:solidFill>
                      </w14:textFill>
                    </w:rPr>
                    <w:t>。</w:t>
                  </w:r>
                </w:p>
                <w:p w14:paraId="0F709EA2">
                  <w:pPr>
                    <w:pStyle w:val="123"/>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本项目</w:t>
                  </w:r>
                  <w:r>
                    <w:rPr>
                      <w:rFonts w:hint="default" w:ascii="Times New Roman" w:hAnsi="Times New Roman" w:cs="Times New Roman"/>
                      <w:color w:val="000000" w:themeColor="text1"/>
                      <w14:textFill>
                        <w14:solidFill>
                          <w14:schemeClr w14:val="tx1"/>
                        </w14:solidFill>
                      </w14:textFill>
                    </w:rPr>
                    <w:t>生产</w:t>
                  </w:r>
                  <w:r>
                    <w:rPr>
                      <w:rFonts w:hint="default" w:ascii="Times New Roman" w:hAnsi="Times New Roman" w:cs="Times New Roman"/>
                      <w:color w:val="000000" w:themeColor="text1"/>
                      <w:lang w:eastAsia="zh-CN"/>
                      <w14:textFill>
                        <w14:solidFill>
                          <w14:schemeClr w14:val="tx1"/>
                        </w14:solidFill>
                      </w14:textFill>
                    </w:rPr>
                    <w:t>过程中水压试验、气密试验用水循环使用，不外排</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喷淋塔定期补充新鲜水，循环使用，废液每年更换一次，废液经收集后暂存于危废暂存间，定期交由有危废资质的单位进行处置。</w:t>
                  </w:r>
                </w:p>
              </w:tc>
              <w:tc>
                <w:tcPr>
                  <w:tcW w:w="697" w:type="dxa"/>
                  <w:vAlign w:val="center"/>
                </w:tcPr>
                <w:p w14:paraId="7A132E48">
                  <w:pPr>
                    <w:pStyle w:val="123"/>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否</w:t>
                  </w:r>
                </w:p>
              </w:tc>
            </w:tr>
            <w:tr w14:paraId="60760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dxa"/>
                  <w:vAlign w:val="center"/>
                </w:tcPr>
                <w:p w14:paraId="5D001424">
                  <w:pPr>
                    <w:pStyle w:val="123"/>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环境风险</w:t>
                  </w:r>
                </w:p>
              </w:tc>
              <w:tc>
                <w:tcPr>
                  <w:tcW w:w="2379" w:type="dxa"/>
                  <w:vAlign w:val="center"/>
                </w:tcPr>
                <w:p w14:paraId="6D9F7762">
                  <w:pPr>
                    <w:pStyle w:val="123"/>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有毒有害和易燃易爆危险物质存储量超过临界量的建设项目</w:t>
                  </w:r>
                </w:p>
              </w:tc>
              <w:tc>
                <w:tcPr>
                  <w:tcW w:w="3234" w:type="dxa"/>
                  <w:vAlign w:val="center"/>
                </w:tcPr>
                <w:p w14:paraId="76ECA1C0">
                  <w:pPr>
                    <w:pStyle w:val="123"/>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项目涉及有毒有害和易燃易爆危险物质最大暂存量未超过临界量</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Q</w:t>
                  </w:r>
                  <w:r>
                    <w:rPr>
                      <w:rFonts w:hint="eastAsia" w:ascii="Times New Roman" w:hAnsi="Times New Roman" w:cs="Times New Roman"/>
                      <w:color w:val="000000" w:themeColor="text1"/>
                      <w:lang w:eastAsia="zh-CN"/>
                      <w14:textFill>
                        <w14:solidFill>
                          <w14:schemeClr w14:val="tx1"/>
                        </w14:solidFill>
                      </w14:textFill>
                    </w:rPr>
                    <w:t>值为</w:t>
                  </w:r>
                  <w:r>
                    <w:rPr>
                      <w:rFonts w:hint="default" w:ascii="Times New Roman" w:hAnsi="Times New Roman" w:cs="Times New Roman"/>
                      <w:color w:val="000000" w:themeColor="text1"/>
                      <w:lang w:val="en-US" w:eastAsia="zh-CN"/>
                      <w14:textFill>
                        <w14:solidFill>
                          <w14:schemeClr w14:val="tx1"/>
                        </w14:solidFill>
                      </w14:textFill>
                    </w:rPr>
                    <w:t>0.08654</w:t>
                  </w:r>
                  <w:r>
                    <w:rPr>
                      <w:rFonts w:hint="default"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lang w:eastAsia="zh-CN"/>
                      <w14:textFill>
                        <w14:solidFill>
                          <w14:schemeClr w14:val="tx1"/>
                        </w14:solidFill>
                      </w14:textFill>
                    </w:rPr>
                    <w:t>。</w:t>
                  </w:r>
                </w:p>
              </w:tc>
              <w:tc>
                <w:tcPr>
                  <w:tcW w:w="697" w:type="dxa"/>
                  <w:vAlign w:val="center"/>
                </w:tcPr>
                <w:p w14:paraId="1760575B">
                  <w:pPr>
                    <w:pStyle w:val="123"/>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否</w:t>
                  </w:r>
                </w:p>
              </w:tc>
            </w:tr>
            <w:tr w14:paraId="33DAC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dxa"/>
                  <w:vAlign w:val="center"/>
                </w:tcPr>
                <w:p w14:paraId="77A494F8">
                  <w:pPr>
                    <w:pStyle w:val="123"/>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w:t>
                  </w:r>
                </w:p>
              </w:tc>
              <w:tc>
                <w:tcPr>
                  <w:tcW w:w="2379" w:type="dxa"/>
                  <w:vAlign w:val="center"/>
                </w:tcPr>
                <w:p w14:paraId="69C8D446">
                  <w:pPr>
                    <w:pStyle w:val="123"/>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取水口下游500m范围有重要水生生物的自然产卵场、索饵场、越冬场和洄游通道的新增河道取水的污染类建设项目</w:t>
                  </w:r>
                </w:p>
              </w:tc>
              <w:tc>
                <w:tcPr>
                  <w:tcW w:w="3234" w:type="dxa"/>
                  <w:vAlign w:val="center"/>
                </w:tcPr>
                <w:p w14:paraId="0646A1E8">
                  <w:pPr>
                    <w:pStyle w:val="123"/>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不涉及</w:t>
                  </w:r>
                </w:p>
              </w:tc>
              <w:tc>
                <w:tcPr>
                  <w:tcW w:w="697" w:type="dxa"/>
                  <w:vAlign w:val="center"/>
                </w:tcPr>
                <w:p w14:paraId="37472AE3">
                  <w:pPr>
                    <w:pStyle w:val="123"/>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否</w:t>
                  </w:r>
                </w:p>
              </w:tc>
            </w:tr>
            <w:tr w14:paraId="6F939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dxa"/>
                  <w:vAlign w:val="center"/>
                </w:tcPr>
                <w:p w14:paraId="1F1F6BD8">
                  <w:pPr>
                    <w:pStyle w:val="123"/>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海洋</w:t>
                  </w:r>
                </w:p>
              </w:tc>
              <w:tc>
                <w:tcPr>
                  <w:tcW w:w="2379" w:type="dxa"/>
                  <w:vAlign w:val="center"/>
                </w:tcPr>
                <w:p w14:paraId="49C217D2">
                  <w:pPr>
                    <w:pStyle w:val="123"/>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直接向海洋排放污染物的海洋工程建设项目</w:t>
                  </w:r>
                </w:p>
              </w:tc>
              <w:tc>
                <w:tcPr>
                  <w:tcW w:w="3234" w:type="dxa"/>
                  <w:vAlign w:val="center"/>
                </w:tcPr>
                <w:p w14:paraId="6AAE222E">
                  <w:pPr>
                    <w:pStyle w:val="123"/>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不涉及</w:t>
                  </w:r>
                </w:p>
              </w:tc>
              <w:tc>
                <w:tcPr>
                  <w:tcW w:w="697" w:type="dxa"/>
                  <w:vAlign w:val="center"/>
                </w:tcPr>
                <w:p w14:paraId="75FFB833">
                  <w:pPr>
                    <w:pStyle w:val="123"/>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否</w:t>
                  </w:r>
                </w:p>
              </w:tc>
            </w:tr>
            <w:tr w14:paraId="3B512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dxa"/>
                  <w:vAlign w:val="center"/>
                </w:tcPr>
                <w:p w14:paraId="3E300081">
                  <w:pPr>
                    <w:pStyle w:val="123"/>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地下水</w:t>
                  </w:r>
                </w:p>
              </w:tc>
              <w:tc>
                <w:tcPr>
                  <w:tcW w:w="2379" w:type="dxa"/>
                  <w:vAlign w:val="center"/>
                </w:tcPr>
                <w:p w14:paraId="7C0BEF3A">
                  <w:pPr>
                    <w:pStyle w:val="123"/>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涉及集中式饮用水水源和热水、矿泉水、温泉等特殊地下水资源保护区</w:t>
                  </w:r>
                </w:p>
              </w:tc>
              <w:tc>
                <w:tcPr>
                  <w:tcW w:w="3234" w:type="dxa"/>
                  <w:vAlign w:val="center"/>
                </w:tcPr>
                <w:p w14:paraId="7217C6AC">
                  <w:pPr>
                    <w:pStyle w:val="123"/>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项目选址不涉及集中式饮用水水源和热水、矿泉水、温泉等特殊地下水资源保护区</w:t>
                  </w:r>
                </w:p>
              </w:tc>
              <w:tc>
                <w:tcPr>
                  <w:tcW w:w="697" w:type="dxa"/>
                  <w:vAlign w:val="center"/>
                </w:tcPr>
                <w:p w14:paraId="4A316A72">
                  <w:pPr>
                    <w:pStyle w:val="123"/>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否</w:t>
                  </w:r>
                </w:p>
              </w:tc>
            </w:tr>
            <w:tr w14:paraId="5731E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6" w:type="dxa"/>
                  <w:gridSpan w:val="4"/>
                  <w:vAlign w:val="center"/>
                </w:tcPr>
                <w:p w14:paraId="4279B545">
                  <w:pPr>
                    <w:pStyle w:val="123"/>
                    <w:keepNext w:val="0"/>
                    <w:keepLines w:val="0"/>
                    <w:pageBreakBefore w:val="0"/>
                    <w:widowControl/>
                    <w:kinsoku/>
                    <w:wordWrap/>
                    <w:overflowPunct/>
                    <w:topLinePunct w:val="0"/>
                    <w:autoSpaceDE/>
                    <w:autoSpaceDN/>
                    <w:bidi w:val="0"/>
                    <w:adjustRightInd/>
                    <w:snapToGrid/>
                    <w:spacing w:before="0" w:after="0" w:line="240" w:lineRule="auto"/>
                    <w:ind w:left="0" w:leftChars="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169）附录B、附录C.</w:t>
                  </w:r>
                </w:p>
              </w:tc>
            </w:tr>
          </w:tbl>
          <w:p w14:paraId="11C93229">
            <w:pPr>
              <w:pageBreakBefore w:val="0"/>
              <w:kinsoku/>
              <w:overflowPunct/>
              <w:topLinePunct w:val="0"/>
              <w:bidi w:val="0"/>
              <w:adjustRightInd w:val="0"/>
              <w:snapToGrid w:val="0"/>
              <w:spacing w:line="356" w:lineRule="auto"/>
              <w:ind w:left="0" w:leftChars="0" w:right="0"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由上表可知，本项目不设置专项评价。</w:t>
            </w:r>
          </w:p>
        </w:tc>
      </w:tr>
      <w:tr w14:paraId="6D07F4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17" w:type="dxa"/>
            <w:vAlign w:val="center"/>
          </w:tcPr>
          <w:p w14:paraId="6058EA5B">
            <w:pPr>
              <w:pageBreakBefore w:val="0"/>
              <w:kinsoku/>
              <w:overflowPunct/>
              <w:topLinePunct w:val="0"/>
              <w:autoSpaceDE w:val="0"/>
              <w:autoSpaceDN w:val="0"/>
              <w:bidi w:val="0"/>
              <w:adjustRightInd w:val="0"/>
              <w:snapToGrid w:val="0"/>
              <w:ind w:left="0" w:leftChars="0" w:right="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规划情况</w:t>
            </w:r>
          </w:p>
        </w:tc>
        <w:tc>
          <w:tcPr>
            <w:tcW w:w="7512" w:type="dxa"/>
            <w:gridSpan w:val="4"/>
            <w:vAlign w:val="center"/>
          </w:tcPr>
          <w:p w14:paraId="0E1258CE">
            <w:pPr>
              <w:keepNext w:val="0"/>
              <w:keepLines w:val="0"/>
              <w:pageBreakBefore w:val="0"/>
              <w:widowControl w:val="0"/>
              <w:kinsoku/>
              <w:wordWrap/>
              <w:overflowPunct/>
              <w:topLinePunct w:val="0"/>
              <w:bidi w:val="0"/>
              <w:adjustRightInd/>
              <w:snapToGrid/>
              <w:spacing w:line="360" w:lineRule="auto"/>
              <w:jc w:val="left"/>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w:t>
            </w:r>
            <w:r>
              <w:rPr>
                <w:rFonts w:hint="default" w:ascii="Times New Roman" w:hAnsi="Times New Roman" w:eastAsia="宋体" w:cs="Times New Roman"/>
                <w:color w:val="000000" w:themeColor="text1"/>
                <w:sz w:val="24"/>
                <w:lang w:eastAsia="zh-CN"/>
                <w14:textFill>
                  <w14:solidFill>
                    <w14:schemeClr w14:val="tx1"/>
                  </w14:solidFill>
                </w14:textFill>
              </w:rPr>
              <w:t>产业园区</w:t>
            </w:r>
            <w:r>
              <w:rPr>
                <w:rFonts w:hint="default" w:ascii="Times New Roman" w:hAnsi="Times New Roman" w:eastAsia="宋体" w:cs="Times New Roman"/>
                <w:color w:val="000000" w:themeColor="text1"/>
                <w:sz w:val="24"/>
                <w14:textFill>
                  <w14:solidFill>
                    <w14:schemeClr w14:val="tx1"/>
                  </w14:solidFill>
                </w14:textFill>
              </w:rPr>
              <w:t>规划文</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件名称：《云南红塔产业园区总体规划修编（2021-2035年）》；</w:t>
            </w:r>
          </w:p>
          <w:p w14:paraId="1CFB0517">
            <w:pPr>
              <w:keepNext w:val="0"/>
              <w:keepLines w:val="0"/>
              <w:pageBreakBefore w:val="0"/>
              <w:widowControl w:val="0"/>
              <w:kinsoku/>
              <w:wordWrap/>
              <w:overflowPunct/>
              <w:topLinePunct w:val="0"/>
              <w:bidi w:val="0"/>
              <w:adjustRightInd/>
              <w:snapToGrid/>
              <w:spacing w:line="360" w:lineRule="auto"/>
              <w:jc w:val="left"/>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2、规划审查机关：玉溪市人民政府；</w:t>
            </w:r>
          </w:p>
          <w:p w14:paraId="47ADA30A">
            <w:pPr>
              <w:keepNext w:val="0"/>
              <w:keepLines w:val="0"/>
              <w:pageBreakBefore w:val="0"/>
              <w:widowControl w:val="0"/>
              <w:kinsoku/>
              <w:wordWrap/>
              <w:overflowPunct/>
              <w:topLinePunct w:val="0"/>
              <w:bidi w:val="0"/>
              <w:adjustRightInd/>
              <w:snapToGrid/>
              <w:spacing w:line="360" w:lineRule="auto"/>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3、审批文件名称及文号：玉政复〔2023〕21号文件。</w:t>
            </w:r>
          </w:p>
        </w:tc>
      </w:tr>
      <w:tr w14:paraId="563003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317" w:type="dxa"/>
            <w:vAlign w:val="center"/>
          </w:tcPr>
          <w:p w14:paraId="7E1731B3">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规划环境影响评价情况</w:t>
            </w:r>
          </w:p>
        </w:tc>
        <w:tc>
          <w:tcPr>
            <w:tcW w:w="7512" w:type="dxa"/>
            <w:gridSpan w:val="4"/>
            <w:vAlign w:val="center"/>
          </w:tcPr>
          <w:p w14:paraId="20E203DA">
            <w:pPr>
              <w:keepNext w:val="0"/>
              <w:keepLines w:val="0"/>
              <w:pageBreakBefore w:val="0"/>
              <w:widowControl w:val="0"/>
              <w:kinsoku/>
              <w:wordWrap/>
              <w:overflowPunct/>
              <w:topLinePunct w:val="0"/>
              <w:bidi w:val="0"/>
              <w:adjustRightInd/>
              <w:snapToGrid/>
              <w:spacing w:line="360" w:lineRule="auto"/>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1、规划环评文件名称：《云南红塔产业园区总体规划修编（2021-2035年）环境影响报告书》；</w:t>
            </w:r>
          </w:p>
          <w:p w14:paraId="6A9DA8CB">
            <w:pPr>
              <w:keepNext w:val="0"/>
              <w:keepLines w:val="0"/>
              <w:pageBreakBefore w:val="0"/>
              <w:widowControl w:val="0"/>
              <w:kinsoku/>
              <w:wordWrap/>
              <w:overflowPunct/>
              <w:topLinePunct w:val="0"/>
              <w:bidi w:val="0"/>
              <w:adjustRightInd/>
              <w:snapToGrid/>
              <w:spacing w:line="360" w:lineRule="auto"/>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w:t>
            </w:r>
            <w:r>
              <w:rPr>
                <w:rFonts w:hint="default" w:ascii="Times New Roman" w:hAnsi="Times New Roman" w:eastAsia="宋体" w:cs="Times New Roman"/>
                <w:color w:val="000000" w:themeColor="text1"/>
                <w:sz w:val="24"/>
                <w:lang w:eastAsia="zh-CN"/>
                <w14:textFill>
                  <w14:solidFill>
                    <w14:schemeClr w14:val="tx1"/>
                  </w14:solidFill>
                </w14:textFill>
              </w:rPr>
              <w:t>规划环评</w:t>
            </w:r>
            <w:r>
              <w:rPr>
                <w:rFonts w:hint="default" w:ascii="Times New Roman" w:hAnsi="Times New Roman" w:eastAsia="宋体" w:cs="Times New Roman"/>
                <w:color w:val="000000" w:themeColor="text1"/>
                <w:sz w:val="24"/>
                <w14:textFill>
                  <w14:solidFill>
                    <w14:schemeClr w14:val="tx1"/>
                  </w14:solidFill>
                </w14:textFill>
              </w:rPr>
              <w:t>审查机关：</w:t>
            </w:r>
            <w:r>
              <w:rPr>
                <w:rFonts w:hint="default" w:ascii="Times New Roman" w:hAnsi="Times New Roman" w:cs="Times New Roman"/>
                <w:color w:val="000000" w:themeColor="text1"/>
                <w:sz w:val="24"/>
                <w:lang w:val="en-US" w:eastAsia="zh-CN"/>
                <w14:textFill>
                  <w14:solidFill>
                    <w14:schemeClr w14:val="tx1"/>
                  </w14:solidFill>
                </w14:textFill>
              </w:rPr>
              <w:t>玉溪市生态环境局</w:t>
            </w:r>
            <w:r>
              <w:rPr>
                <w:rFonts w:hint="default" w:ascii="Times New Roman" w:hAnsi="Times New Roman" w:eastAsia="宋体" w:cs="Times New Roman"/>
                <w:color w:val="000000" w:themeColor="text1"/>
                <w:sz w:val="24"/>
                <w14:textFill>
                  <w14:solidFill>
                    <w14:schemeClr w14:val="tx1"/>
                  </w14:solidFill>
                </w14:textFill>
              </w:rPr>
              <w:t>；</w:t>
            </w:r>
          </w:p>
          <w:p w14:paraId="1DC8D2AB">
            <w:pPr>
              <w:keepNext w:val="0"/>
              <w:keepLines w:val="0"/>
              <w:pageBreakBefore w:val="0"/>
              <w:widowControl w:val="0"/>
              <w:kinsoku/>
              <w:wordWrap/>
              <w:overflowPunct/>
              <w:topLinePunct w:val="0"/>
              <w:autoSpaceDE w:val="0"/>
              <w:autoSpaceDN w:val="0"/>
              <w:bidi w:val="0"/>
              <w:adjustRightInd/>
              <w:snapToGrid/>
              <w:spacing w:line="360" w:lineRule="auto"/>
              <w:ind w:left="0" w:leftChars="0" w:right="0"/>
              <w:jc w:val="both"/>
              <w:textAlignment w:val="auto"/>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3、审查文件名称及文号：</w:t>
            </w:r>
            <w:r>
              <w:rPr>
                <w:rFonts w:hint="default" w:ascii="Times New Roman" w:hAnsi="Times New Roman" w:cs="Times New Roman"/>
                <w:color w:val="000000" w:themeColor="text1"/>
                <w:sz w:val="24"/>
                <w:lang w:eastAsia="zh-CN"/>
                <w14:textFill>
                  <w14:solidFill>
                    <w14:schemeClr w14:val="tx1"/>
                  </w14:solidFill>
                </w14:textFill>
              </w:rPr>
              <w:t>玉溪市生态环境局</w:t>
            </w:r>
            <w:r>
              <w:rPr>
                <w:rFonts w:hint="default" w:ascii="Times New Roman" w:hAnsi="Times New Roman" w:eastAsia="宋体" w:cs="Times New Roman"/>
                <w:color w:val="000000" w:themeColor="text1"/>
                <w:sz w:val="24"/>
                <w:lang w:eastAsia="zh-CN"/>
                <w14:textFill>
                  <w14:solidFill>
                    <w14:schemeClr w14:val="tx1"/>
                  </w14:solidFill>
                </w14:textFill>
              </w:rPr>
              <w:t>关于</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云南红塔产业园区总体规划修编</w:t>
            </w:r>
            <w:r>
              <w:rPr>
                <w:rFonts w:hint="default" w:ascii="Times New Roman" w:hAnsi="Times New Roman" w:eastAsia="宋体" w:cs="Times New Roman"/>
                <w:color w:val="000000" w:themeColor="text1"/>
                <w:sz w:val="24"/>
                <w:lang w:val="en-US" w:eastAsia="zh-CN"/>
                <w14:textFill>
                  <w14:solidFill>
                    <w14:schemeClr w14:val="tx1"/>
                  </w14:solidFill>
                </w14:textFill>
              </w:rPr>
              <w:t>（2021-2035年）环境影响报告书</w:t>
            </w:r>
            <w:r>
              <w:rPr>
                <w:rFonts w:hint="default" w:ascii="Times New Roman" w:hAnsi="Times New Roman" w:eastAsia="宋体" w:cs="Times New Roman"/>
                <w:color w:val="000000" w:themeColor="text1"/>
                <w:sz w:val="24"/>
                <w14:textFill>
                  <w14:solidFill>
                    <w14:schemeClr w14:val="tx1"/>
                  </w14:solidFill>
                </w14:textFill>
              </w:rPr>
              <w:t>》审查意见的函（</w:t>
            </w:r>
            <w:r>
              <w:rPr>
                <w:rFonts w:hint="default" w:ascii="Times New Roman" w:hAnsi="Times New Roman" w:cs="Times New Roman"/>
                <w:color w:val="000000" w:themeColor="text1"/>
                <w:sz w:val="24"/>
                <w:lang w:val="en-US" w:eastAsia="zh-CN"/>
                <w14:textFill>
                  <w14:solidFill>
                    <w14:schemeClr w14:val="tx1"/>
                  </w14:solidFill>
                </w14:textFill>
              </w:rPr>
              <w:t>玉市环</w:t>
            </w:r>
            <w:r>
              <w:rPr>
                <w:rFonts w:hint="default" w:ascii="Times New Roman" w:hAnsi="Times New Roman" w:eastAsia="宋体" w:cs="Times New Roman"/>
                <w:color w:val="000000" w:themeColor="text1"/>
                <w:sz w:val="24"/>
                <w:lang w:val="en-US" w:eastAsia="zh-CN"/>
                <w14:textFill>
                  <w14:solidFill>
                    <w14:schemeClr w14:val="tx1"/>
                  </w14:solidFill>
                </w14:textFill>
              </w:rPr>
              <w:t>函〔202</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27</w:t>
            </w:r>
            <w:r>
              <w:rPr>
                <w:rFonts w:hint="default" w:ascii="Times New Roman" w:hAnsi="Times New Roman" w:eastAsia="宋体" w:cs="Times New Roman"/>
                <w:color w:val="000000" w:themeColor="text1"/>
                <w:sz w:val="24"/>
                <w:lang w:val="en-US" w:eastAsia="zh-CN"/>
                <w14:textFill>
                  <w14:solidFill>
                    <w14:schemeClr w14:val="tx1"/>
                  </w14:solidFill>
                </w14:textFill>
              </w:rPr>
              <w:t>号</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w:t>
            </w:r>
          </w:p>
        </w:tc>
      </w:tr>
      <w:tr w14:paraId="6B3B5B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317" w:type="dxa"/>
            <w:vAlign w:val="center"/>
          </w:tcPr>
          <w:p w14:paraId="26BFFA68">
            <w:pPr>
              <w:pageBreakBefore w:val="0"/>
              <w:kinsoku/>
              <w:overflowPunct/>
              <w:topLinePunct w:val="0"/>
              <w:autoSpaceDE w:val="0"/>
              <w:autoSpaceDN w:val="0"/>
              <w:bidi w:val="0"/>
              <w:adjustRightInd w:val="0"/>
              <w:snapToGrid w:val="0"/>
              <w:ind w:left="0" w:leftChars="0" w:right="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规划及规划环境影响评价符合性分析</w:t>
            </w:r>
          </w:p>
        </w:tc>
        <w:tc>
          <w:tcPr>
            <w:tcW w:w="7512" w:type="dxa"/>
            <w:gridSpan w:val="4"/>
            <w:vAlign w:val="center"/>
          </w:tcPr>
          <w:p w14:paraId="64134238">
            <w:pPr>
              <w:keepNext w:val="0"/>
              <w:keepLines w:val="0"/>
              <w:pageBreakBefore w:val="0"/>
              <w:widowControl/>
              <w:kinsoku/>
              <w:wordWrap/>
              <w:overflowPunct/>
              <w:topLinePunct w:val="0"/>
              <w:autoSpaceDE/>
              <w:autoSpaceDN/>
              <w:bidi w:val="0"/>
              <w:adjustRightInd/>
              <w:snapToGrid/>
              <w:spacing w:line="240" w:lineRule="auto"/>
              <w:ind w:firstLine="482" w:firstLineChars="200"/>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1、</w:t>
            </w:r>
            <w:r>
              <w:rPr>
                <w:rFonts w:hint="default" w:ascii="Times New Roman" w:hAnsi="Times New Roman" w:cs="Times New Roman"/>
                <w:b/>
                <w:bCs/>
                <w:color w:val="000000" w:themeColor="text1"/>
                <w:sz w:val="24"/>
                <w:szCs w:val="24"/>
                <w:lang w:eastAsia="zh-CN"/>
                <w14:textFill>
                  <w14:solidFill>
                    <w14:schemeClr w14:val="tx1"/>
                  </w14:solidFill>
                </w14:textFill>
              </w:rPr>
              <w:t>与《</w:t>
            </w:r>
            <w:r>
              <w:rPr>
                <w:rFonts w:hint="default" w:ascii="Times New Roman" w:hAnsi="Times New Roman" w:eastAsia="宋体" w:cs="Times New Roman"/>
                <w:b/>
                <w:bCs/>
                <w:color w:val="000000" w:themeColor="text1"/>
                <w:sz w:val="24"/>
                <w:lang w:val="en-US" w:eastAsia="zh-CN"/>
                <w14:textFill>
                  <w14:solidFill>
                    <w14:schemeClr w14:val="tx1"/>
                  </w14:solidFill>
                </w14:textFill>
              </w:rPr>
              <w:t>云南红塔产业园区总体规划修编（2021-2035年）</w:t>
            </w:r>
            <w:r>
              <w:rPr>
                <w:rFonts w:hint="default"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lang w:val="en-US" w:eastAsia="zh-CN"/>
                <w14:textFill>
                  <w14:solidFill>
                    <w14:schemeClr w14:val="tx1"/>
                  </w14:solidFill>
                </w14:textFill>
              </w:rPr>
              <w:t>符合性分析</w:t>
            </w:r>
          </w:p>
          <w:p w14:paraId="79F8931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根据《云南红塔产业园区总体规划修编（2021-2035年）》，园区以产城融合发展为原则，考虑用地布局，采用“两片十块，一带一环”的规划结构模式</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园区总用地为</w:t>
            </w:r>
            <w:r>
              <w:rPr>
                <w:rFonts w:hint="default"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3.55</w:t>
            </w:r>
            <w:r>
              <w:rPr>
                <w:rFonts w:hint="default" w:ascii="Times New Roman" w:hAnsi="Times New Roman" w:cs="Times New Roman"/>
                <w:color w:val="000000" w:themeColor="text1"/>
                <w:sz w:val="24"/>
                <w:szCs w:val="24"/>
                <w:lang w:val="en-US" w:eastAsia="zh-CN"/>
                <w14:textFill>
                  <w14:solidFill>
                    <w14:schemeClr w14:val="tx1"/>
                  </w14:solidFill>
                </w14:textFill>
              </w:rPr>
              <w:t>km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szCs w:val="24"/>
                <w:lang w:val="en-US" w:eastAsia="zh-CN"/>
                <w14:textFill>
                  <w14:solidFill>
                    <w14:schemeClr w14:val="tx1"/>
                  </w14:solidFill>
                </w14:textFill>
              </w:rPr>
              <w:t>。</w:t>
            </w:r>
          </w:p>
          <w:p w14:paraId="0CFAB18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两片：红塔片区、研和片区整合原红塔工业园区、原研和工业园区，形成园区的发展两片，做优先进装备制造、新能源电池、钢铁及压延加工、新材料、现代物流、现代建材产业、生物制药。</w:t>
            </w:r>
          </w:p>
          <w:p w14:paraId="3E835FC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十块：即卧牛山地块、青龙山地块、莲池地块、观音山地块、大营街地块、研和地块一、研和地块二、研和地块三、研和地块四、双小地块。十地块分散布置于城市周边，与城市发展相互辅助、相互促进。</w:t>
            </w:r>
          </w:p>
          <w:p w14:paraId="3891FFF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w:t>
            </w:r>
            <w:bookmarkStart w:id="5" w:name="_Toc88211840"/>
            <w:bookmarkStart w:id="6" w:name="_Toc88212204"/>
            <w:r>
              <w:rPr>
                <w:rFonts w:hint="default" w:ascii="Times New Roman" w:hAnsi="Times New Roman" w:eastAsia="宋体" w:cs="Times New Roman"/>
                <w:color w:val="000000" w:themeColor="text1"/>
                <w:sz w:val="24"/>
                <w:szCs w:val="24"/>
                <w:lang w:val="en-US" w:eastAsia="zh-CN"/>
                <w14:textFill>
                  <w14:solidFill>
                    <w14:schemeClr w14:val="tx1"/>
                  </w14:solidFill>
                </w14:textFill>
              </w:rPr>
              <w:t>云南红塔产业园区总体规划修编（2021-2035年）</w:t>
            </w:r>
            <w:bookmarkEnd w:id="5"/>
            <w:bookmarkEnd w:id="6"/>
            <w:r>
              <w:rPr>
                <w:rFonts w:hint="default" w:ascii="Times New Roman" w:hAnsi="Times New Roman" w:eastAsia="宋体" w:cs="Times New Roman"/>
                <w:color w:val="000000" w:themeColor="text1"/>
                <w:sz w:val="24"/>
                <w:szCs w:val="24"/>
                <w:lang w:val="en-US" w:eastAsia="zh-CN"/>
                <w14:textFill>
                  <w14:solidFill>
                    <w14:schemeClr w14:val="tx1"/>
                  </w14:solidFill>
                </w14:textFill>
              </w:rPr>
              <w:t>》中产业园区园区</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产业定位</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打造材料制造转型示范区及开放高端制造区。围绕高质量发展目标，坚持卷烟配套、装备制造等产业改造升级、新能源电池、新材料、生物医药等产业培育壮大“双轮驱动”，发展数控机床制造、金属冶炼及制品加工、现代物流等领域，形成组团特色，加快新旧动能转换，打造转型提升示范区、全国知名的“专、精、特、新”特色产业聚集区。其中研和片区依托载体：中国西南·玉溪国际物流港、钢制品深加工产业园、数控园，重点产业：数控机床制造、金属冶炼及制品加工、新能源电池、新能源新材料、现代物流，</w:t>
            </w:r>
          </w:p>
          <w:p w14:paraId="600962F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云南红塔产业园区总体规划修编（2021-2035年）》，研和片区依托载体：中国西南·玉溪国际物流港、钢制品深加工产业园、数控园；重点产业：数控机床制造、金属冶炼及制品加工、新能源电池、新能源新材料、现代物流；发展定位：特殊产业聚集区。</w:t>
            </w:r>
          </w:p>
          <w:p w14:paraId="5272A45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本项目位于玉溪市红塔区研和街道可官社区可官一组，根据《云南红塔产业园区总体规划修编（2021-2035年）》，属于云南红塔产业园区研和片区地块三。本项目为</w:t>
            </w:r>
            <w:r>
              <w:rPr>
                <w:rFonts w:hint="eastAsia" w:ascii="Times New Roman" w:hAnsi="Times New Roman" w:cs="Times New Roman"/>
                <w:color w:val="000000" w:themeColor="text1"/>
                <w:sz w:val="24"/>
                <w:szCs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检测项目，属于金属制品修理行业，属于园区重点产业中金属冶炼及制品加工的后端产业，符合园区特殊产业聚集区发展定位。项目于2025年4月16日取得了玉溪市红塔区发展和改革局核发的《云南省固定资产投资项目备案证》（项目代码：2504-530402-04-01-717729）</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，同意项目建设。综上，项目选址符合《云南</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红塔产业园区总体规划修编（2021-2035年）》</w:t>
            </w:r>
            <w:r>
              <w:rPr>
                <w:rFonts w:hint="default" w:ascii="Times New Roman" w:hAnsi="Times New Roman" w:cs="Times New Roman"/>
                <w:color w:val="000000" w:themeColor="text1"/>
                <w:sz w:val="24"/>
                <w:szCs w:val="24"/>
                <w:lang w:val="en-US" w:eastAsia="zh-CN"/>
                <w14:textFill>
                  <w14:solidFill>
                    <w14:schemeClr w14:val="tx1"/>
                  </w14:solidFill>
                </w14:textFill>
              </w:rPr>
              <w:t>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园区总体规划及产业定位和布局。</w:t>
            </w:r>
          </w:p>
          <w:p w14:paraId="67E24AB6">
            <w:pPr>
              <w:widowControl/>
              <w:spacing w:line="360" w:lineRule="auto"/>
              <w:ind w:firstLine="482" w:firstLineChars="200"/>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pPr>
            <w:r>
              <w:rPr>
                <w:rFonts w:hint="default" w:ascii="Times New Roman" w:hAnsi="Times New Roman" w:cs="Times New Roman"/>
                <w:b/>
                <w:bCs/>
                <w:color w:val="000000" w:themeColor="text1"/>
                <w:kern w:val="0"/>
                <w:sz w:val="24"/>
                <w:szCs w:val="24"/>
                <w:lang w:val="en-US" w:eastAsia="zh-CN"/>
                <w14:textFill>
                  <w14:solidFill>
                    <w14:schemeClr w14:val="tx1"/>
                  </w14:solidFill>
                </w14:textFill>
              </w:rPr>
              <w:t>2、与《</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云南红塔产业园区总体规划修编（2021-2035年）</w:t>
            </w:r>
            <w:r>
              <w:rPr>
                <w:rFonts w:hint="default" w:ascii="Times New Roman" w:hAnsi="Times New Roman" w:cs="Times New Roman"/>
                <w:b/>
                <w:bCs/>
                <w:color w:val="000000" w:themeColor="text1"/>
                <w:sz w:val="24"/>
                <w:szCs w:val="24"/>
                <w:lang w:val="en-US" w:eastAsia="zh-CN"/>
                <w14:textFill>
                  <w14:solidFill>
                    <w14:schemeClr w14:val="tx1"/>
                  </w14:solidFill>
                </w14:textFill>
              </w:rPr>
              <w:t>环境影响报告书</w:t>
            </w:r>
            <w:r>
              <w:rPr>
                <w:rFonts w:hint="default" w:ascii="Times New Roman" w:hAnsi="Times New Roman" w:cs="Times New Roman"/>
                <w:b/>
                <w:bCs/>
                <w:color w:val="000000" w:themeColor="text1"/>
                <w:kern w:val="0"/>
                <w:sz w:val="24"/>
                <w:szCs w:val="24"/>
                <w:lang w:val="en-US" w:eastAsia="zh-CN"/>
                <w14:textFill>
                  <w14:solidFill>
                    <w14:schemeClr w14:val="tx1"/>
                  </w14:solidFill>
                </w14:textFill>
              </w:rPr>
              <w:t>》</w:t>
            </w:r>
            <w:r>
              <w:rPr>
                <w:rFonts w:hint="default" w:ascii="Times New Roman" w:hAnsi="Times New Roman" w:cs="Times New Roman"/>
                <w:b/>
                <w:bCs/>
                <w:color w:val="000000" w:themeColor="text1"/>
                <w:kern w:val="0"/>
                <w:sz w:val="24"/>
                <w:szCs w:val="24"/>
                <w:lang w:val="en-US" w:eastAsia="zh-CN" w:bidi="ar-SA"/>
                <w14:textFill>
                  <w14:solidFill>
                    <w14:schemeClr w14:val="tx1"/>
                  </w14:solidFill>
                </w14:textFill>
              </w:rPr>
              <w:t>及其审查意见</w:t>
            </w:r>
            <w:r>
              <w:rPr>
                <w:rFonts w:hint="default" w:ascii="Times New Roman" w:hAnsi="Times New Roman" w:cs="Times New Roman"/>
                <w:b/>
                <w:bCs/>
                <w:color w:val="000000" w:themeColor="text1"/>
                <w:kern w:val="0"/>
                <w:sz w:val="24"/>
                <w:szCs w:val="24"/>
                <w:lang w:val="en-US" w:eastAsia="zh-CN"/>
                <w14:textFill>
                  <w14:solidFill>
                    <w14:schemeClr w14:val="tx1"/>
                  </w14:solidFill>
                </w14:textFill>
              </w:rPr>
              <w:t>符合性分析</w:t>
            </w:r>
          </w:p>
          <w:p w14:paraId="31D1C18D">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bCs/>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1-2</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项目与规划环评结论及审查意见的对照分析</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4"/>
              <w:gridCol w:w="2686"/>
              <w:gridCol w:w="681"/>
            </w:tblGrid>
            <w:tr w14:paraId="7BB3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04" w:type="dxa"/>
                  <w:noWrap w:val="0"/>
                  <w:vAlign w:val="center"/>
                </w:tcPr>
                <w:p w14:paraId="17FFA3C2">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规划环评结论及审查意见</w:t>
                  </w:r>
                </w:p>
              </w:tc>
              <w:tc>
                <w:tcPr>
                  <w:tcW w:w="2686" w:type="dxa"/>
                  <w:noWrap w:val="0"/>
                  <w:vAlign w:val="center"/>
                </w:tcPr>
                <w:p w14:paraId="5A28C345">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本项目情况</w:t>
                  </w:r>
                </w:p>
              </w:tc>
              <w:tc>
                <w:tcPr>
                  <w:tcW w:w="681" w:type="dxa"/>
                  <w:noWrap w:val="0"/>
                  <w:vAlign w:val="center"/>
                </w:tcPr>
                <w:p w14:paraId="0A95D768">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符合情况</w:t>
                  </w:r>
                </w:p>
              </w:tc>
            </w:tr>
            <w:tr w14:paraId="14257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04" w:type="dxa"/>
                  <w:noWrap w:val="0"/>
                  <w:vAlign w:val="center"/>
                </w:tcPr>
                <w:p w14:paraId="69B78F71">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加强《规划》引导，坚持绿色低碳高质量发展理念，结合生态环境分区管控要求，区域统筹保护好生态空间。落实国家、区域发展战略，坚持生态优先、集约高效，以生态环境质量改善为核心，做好与国土空间规划和“三线一单”（生态保护红线、环境质量底线、资源利用上线、生态环境准入清单）生态环境分区管控体系的协调衔接，产业园区应与红塔区、峨山县“三区三线”充分衔接，符合“三区三线”规划管控要求。按国家生态工业示范园区标准推进《规划》实施，进一步优化《规划》的布局和发展规模</w:t>
                  </w:r>
                </w:p>
              </w:tc>
              <w:tc>
                <w:tcPr>
                  <w:tcW w:w="2686" w:type="dxa"/>
                  <w:noWrap w:val="0"/>
                  <w:vAlign w:val="center"/>
                </w:tcPr>
                <w:p w14:paraId="3227B3A4">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本项目符合国家产业政策要求；符合国土空间管控和生态环境专项规划要求；</w:t>
                  </w:r>
                </w:p>
                <w:p w14:paraId="2A8BA7B0">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kern w:val="2"/>
                      <w:sz w:val="21"/>
                      <w:szCs w:val="21"/>
                      <w:lang w:val="en-US" w:eastAsia="zh-CN" w:bidi="ar-SA"/>
                      <w14:textFill>
                        <w14:solidFill>
                          <w14:schemeClr w14:val="tx1"/>
                        </w14:solidFill>
                      </w14:textFill>
                    </w:rPr>
                    <w:t>本项目位于浩峰公司内，</w:t>
                  </w:r>
                </w:p>
                <w:p w14:paraId="05DBC2CE">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kern w:val="2"/>
                      <w:sz w:val="21"/>
                      <w:szCs w:val="21"/>
                      <w:lang w:val="en-US" w:eastAsia="zh-CN" w:bidi="ar-SA"/>
                      <w14:textFill>
                        <w14:solidFill>
                          <w14:schemeClr w14:val="tx1"/>
                        </w14:solidFill>
                      </w14:textFill>
                    </w:rPr>
                    <w:t>根据</w:t>
                  </w:r>
                  <w:r>
                    <w:rPr>
                      <w:rFonts w:hint="default" w:eastAsia="宋体" w:cs="Times New Roman"/>
                      <w:color w:val="000000" w:themeColor="text1"/>
                      <w:kern w:val="2"/>
                      <w:sz w:val="21"/>
                      <w:szCs w:val="21"/>
                      <w:lang w:val="en-US" w:eastAsia="zh-CN" w:bidi="ar-SA"/>
                      <w14:textFill>
                        <w14:solidFill>
                          <w14:schemeClr w14:val="tx1"/>
                        </w14:solidFill>
                      </w14:textFill>
                    </w:rPr>
                    <w:t>“浩峰公司塑料项目”于2024年9月24日取得</w:t>
                  </w:r>
                  <w:r>
                    <w:rPr>
                      <w:rFonts w:hint="eastAsia" w:eastAsia="宋体" w:cs="Times New Roman"/>
                      <w:color w:val="000000" w:themeColor="text1"/>
                      <w:kern w:val="2"/>
                      <w:sz w:val="21"/>
                      <w:szCs w:val="21"/>
                      <w:lang w:val="en-US" w:eastAsia="zh-CN" w:bidi="ar-SA"/>
                      <w14:textFill>
                        <w14:solidFill>
                          <w14:schemeClr w14:val="tx1"/>
                        </w14:solidFill>
                      </w14:textFill>
                    </w:rPr>
                    <w:t>的</w:t>
                  </w:r>
                  <w:r>
                    <w:rPr>
                      <w:rFonts w:hint="default" w:eastAsia="宋体" w:cs="Times New Roman"/>
                      <w:color w:val="000000" w:themeColor="text1"/>
                      <w:kern w:val="2"/>
                      <w:sz w:val="21"/>
                      <w:szCs w:val="21"/>
                      <w:lang w:val="en-US" w:eastAsia="zh-CN" w:bidi="ar-SA"/>
                      <w14:textFill>
                        <w14:solidFill>
                          <w14:schemeClr w14:val="tx1"/>
                        </w14:solidFill>
                      </w14:textFill>
                    </w:rPr>
                    <w:t>玉溪市红塔区自然资源局部门意见，该项目位于红塔区城镇开发边界范围外，不涉及红塔区永久基本农田，不涉及占用红塔区生态保护红线</w:t>
                  </w:r>
                  <w:r>
                    <w:rPr>
                      <w:rFonts w:hint="eastAsia" w:eastAsia="宋体" w:cs="Times New Roman"/>
                      <w:color w:val="000000" w:themeColor="text1"/>
                      <w:kern w:val="2"/>
                      <w:sz w:val="21"/>
                      <w:szCs w:val="21"/>
                      <w:lang w:val="en-US" w:eastAsia="zh-CN" w:bidi="ar-SA"/>
                      <w14:textFill>
                        <w14:solidFill>
                          <w14:schemeClr w14:val="tx1"/>
                        </w14:solidFill>
                      </w14:textFill>
                    </w:rPr>
                    <w:t>。</w:t>
                  </w:r>
                </w:p>
                <w:p w14:paraId="32DC97C8">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符合《玉溪市生态环境局关于印发玉溪市生态环境分区管控动态更新调整方案（2023年）的通知》（玉市环〔2024〕40号）要求以及《玉溪市“三线一单”生态环境分区管控实施意见》中（生态保护红线、环境质量底线、资源利用上线）中相关要求。</w:t>
                  </w:r>
                </w:p>
              </w:tc>
              <w:tc>
                <w:tcPr>
                  <w:tcW w:w="681" w:type="dxa"/>
                  <w:noWrap w:val="0"/>
                  <w:vAlign w:val="center"/>
                </w:tcPr>
                <w:p w14:paraId="24B467E8">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符合</w:t>
                  </w:r>
                </w:p>
              </w:tc>
            </w:tr>
            <w:tr w14:paraId="2D0B8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04" w:type="dxa"/>
                  <w:noWrap w:val="0"/>
                  <w:vAlign w:val="center"/>
                </w:tcPr>
                <w:p w14:paraId="58652D19">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进一步优化规划区空间布局，加强空间管控，严格对环境敏感区的保护，严禁不符合管控要求的各类开发和建设活动。规划区严格限制《环境保护综合名录》中“高污染、高环境风险产品名录”的企业入驻，其中大营街地块禁止上述企业入驻、禁止引入高污染燃料企业，禁止新建、扩建三类工业用地布局的项目。青龙山地块应优化布局，企业与红塔山自然保护区保持一定缓冲距离。</w:t>
                  </w:r>
                </w:p>
              </w:tc>
              <w:tc>
                <w:tcPr>
                  <w:tcW w:w="2686" w:type="dxa"/>
                  <w:noWrap w:val="0"/>
                  <w:vAlign w:val="center"/>
                </w:tcPr>
                <w:p w14:paraId="54BA3B67">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本项目建设地点属于云南红塔产业园区研和片区地块三，且本项目不属于《环境保护综合名录》中“高污染、高环境风险产品名录”。本项目为</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液化石油气钢瓶</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检测项目，不属于对化工、冶炼等环境污染严重的项目。</w:t>
                  </w:r>
                </w:p>
              </w:tc>
              <w:tc>
                <w:tcPr>
                  <w:tcW w:w="681" w:type="dxa"/>
                  <w:noWrap w:val="0"/>
                  <w:vAlign w:val="center"/>
                </w:tcPr>
                <w:p w14:paraId="67B25DFE">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符合</w:t>
                  </w:r>
                </w:p>
              </w:tc>
            </w:tr>
            <w:tr w14:paraId="10CC7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04" w:type="dxa"/>
                  <w:noWrap w:val="0"/>
                  <w:vAlign w:val="center"/>
                </w:tcPr>
                <w:p w14:paraId="3A9EA6A1">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研和片区禁止布局有色金属冶炼行业。研和片区地块二和地块四、观音山地块位于岩溶含水层分布区，含水层天然防污性能弱，地下水环境较脆弱，在岩溶强发育、天窗、漏斗等分布区域，禁止布局危险化学品仓储设施和涉及酸洗、电镀等表面处理的工业项目等对地下水存在较大环境风险的设施。</w:t>
                  </w:r>
                </w:p>
              </w:tc>
              <w:tc>
                <w:tcPr>
                  <w:tcW w:w="2686" w:type="dxa"/>
                  <w:noWrap w:val="0"/>
                  <w:vAlign w:val="center"/>
                </w:tcPr>
                <w:p w14:paraId="6903432E">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本项目位于云南红塔产业园区研和片区地块三，本项目为</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液化石油气钢瓶</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检测项目，不属于有色金属冶炼行业。</w:t>
                  </w:r>
                </w:p>
                <w:p w14:paraId="4AA17794">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项目不设置危险化学品仓储和不涉及酸洗、电镀等对地下水存在较大环境风险的设施，同时本环评要求对危废暂存间等区域采取了重点防渗措施且本项目危废暂存间内危废存储量不大，对地下水环境风险可控。</w:t>
                  </w:r>
                </w:p>
              </w:tc>
              <w:tc>
                <w:tcPr>
                  <w:tcW w:w="681" w:type="dxa"/>
                  <w:noWrap w:val="0"/>
                  <w:vAlign w:val="center"/>
                </w:tcPr>
                <w:p w14:paraId="2BA7B4E7">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符合</w:t>
                  </w:r>
                </w:p>
              </w:tc>
            </w:tr>
            <w:tr w14:paraId="37B2F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04" w:type="dxa"/>
                  <w:noWrap w:val="0"/>
                  <w:vAlign w:val="center"/>
                </w:tcPr>
                <w:p w14:paraId="30CB8A5B">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严守环境质量底线，严格环境管控。根据“三线一单”、国家和云南省有关大气污染防治行动的相关要求，制定大气污染物总量管控要求，合理确定产业规模、布局、建设时序。采用先进的生产工艺路线、装备、清洁能源与原料，从源头上控制污染物的产生。入驻企业要采用先进高效的污染防治措施，重点做好外排废气中颗粒物削减、脱硫脱硝，挥发性有机物、异味等特征污染物的减排工作，大气污染物排放水平应达到国内先进水平，必要时对规划区开发强度及布局产业规模进行控制，重点行业建设项目应实行主要污染物区域削减。</w:t>
                  </w:r>
                </w:p>
                <w:p w14:paraId="0FA109EA">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高度重视规划区废水收集、处理、回用、排放的环境管理。规划区实施“雨污分流”，因地制宜建设初期雨水收集处理系统，配合红塔区等相关政府部门，加强玉溪大河等河道的水环境综合整治与生态修复工程。加快推进污水处理厂、再生水处理设施及配套管网建设和改造。区域水环境质量未达到水质目标前，建设项目实行流域内主要污染物倍量削减，除城镇污水处理厂入河排污口外，严格控制新设、改设或者扩大排污口。</w:t>
                  </w:r>
                </w:p>
              </w:tc>
              <w:tc>
                <w:tcPr>
                  <w:tcW w:w="2686" w:type="dxa"/>
                  <w:noWrap w:val="0"/>
                  <w:vAlign w:val="center"/>
                </w:tcPr>
                <w:p w14:paraId="6612F8A0">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符合《玉溪市生态环境局关于印发玉溪市生态环境分区管控动态更新调整方案（2023年）的通知》（玉市环〔2024〕40号）以及《玉溪市“三线一单”生态环境分区管控实施意见》中（生态保护红线、环境质量底线、资源利用上线）中相关要求，运营过程中产生的废气均设有合理有效的污染防治措施，且各大气污染物的排放量较小，不会改变区域空气环境质量。</w:t>
                  </w:r>
                </w:p>
                <w:p w14:paraId="2447368F">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项目采取雨污分流制，项目区初期雨水经依托现有雨水收集池收集沉淀后回用于浩峰公司塑料项目生产环节；本项目生产过程中水压试验、气密试验用水循环使用，不外排；喷淋塔定期补充新鲜水，循环使用，废液每年更换一次，废液经收集后暂存于危废暂存间，定期交由有危废资质的单位进行处置；本项目生活污水经化粪池收集后进入一体化生活污水处理设施，经处理达绿化标准后进入收集池，回用于绿化，不外排。</w:t>
                  </w:r>
                </w:p>
              </w:tc>
              <w:tc>
                <w:tcPr>
                  <w:tcW w:w="681" w:type="dxa"/>
                  <w:noWrap w:val="0"/>
                  <w:vAlign w:val="center"/>
                </w:tcPr>
                <w:p w14:paraId="5A608C14">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符合</w:t>
                  </w:r>
                </w:p>
              </w:tc>
            </w:tr>
            <w:tr w14:paraId="79DA5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04" w:type="dxa"/>
                  <w:noWrap w:val="0"/>
                  <w:vAlign w:val="center"/>
                </w:tcPr>
                <w:p w14:paraId="47CD482E">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项目建设应充分考虑对地下水环境的影响，优化布局，严格水文地质、工程地质勘察，合理规避地下暗河及落水洞发育区，做好地下水污染防治和监控，按相关规范要求采取针对性防渗措施。严格执行《地下水管理条例》中相关规定，在泉域保护范围以及岩溶强发育、存在较多落水洞和岩溶漏斗的区域内，不得新建、改建、扩建可能造成地下水污染的建设项目，确保区域地下水安全。</w:t>
                  </w:r>
                </w:p>
              </w:tc>
              <w:tc>
                <w:tcPr>
                  <w:tcW w:w="2686" w:type="dxa"/>
                  <w:noWrap w:val="0"/>
                  <w:vAlign w:val="center"/>
                </w:tcPr>
                <w:p w14:paraId="66A4EC4B">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本项目对各区域按相关规范要求采取了分区防渗措施，地下水环境风险可控。</w:t>
                  </w:r>
                </w:p>
                <w:p w14:paraId="27BF652F">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重点防渗</w:t>
                  </w:r>
                  <w:r>
                    <w:rPr>
                      <w:rFonts w:hint="default" w:ascii="Times New Roman" w:hAnsi="Times New Roman" w:cs="Times New Roman"/>
                      <w:b/>
                      <w:bCs/>
                      <w:color w:val="000000" w:themeColor="text1"/>
                      <w:sz w:val="21"/>
                      <w:szCs w:val="21"/>
                      <w:lang w:eastAsia="zh-CN"/>
                      <w14:textFill>
                        <w14:solidFill>
                          <w14:schemeClr w14:val="tx1"/>
                        </w14:solidFill>
                      </w14:textFill>
                    </w:rPr>
                    <w:t>区：</w:t>
                  </w:r>
                  <w:r>
                    <w:rPr>
                      <w:rFonts w:hint="default" w:ascii="Times New Roman" w:hAnsi="Times New Roman" w:cs="Times New Roman"/>
                      <w:b w:val="0"/>
                      <w:bCs w:val="0"/>
                      <w:color w:val="000000" w:themeColor="text1"/>
                      <w:sz w:val="21"/>
                      <w:szCs w:val="21"/>
                      <w:lang w:eastAsia="zh-CN"/>
                      <w14:textFill>
                        <w14:solidFill>
                          <w14:schemeClr w14:val="tx1"/>
                        </w14:solidFill>
                      </w14:textFill>
                    </w:rPr>
                    <w:t>液化气瓶区、</w:t>
                  </w:r>
                  <w:r>
                    <w:rPr>
                      <w:rFonts w:hint="default" w:ascii="Times New Roman" w:hAnsi="Times New Roman" w:eastAsia="宋体" w:cs="Times New Roman"/>
                      <w:b w:val="0"/>
                      <w:bCs w:val="0"/>
                      <w:color w:val="000000" w:themeColor="text1"/>
                      <w:sz w:val="21"/>
                      <w:szCs w:val="21"/>
                      <w14:textFill>
                        <w14:solidFill>
                          <w14:schemeClr w14:val="tx1"/>
                        </w14:solidFill>
                      </w14:textFill>
                    </w:rPr>
                    <w:t>危</w:t>
                  </w:r>
                  <w:r>
                    <w:rPr>
                      <w:rFonts w:hint="default" w:ascii="Times New Roman" w:hAnsi="Times New Roman" w:eastAsia="宋体" w:cs="Times New Roman"/>
                      <w:color w:val="000000" w:themeColor="text1"/>
                      <w:sz w:val="21"/>
                      <w:szCs w:val="21"/>
                      <w14:textFill>
                        <w14:solidFill>
                          <w14:schemeClr w14:val="tx1"/>
                        </w14:solidFill>
                      </w14:textFill>
                    </w:rPr>
                    <w:t>废暂存间</w:t>
                  </w:r>
                  <w:r>
                    <w:rPr>
                      <w:rFonts w:hint="default" w:ascii="Times New Roman" w:hAnsi="Times New Roman" w:cs="Times New Roman"/>
                      <w:color w:val="000000" w:themeColor="text1"/>
                      <w:sz w:val="21"/>
                      <w:szCs w:val="21"/>
                      <w:lang w:eastAsia="zh-CN"/>
                      <w14:textFill>
                        <w14:solidFill>
                          <w14:schemeClr w14:val="tx1"/>
                        </w14:solidFill>
                      </w14:textFill>
                    </w:rPr>
                    <w:t>作为</w:t>
                  </w:r>
                  <w:r>
                    <w:rPr>
                      <w:rFonts w:hint="default" w:ascii="Times New Roman" w:hAnsi="Times New Roman" w:eastAsia="宋体" w:cs="Times New Roman"/>
                      <w:color w:val="000000" w:themeColor="text1"/>
                      <w:sz w:val="21"/>
                      <w:szCs w:val="21"/>
                      <w14:textFill>
                        <w14:solidFill>
                          <w14:schemeClr w14:val="tx1"/>
                        </w14:solidFill>
                      </w14:textFill>
                    </w:rPr>
                    <w:t>重点防渗</w:t>
                  </w:r>
                  <w:r>
                    <w:rPr>
                      <w:rFonts w:hint="default" w:ascii="Times New Roman" w:hAnsi="Times New Roman" w:cs="Times New Roman"/>
                      <w:color w:val="000000" w:themeColor="text1"/>
                      <w:sz w:val="21"/>
                      <w:szCs w:val="21"/>
                      <w:lang w:eastAsia="zh-CN"/>
                      <w14:textFill>
                        <w14:solidFill>
                          <w14:schemeClr w14:val="tx1"/>
                        </w14:solidFill>
                      </w14:textFill>
                    </w:rPr>
                    <w:t>区，</w:t>
                  </w:r>
                </w:p>
                <w:p w14:paraId="2EC8C639">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液化气瓶区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按照</w:t>
                  </w:r>
                  <w:r>
                    <w:rPr>
                      <w:rFonts w:hint="default" w:ascii="Times New Roman" w:hAnsi="Times New Roman" w:eastAsia="宋体" w:cs="Times New Roman"/>
                      <w:color w:val="000000" w:themeColor="text1"/>
                      <w:sz w:val="21"/>
                      <w:szCs w:val="21"/>
                      <w14:textFill>
                        <w14:solidFill>
                          <w14:schemeClr w14:val="tx1"/>
                        </w14:solidFill>
                      </w14:textFill>
                    </w:rPr>
                    <w:t>《环境影响评价技术导则 地下水环境》（HJ610-2016）中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重点</w:t>
                  </w:r>
                  <w:r>
                    <w:rPr>
                      <w:rFonts w:hint="default" w:ascii="Times New Roman" w:hAnsi="Times New Roman" w:eastAsia="宋体" w:cs="Times New Roman"/>
                      <w:color w:val="000000" w:themeColor="text1"/>
                      <w:sz w:val="21"/>
                      <w:szCs w:val="21"/>
                      <w14:textFill>
                        <w14:solidFill>
                          <w14:schemeClr w14:val="tx1"/>
                        </w14:solidFill>
                      </w14:textFill>
                    </w:rPr>
                    <w:t>防渗区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进行防渗</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等效黏土防渗层 Mb≥6.0m，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color w:val="000000" w:themeColor="text1"/>
                      <w:sz w:val="21"/>
                      <w:szCs w:val="21"/>
                      <w14:textFill>
                        <w14:solidFill>
                          <w14:schemeClr w14:val="tx1"/>
                        </w14:solidFill>
                      </w14:textFill>
                    </w:rPr>
                    <w:t>&lt;1.0×10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cm/s</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或参照 GB 18598 执行。</w:t>
                  </w:r>
                </w:p>
                <w:p w14:paraId="11DEF6E2">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危</w:t>
                  </w:r>
                  <w:r>
                    <w:rPr>
                      <w:rFonts w:hint="default" w:ascii="Times New Roman" w:hAnsi="Times New Roman" w:eastAsia="宋体" w:cs="Times New Roman"/>
                      <w:color w:val="000000" w:themeColor="text1"/>
                      <w:sz w:val="21"/>
                      <w:szCs w:val="21"/>
                      <w14:textFill>
                        <w14:solidFill>
                          <w14:schemeClr w14:val="tx1"/>
                        </w14:solidFill>
                      </w14:textFill>
                    </w:rPr>
                    <w:t>废暂存间、</w:t>
                  </w:r>
                  <w:r>
                    <w:rPr>
                      <w:rFonts w:hint="eastAsia" w:cs="Times New Roman"/>
                      <w:color w:val="000000" w:themeColor="text1"/>
                      <w:sz w:val="21"/>
                      <w:szCs w:val="21"/>
                      <w:lang w:eastAsia="zh-CN"/>
                      <w14:textFill>
                        <w14:solidFill>
                          <w14:schemeClr w14:val="tx1"/>
                        </w14:solidFill>
                      </w14:textFill>
                    </w:rPr>
                    <w:t>废气喷淋设施区域参照</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执行《危险废物贮存污染控制标准》（GB18597-20</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23</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）相关要求，防渗层为至少1 m厚黏土层（渗透系数不大于10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cm/s），或至少2 mm厚高密度聚乙烯膜等人工防渗材料（渗透系数不大于10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cm/s）</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p>
                <w:p w14:paraId="7CB45080">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一般防渗区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b w:val="0"/>
                      <w:bCs/>
                      <w:color w:val="000000" w:themeColor="text1"/>
                      <w:sz w:val="21"/>
                      <w:szCs w:val="21"/>
                      <w:lang w:eastAsia="zh-CN"/>
                      <w14:textFill>
                        <w14:solidFill>
                          <w14:schemeClr w14:val="tx1"/>
                        </w14:solidFill>
                      </w14:textFill>
                    </w:rPr>
                    <w:t>生产区、待检区、成品区、压扁区、一般固废暂存区、辅料库、化粪池、一体化生活污水处理设施、收集池等区域地面</w:t>
                  </w:r>
                  <w:r>
                    <w:rPr>
                      <w:rFonts w:hint="default" w:ascii="Times New Roman" w:hAnsi="Times New Roman" w:cs="Times New Roman"/>
                      <w:b w:val="0"/>
                      <w:bCs/>
                      <w:color w:val="000000" w:themeColor="text1"/>
                      <w:sz w:val="21"/>
                      <w:szCs w:val="21"/>
                      <w14:textFill>
                        <w14:solidFill>
                          <w14:schemeClr w14:val="tx1"/>
                        </w14:solidFill>
                      </w14:textFill>
                    </w:rPr>
                    <w:t>为一般防渗区</w:t>
                  </w:r>
                  <w:r>
                    <w:rPr>
                      <w:rFonts w:hint="default" w:ascii="Times New Roman" w:hAnsi="Times New Roman" w:cs="Times New Roman"/>
                      <w:color w:val="000000" w:themeColor="text1"/>
                      <w:lang w:eastAsia="zh-CN"/>
                      <w14:textFill>
                        <w14:solidFill>
                          <w14:schemeClr w14:val="tx1"/>
                        </w14:solidFill>
                      </w14:textFill>
                    </w:rPr>
                    <w:t>，设置</w:t>
                  </w:r>
                  <w:r>
                    <w:rPr>
                      <w:rFonts w:hint="default" w:ascii="Times New Roman" w:hAnsi="Times New Roman" w:cs="Times New Roman"/>
                      <w:color w:val="000000" w:themeColor="text1"/>
                      <w:kern w:val="0"/>
                      <w:szCs w:val="21"/>
                      <w:lang w:val="zh-CN"/>
                      <w14:textFill>
                        <w14:solidFill>
                          <w14:schemeClr w14:val="tx1"/>
                        </w14:solidFill>
                      </w14:textFill>
                    </w:rPr>
                    <w:t>等效黏土防渗层Mb≥1.5m，</w:t>
                  </w:r>
                  <w:r>
                    <w:rPr>
                      <w:rFonts w:hint="default" w:ascii="Times New Roman" w:hAnsi="Times New Roman" w:cs="Times New Roman"/>
                      <w:color w:val="000000" w:themeColor="text1"/>
                      <w:szCs w:val="21"/>
                      <w14:textFill>
                        <w14:solidFill>
                          <w14:schemeClr w14:val="tx1"/>
                        </w14:solidFill>
                      </w14:textFill>
                    </w:rPr>
                    <w:t>渗透系数达到</w:t>
                  </w:r>
                  <w:r>
                    <w:rPr>
                      <w:rFonts w:hint="default" w:ascii="Times New Roman" w:hAnsi="Times New Roman" w:cs="Times New Roman"/>
                      <w:color w:val="000000" w:themeColor="text1"/>
                      <w:kern w:val="0"/>
                      <w:szCs w:val="21"/>
                      <w:lang w:val="zh-CN"/>
                      <w14:textFill>
                        <w14:solidFill>
                          <w14:schemeClr w14:val="tx1"/>
                        </w14:solidFill>
                      </w14:textFill>
                    </w:rPr>
                    <w:t>K≤1×10</w:t>
                  </w:r>
                  <w:r>
                    <w:rPr>
                      <w:rFonts w:hint="default" w:ascii="Times New Roman" w:hAnsi="Times New Roman" w:cs="Times New Roman"/>
                      <w:color w:val="000000" w:themeColor="text1"/>
                      <w:kern w:val="0"/>
                      <w:szCs w:val="21"/>
                      <w:vertAlign w:val="superscript"/>
                      <w:lang w:val="zh-CN"/>
                      <w14:textFill>
                        <w14:solidFill>
                          <w14:schemeClr w14:val="tx1"/>
                        </w14:solidFill>
                      </w14:textFill>
                    </w:rPr>
                    <w:t>-7</w:t>
                  </w:r>
                  <w:r>
                    <w:rPr>
                      <w:rFonts w:hint="default" w:ascii="Times New Roman" w:hAnsi="Times New Roman" w:cs="Times New Roman"/>
                      <w:color w:val="000000" w:themeColor="text1"/>
                      <w:kern w:val="0"/>
                      <w:szCs w:val="21"/>
                      <w:lang w:val="zh-CN"/>
                      <w14:textFill>
                        <w14:solidFill>
                          <w14:schemeClr w14:val="tx1"/>
                        </w14:solidFill>
                      </w14:textFill>
                    </w:rPr>
                    <w:t>cm/s；</w:t>
                  </w:r>
                </w:p>
                <w:p w14:paraId="5C722758">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Cs w:val="21"/>
                      <w:lang w:val="zh-CN" w:eastAsia="zh-CN"/>
                      <w14:textFill>
                        <w14:solidFill>
                          <w14:schemeClr w14:val="tx1"/>
                        </w14:solidFill>
                      </w14:textFill>
                    </w:rPr>
                    <w:t>简单防渗区：</w:t>
                  </w:r>
                  <w:r>
                    <w:rPr>
                      <w:rFonts w:hint="default" w:ascii="Times New Roman" w:hAnsi="Times New Roman" w:eastAsia="宋体" w:cs="Times New Roman"/>
                      <w:color w:val="000000" w:themeColor="text1"/>
                      <w:kern w:val="0"/>
                      <w:szCs w:val="21"/>
                      <w:lang w:val="zh-CN" w:eastAsia="zh-CN"/>
                      <w14:textFill>
                        <w14:solidFill>
                          <w14:schemeClr w14:val="tx1"/>
                        </w14:solidFill>
                      </w14:textFill>
                    </w:rPr>
                    <w:t>车间运输通道、办公区等区域为简单防渗区，地面硬化。</w:t>
                  </w:r>
                </w:p>
              </w:tc>
              <w:tc>
                <w:tcPr>
                  <w:tcW w:w="681" w:type="dxa"/>
                  <w:noWrap w:val="0"/>
                  <w:vAlign w:val="center"/>
                </w:tcPr>
                <w:p w14:paraId="768CE7A9">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符合</w:t>
                  </w:r>
                </w:p>
              </w:tc>
            </w:tr>
            <w:tr w14:paraId="4B7F2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04" w:type="dxa"/>
                  <w:noWrap w:val="0"/>
                  <w:vAlign w:val="center"/>
                </w:tcPr>
                <w:p w14:paraId="77E6F49D">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将土壤污染防治工作纳入规划区规划及相关环境保护规划，采取有效预防措施，防止、减少土壤污染。重视污染物通过大气—土壤一地下水等环境介质跨相输送、迁移和累积过程及影响，确保满足土壤环境管控要求。</w:t>
                  </w:r>
                </w:p>
              </w:tc>
              <w:tc>
                <w:tcPr>
                  <w:tcW w:w="2686" w:type="dxa"/>
                  <w:noWrap w:val="0"/>
                  <w:vAlign w:val="center"/>
                </w:tcPr>
                <w:p w14:paraId="00A05109">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本项目按相关规范要求采取了分区防渗措施，大气污染物产生量较少，经处理后达标排放，土壤环境影响可接受，满足土壤环境管控要求。</w:t>
                  </w:r>
                </w:p>
              </w:tc>
              <w:tc>
                <w:tcPr>
                  <w:tcW w:w="681" w:type="dxa"/>
                  <w:noWrap w:val="0"/>
                  <w:vAlign w:val="center"/>
                </w:tcPr>
                <w:p w14:paraId="36152F61">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符合</w:t>
                  </w:r>
                </w:p>
              </w:tc>
            </w:tr>
            <w:tr w14:paraId="2B633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04" w:type="dxa"/>
                  <w:noWrap w:val="0"/>
                  <w:vAlign w:val="center"/>
                </w:tcPr>
                <w:p w14:paraId="3CC55E67">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危险废物须按规定严格管控，积极推进工业固体废物综合利用，确实需要暂存或安全填埋处置的，暂存（处置）场的选址、建设必须按照相关要求严格落实污染防治措施。根据国家和地方碳达峰行动方案和节能减排工作要求，积极开展园区减污降碳协同管控，推广园区能源梯级利用等节能低碳技术，实现减污降碳协同增效目标。</w:t>
                  </w:r>
                </w:p>
              </w:tc>
              <w:tc>
                <w:tcPr>
                  <w:tcW w:w="2686" w:type="dxa"/>
                  <w:noWrap w:val="0"/>
                  <w:vAlign w:val="center"/>
                </w:tcPr>
                <w:p w14:paraId="13377EFB">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产生危险废物暂存于危废暂存间，本环评要求危废暂存间按照《危险废物贮存污染控制标准》（GB18597-2023）中的相关要求建设，并严格落实污染防治措施，一般工业固体废物严格按照相关要求严格落实污染防治措施。</w:t>
                  </w:r>
                </w:p>
              </w:tc>
              <w:tc>
                <w:tcPr>
                  <w:tcW w:w="681" w:type="dxa"/>
                  <w:noWrap w:val="0"/>
                  <w:vAlign w:val="center"/>
                </w:tcPr>
                <w:p w14:paraId="607C9408">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26908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04" w:type="dxa"/>
                  <w:noWrap w:val="0"/>
                  <w:vAlign w:val="center"/>
                </w:tcPr>
                <w:p w14:paraId="11CE8954">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严格执行环境准入要求，加强入园项目生态环境准入管理。落实蓝天、碧水、净土保卫战有关管控要求，加强“两高”行业生态环境源头防控，引进项目的生产工艺、设备、污染物排放和资源利用等，应达到清洁生产国内先进水平。推进技术研发型、创新型产业发展，提升产业的技术水平和规划区的绿色低碳化水平。规划区招商引资、入园项目环评审批应严格执行生态环境准入要求。要以规划区的资源环境承载能力为基础，充分论证、有序发展，严禁引进工艺装备落后，不符合污染物排放总量控制要求的企业</w:t>
                  </w:r>
                </w:p>
              </w:tc>
              <w:tc>
                <w:tcPr>
                  <w:tcW w:w="2686" w:type="dxa"/>
                  <w:noWrap w:val="0"/>
                  <w:vAlign w:val="center"/>
                </w:tcPr>
                <w:p w14:paraId="5E71CFAA">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本项目为</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液化石油气钢瓶</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检测项目，不属于“两高”项目，符合国家及云南省相关的现行产业政策，无落后的工艺及生产设备。项目运营期排放的各类污染物量较小，不属于不符合污染物总量排放要求的项目。</w:t>
                  </w:r>
                </w:p>
              </w:tc>
              <w:tc>
                <w:tcPr>
                  <w:tcW w:w="681" w:type="dxa"/>
                  <w:noWrap w:val="0"/>
                  <w:vAlign w:val="center"/>
                </w:tcPr>
                <w:p w14:paraId="24AC3CCC">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符合</w:t>
                  </w:r>
                </w:p>
              </w:tc>
            </w:tr>
            <w:tr w14:paraId="1B12D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04" w:type="dxa"/>
                  <w:noWrap w:val="0"/>
                  <w:vAlign w:val="center"/>
                </w:tcPr>
                <w:p w14:paraId="3E88369C">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建立健全区域环境风险防范和生态安全保障体系。加强园区内易导致环境风险的有毒有害和易燃易爆物质的生产、使用、贮运等管理，统筹考虑污染防治、生态恢复与建设、环境风险防范、环境管理等事宜；强化园区危险化学品储运的环境风险管理，制定建立厂区、园区、区域三级防控措施，强化环境监测与预警能力建设、环境风险应急与防范措施，建立应急响应联动机制和风险防控体系并编制应急预案，防范环境风险，避免事故废水排入园区外水体，保障区域环境安全。</w:t>
                  </w:r>
                </w:p>
              </w:tc>
              <w:tc>
                <w:tcPr>
                  <w:tcW w:w="2686" w:type="dxa"/>
                  <w:noWrap w:val="0"/>
                  <w:vAlign w:val="center"/>
                </w:tcPr>
                <w:p w14:paraId="0730B882">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本项目针对存在的环境风险采取了相应的风险防范措施，项目建成后及时制定突发环境事件应急预案，在当地生态环境主管部门进行备案后定期进行相关的培训和演练。</w:t>
                  </w:r>
                </w:p>
              </w:tc>
              <w:tc>
                <w:tcPr>
                  <w:tcW w:w="681" w:type="dxa"/>
                  <w:noWrap w:val="0"/>
                  <w:vAlign w:val="center"/>
                </w:tcPr>
                <w:p w14:paraId="7B825875">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符合</w:t>
                  </w:r>
                </w:p>
              </w:tc>
            </w:tr>
          </w:tbl>
          <w:p w14:paraId="3F58E200">
            <w:pPr>
              <w:pStyle w:val="44"/>
              <w:pageBreakBefore w:val="0"/>
              <w:kinsoku/>
              <w:overflowPunct/>
              <w:topLinePunct w:val="0"/>
              <w:bidi w:val="0"/>
              <w:ind w:left="0" w:leftChars="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由上表可以看出，本项目的建设符合《云南红塔产业园区总体规划修编（2021-2035年）环境影响报告书》及其审查意见的要求</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tc>
      </w:tr>
      <w:tr w14:paraId="0C5566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7" w:type="dxa"/>
            <w:vAlign w:val="center"/>
          </w:tcPr>
          <w:p w14:paraId="387FC505">
            <w:pPr>
              <w:pageBreakBefore w:val="0"/>
              <w:kinsoku/>
              <w:overflowPunct/>
              <w:topLinePunct w:val="0"/>
              <w:autoSpaceDE w:val="0"/>
              <w:autoSpaceDN w:val="0"/>
              <w:bidi w:val="0"/>
              <w:adjustRightInd w:val="0"/>
              <w:snapToGrid w:val="0"/>
              <w:ind w:left="0" w:leftChars="0" w:right="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其他符合性分析</w:t>
            </w:r>
          </w:p>
        </w:tc>
        <w:tc>
          <w:tcPr>
            <w:tcW w:w="7512" w:type="dxa"/>
            <w:gridSpan w:val="4"/>
            <w:vAlign w:val="center"/>
          </w:tcPr>
          <w:p w14:paraId="29B185F5">
            <w:pPr>
              <w:pStyle w:val="44"/>
              <w:pageBreakBefore w:val="0"/>
              <w:kinsoku/>
              <w:overflowPunct/>
              <w:topLinePunct w:val="0"/>
              <w:bidi w:val="0"/>
              <w:ind w:left="0" w:leftChars="0" w:right="0"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1、产业政策相符性分析</w:t>
            </w:r>
          </w:p>
          <w:p w14:paraId="57D6ECDB">
            <w:pPr>
              <w:pStyle w:val="44"/>
              <w:pageBreakBefore w:val="0"/>
              <w:kinsoku/>
              <w:overflowPunct/>
              <w:topLinePunct w:val="0"/>
              <w:bidi w:val="0"/>
              <w:ind w:left="0" w:leftChars="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本项目为</w:t>
            </w:r>
            <w:r>
              <w:rPr>
                <w:rFonts w:hint="eastAsia" w:ascii="Times New Roman" w:hAnsi="Times New Roman" w:cs="Times New Roman"/>
                <w:color w:val="000000" w:themeColor="text1"/>
                <w:lang w:eastAsia="zh-CN"/>
                <w14:textFill>
                  <w14:solidFill>
                    <w14:schemeClr w14:val="tx1"/>
                  </w14:solidFill>
                </w14:textFill>
              </w:rPr>
              <w:t>液化石油气钢瓶</w:t>
            </w:r>
            <w:r>
              <w:rPr>
                <w:rFonts w:hint="default" w:ascii="Times New Roman" w:hAnsi="Times New Roman" w:cs="Times New Roman"/>
                <w:color w:val="000000" w:themeColor="text1"/>
                <w:lang w:eastAsia="zh-CN"/>
                <w14:textFill>
                  <w14:solidFill>
                    <w14:schemeClr w14:val="tx1"/>
                  </w14:solidFill>
                </w14:textFill>
              </w:rPr>
              <w:t>检测项目</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属于金属制品修理项目，</w:t>
            </w:r>
            <w:r>
              <w:rPr>
                <w:rFonts w:hint="default" w:ascii="Times New Roman" w:hAnsi="Times New Roman" w:eastAsia="宋体" w:cs="Times New Roman"/>
                <w:color w:val="000000" w:themeColor="text1"/>
                <w14:textFill>
                  <w14:solidFill>
                    <w14:schemeClr w14:val="tx1"/>
                  </w14:solidFill>
                </w14:textFill>
              </w:rPr>
              <w:t>对照《产业结构调整指导目录（20</w:t>
            </w:r>
            <w:r>
              <w:rPr>
                <w:rFonts w:hint="default" w:ascii="Times New Roman" w:hAnsi="Times New Roman" w:eastAsia="宋体" w:cs="Times New Roman"/>
                <w:color w:val="000000" w:themeColor="text1"/>
                <w:lang w:val="en-US" w:eastAsia="zh-CN"/>
                <w14:textFill>
                  <w14:solidFill>
                    <w14:schemeClr w14:val="tx1"/>
                  </w14:solidFill>
                </w14:textFill>
              </w:rPr>
              <w:t>24</w:t>
            </w:r>
            <w:r>
              <w:rPr>
                <w:rFonts w:hint="default" w:ascii="Times New Roman" w:hAnsi="Times New Roman" w:eastAsia="宋体" w:cs="Times New Roman"/>
                <w:color w:val="000000" w:themeColor="text1"/>
                <w14:textFill>
                  <w14:solidFill>
                    <w14:schemeClr w14:val="tx1"/>
                  </w14:solidFill>
                </w14:textFill>
              </w:rPr>
              <w:t>年本）》，本项目</w:t>
            </w:r>
            <w:r>
              <w:rPr>
                <w:rFonts w:hint="default" w:ascii="Times New Roman" w:hAnsi="Times New Roman" w:cs="Times New Roman"/>
                <w:color w:val="000000" w:themeColor="text1"/>
                <w:lang w:eastAsia="zh-CN"/>
                <w14:textFill>
                  <w14:solidFill>
                    <w14:schemeClr w14:val="tx1"/>
                  </w14:solidFill>
                </w14:textFill>
              </w:rPr>
              <w:t>不属于淘汰类、限制类项目，属于允许类项目。</w:t>
            </w:r>
            <w:r>
              <w:rPr>
                <w:rFonts w:hint="default" w:ascii="Times New Roman" w:hAnsi="Times New Roman" w:cs="Times New Roman"/>
                <w:color w:val="000000" w:themeColor="text1"/>
                <w14:textFill>
                  <w14:solidFill>
                    <w14:schemeClr w14:val="tx1"/>
                  </w14:solidFill>
                </w14:textFill>
              </w:rPr>
              <w:t>同时，本项目设备不属于国家明令淘汰的落后设备，符合国家和云南省现行相关产业政策。</w:t>
            </w:r>
          </w:p>
          <w:p w14:paraId="3929AC52">
            <w:pPr>
              <w:pStyle w:val="44"/>
              <w:keepNext w:val="0"/>
              <w:keepLines w:val="0"/>
              <w:pageBreakBefore w:val="0"/>
              <w:widowControl w:val="0"/>
              <w:kinsoku/>
              <w:wordWrap w:val="0"/>
              <w:overflowPunct/>
              <w:topLinePunct w:val="0"/>
              <w:autoSpaceDE/>
              <w:autoSpaceDN/>
              <w:bidi w:val="0"/>
              <w:adjustRightInd/>
              <w:snapToGrid/>
              <w:ind w:left="0" w:leftChars="0" w:right="0" w:firstLine="480"/>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w:t>
            </w:r>
            <w:r>
              <w:rPr>
                <w:rFonts w:hint="default" w:ascii="Times New Roman" w:hAnsi="Times New Roman" w:eastAsia="宋体" w:cs="Times New Roman"/>
                <w:color w:val="000000" w:themeColor="text1"/>
                <w:lang w:val="en-US" w:eastAsia="zh-CN"/>
                <w14:textFill>
                  <w14:solidFill>
                    <w14:schemeClr w14:val="tx1"/>
                  </w14:solidFill>
                </w14:textFill>
              </w:rPr>
              <w:t>项目于2025年4月16日取得了玉溪市红塔区发展和改革局核发的《云南省固定资产投资项目备案证》（项目代码：2504-530402-04-01-717729），同意项目建设。</w:t>
            </w:r>
          </w:p>
          <w:p w14:paraId="6D50C9FB">
            <w:pPr>
              <w:pStyle w:val="44"/>
              <w:pageBreakBefore w:val="0"/>
              <w:kinsoku/>
              <w:overflowPunct/>
              <w:topLinePunct w:val="0"/>
              <w:bidi w:val="0"/>
              <w:ind w:left="0" w:leftChars="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综上，本项目符合国家和地方相关产业政策。</w:t>
            </w:r>
          </w:p>
          <w:p w14:paraId="4531D5B7">
            <w:pPr>
              <w:pStyle w:val="32"/>
              <w:pageBreakBefore w:val="0"/>
              <w:kinsoku/>
              <w:overflowPunct/>
              <w:topLinePunct w:val="0"/>
              <w:bidi w:val="0"/>
              <w:spacing w:after="0" w:line="360" w:lineRule="auto"/>
              <w:ind w:left="0" w:leftChars="0" w:right="0" w:firstLine="482"/>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2、项目选址合理性分析</w:t>
            </w:r>
          </w:p>
          <w:p w14:paraId="5E64AF70">
            <w:pPr>
              <w:pStyle w:val="44"/>
              <w:pageBreakBefore w:val="0"/>
              <w:kinsoku/>
              <w:overflowPunct/>
              <w:topLinePunct w:val="0"/>
              <w:bidi w:val="0"/>
              <w:ind w:left="0" w:leftChars="0" w:right="0" w:firstLine="48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玉溪市宏兴液化石油气瓶检测中心</w:t>
            </w:r>
            <w:r>
              <w:rPr>
                <w:rFonts w:hint="default" w:ascii="Times New Roman" w:hAnsi="Times New Roman" w:cs="Times New Roman"/>
                <w:color w:val="000000" w:themeColor="text1"/>
                <w:lang w:eastAsia="zh-CN"/>
                <w14:textFill>
                  <w14:solidFill>
                    <w14:schemeClr w14:val="tx1"/>
                  </w14:solidFill>
                </w14:textFill>
              </w:rPr>
              <w:t>租用</w:t>
            </w:r>
            <w:r>
              <w:rPr>
                <w:rFonts w:hint="default" w:ascii="Times New Roman" w:hAnsi="Times New Roman" w:cs="Times New Roman"/>
                <w:color w:val="000000" w:themeColor="text1"/>
                <w:sz w:val="24"/>
                <w:lang w:val="en-US" w:eastAsia="zh-CN"/>
                <w14:textFill>
                  <w14:solidFill>
                    <w14:schemeClr w14:val="tx1"/>
                  </w14:solidFill>
                </w14:textFill>
              </w:rPr>
              <w:t>云南省玉溪市红塔区研和街道可官社区可官一组定古自然村后面的原村办企业雄峰饲料厂（上半部分）的场地内的现有生产车间进行建设“玉溪市宏兴液化石油气瓶检测中心钢瓶检测迁建项目”。</w:t>
            </w:r>
          </w:p>
          <w:p w14:paraId="522F36F0">
            <w:pPr>
              <w:pStyle w:val="44"/>
              <w:pageBreakBefore w:val="0"/>
              <w:kinsoku/>
              <w:overflowPunct/>
              <w:topLinePunct w:val="0"/>
              <w:bidi w:val="0"/>
              <w:ind w:left="0" w:leftChars="0" w:right="0" w:firstLine="48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根据调查，</w:t>
            </w:r>
            <w:r>
              <w:rPr>
                <w:rFonts w:hint="default" w:ascii="Times New Roman" w:hAnsi="Times New Roman" w:eastAsia="宋体" w:cs="Times New Roman"/>
                <w:color w:val="000000" w:themeColor="text1"/>
                <w:lang w:val="en-US" w:eastAsia="zh-CN"/>
                <w14:textFill>
                  <w14:solidFill>
                    <w14:schemeClr w14:val="tx1"/>
                  </w14:solidFill>
                </w14:textFill>
              </w:rPr>
              <w:t>该场地为原</w:t>
            </w:r>
            <w:r>
              <w:rPr>
                <w:rFonts w:hint="default" w:ascii="Times New Roman" w:hAnsi="Times New Roman" w:eastAsia="宋体" w:cs="Times New Roman"/>
                <w:color w:val="000000" w:themeColor="text1"/>
                <w:lang w:val="zh-CN" w:eastAsia="zh-CN"/>
                <w14:textFill>
                  <w14:solidFill>
                    <w14:schemeClr w14:val="tx1"/>
                  </w14:solidFill>
                </w14:textFill>
              </w:rPr>
              <w:t>云南省玉溪市雄峰饲料添加剂厂</w:t>
            </w:r>
            <w:r>
              <w:rPr>
                <w:rFonts w:hint="default" w:ascii="Times New Roman" w:hAnsi="Times New Roman" w:cs="Times New Roman"/>
                <w:color w:val="000000" w:themeColor="text1"/>
                <w:sz w:val="24"/>
                <w:lang w:val="en-US" w:eastAsia="zh-CN"/>
                <w14:textFill>
                  <w14:solidFill>
                    <w14:schemeClr w14:val="tx1"/>
                  </w14:solidFill>
                </w14:textFill>
              </w:rPr>
              <w:t>上半部分，该企业在该地块于2004年生产运营至2017年，企业停产后地块闲置；可官社区居委会为活化社区内闲置地块，于2024年8月1日将该地块出租张红波进行建设“玉溪浩峰再生资源有限公司年产1.2万吨废塑料颗粒项目”（简称“浩峰公司塑料项目”），该项目于2024年9月24日取得玉溪市红塔区自然资源局部门意见，该项目位于红塔区城镇开发边界范围外，不涉及红塔区永久基本农田，不涉及占用红塔区生态保护红线；“浩峰公司塑料项目”于2024年12月26日取得玉溪市生态环境局红塔分局《关于年产1.2万吨废塑料颗粒项目环境影响报告表的批复》（玉红环审[2024]25号）。根据现场踏勘，地块内原有建筑除办公区保留外，其余原有生产车间等建筑均已拆除，目前地块内已新建彩钢瓦生产车间，</w:t>
            </w:r>
            <w:r>
              <w:rPr>
                <w:rFonts w:hint="default" w:ascii="Times New Roman" w:hAnsi="Times New Roman" w:eastAsia="宋体" w:cs="Times New Roman"/>
                <w:color w:val="000000" w:themeColor="text1"/>
                <w:highlight w:val="none"/>
                <w:lang w:val="zh-CN"/>
                <w14:textFill>
                  <w14:solidFill>
                    <w14:schemeClr w14:val="tx1"/>
                  </w14:solidFill>
                </w14:textFill>
              </w:rPr>
              <w:t>无原有环境污染问题</w:t>
            </w:r>
            <w:r>
              <w:rPr>
                <w:rFonts w:hint="default" w:ascii="Times New Roman" w:hAnsi="Times New Roman" w:cs="Times New Roman"/>
                <w:color w:val="000000" w:themeColor="text1"/>
                <w:sz w:val="24"/>
                <w:lang w:val="en-US" w:eastAsia="zh-CN"/>
                <w14:textFill>
                  <w14:solidFill>
                    <w14:schemeClr w14:val="tx1"/>
                  </w14:solidFill>
                </w14:textFill>
              </w:rPr>
              <w:t>。根据调查，浩峰公司塑料项目原设计建设4条生产线，生产能力为年产塑料颗粒1.2万吨，由于市场原因，该项目目前仅建设1条生产线，实际生产能力为3000t/a，</w:t>
            </w:r>
            <w:r>
              <w:rPr>
                <w:rFonts w:hint="eastAsia" w:cs="Times New Roman"/>
                <w:color w:val="000000" w:themeColor="text1"/>
                <w:sz w:val="24"/>
                <w:lang w:val="en-US" w:eastAsia="zh-CN"/>
                <w14:textFill>
                  <w14:solidFill>
                    <w14:schemeClr w14:val="tx1"/>
                  </w14:solidFill>
                </w14:textFill>
              </w:rPr>
              <w:t>预计不再新增生产线</w:t>
            </w:r>
            <w:r>
              <w:rPr>
                <w:rFonts w:hint="default" w:ascii="Times New Roman" w:hAnsi="Times New Roman" w:cs="Times New Roman"/>
                <w:color w:val="000000" w:themeColor="text1"/>
                <w:sz w:val="24"/>
                <w:lang w:val="en-US" w:eastAsia="zh-CN"/>
                <w14:textFill>
                  <w14:solidFill>
                    <w14:schemeClr w14:val="tx1"/>
                  </w14:solidFill>
                </w14:textFill>
              </w:rPr>
              <w:t>，故产生空置生产车间。浩峰公司考虑土地使用效率，故将闲置厂房对外招租。本项目于2025年5月11日与玉溪浩峰再生资源有限公司</w:t>
            </w:r>
            <w:r>
              <w:rPr>
                <w:rFonts w:hint="eastAsia" w:ascii="Times New Roman" w:hAnsi="Times New Roman" w:cs="Times New Roman"/>
                <w:color w:val="000000" w:themeColor="text1"/>
                <w:sz w:val="24"/>
                <w:lang w:val="en-US" w:eastAsia="zh-CN"/>
                <w14:textFill>
                  <w14:solidFill>
                    <w14:schemeClr w14:val="tx1"/>
                  </w14:solidFill>
                </w14:textFill>
              </w:rPr>
              <w:t>法人</w:t>
            </w:r>
            <w:r>
              <w:rPr>
                <w:rFonts w:hint="default" w:ascii="Times New Roman" w:hAnsi="Times New Roman" w:cs="Times New Roman"/>
                <w:color w:val="000000" w:themeColor="text1"/>
                <w:sz w:val="24"/>
                <w:lang w:val="en-US" w:eastAsia="zh-CN"/>
                <w14:textFill>
                  <w14:solidFill>
                    <w14:schemeClr w14:val="tx1"/>
                  </w14:solidFill>
                </w14:textFill>
              </w:rPr>
              <w:t>张红波签订厂房租赁合同，租用现有约1900m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生产车间进行建设。</w:t>
            </w:r>
          </w:p>
          <w:p w14:paraId="4B79CD01">
            <w:pPr>
              <w:pStyle w:val="44"/>
              <w:keepNext w:val="0"/>
              <w:keepLines w:val="0"/>
              <w:pageBreakBefore w:val="0"/>
              <w:widowControl w:val="0"/>
              <w:kinsoku/>
              <w:wordWrap w:val="0"/>
              <w:overflowPunct/>
              <w:topLinePunct w:val="0"/>
              <w:autoSpaceDE/>
              <w:autoSpaceDN/>
              <w:bidi w:val="0"/>
              <w:adjustRightInd/>
              <w:snapToGrid/>
              <w:ind w:right="0"/>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w:t>
            </w:r>
            <w:r>
              <w:rPr>
                <w:rFonts w:hint="default" w:ascii="Times New Roman" w:hAnsi="Times New Roman" w:eastAsia="宋体" w:cs="Times New Roman"/>
                <w:color w:val="000000" w:themeColor="text1"/>
                <w:lang w:val="en-US" w:eastAsia="zh-CN"/>
                <w14:textFill>
                  <w14:solidFill>
                    <w14:schemeClr w14:val="tx1"/>
                  </w14:solidFill>
                </w14:textFill>
              </w:rPr>
              <w:t>项目于2025年4月16日取得了玉溪市红塔区发展和改革局核发的《云南省固定资产投资项目备案证》（项目代码：2504-530402-04-01-717729），同意项目建设。</w:t>
            </w:r>
          </w:p>
          <w:p w14:paraId="7010E93C">
            <w:pPr>
              <w:pStyle w:val="44"/>
              <w:pageBreakBefore w:val="0"/>
              <w:kinsoku/>
              <w:overflowPunct/>
              <w:topLinePunct w:val="0"/>
              <w:bidi w:val="0"/>
              <w:ind w:left="0" w:leftChars="0" w:right="0" w:firstLine="48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本次通过云南省生态环境分区管控公共服务查询平台进行查询，经查询，</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本项目位于</w:t>
            </w:r>
            <w:r>
              <w:rPr>
                <w:rFonts w:hint="default" w:ascii="Times New Roman" w:hAnsi="Times New Roman" w:eastAsia="宋体" w:cs="Times New Roman"/>
                <w:color w:val="000000" w:themeColor="text1"/>
                <w:sz w:val="24"/>
                <w:lang w:val="en-US" w:eastAsia="zh-CN"/>
                <w14:textFill>
                  <w14:solidFill>
                    <w14:schemeClr w14:val="tx1"/>
                  </w14:solidFill>
                </w14:textFill>
              </w:rPr>
              <w:t>红塔区产业园区重点管控单元</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根据</w:t>
            </w:r>
            <w:r>
              <w:rPr>
                <w:rFonts w:hint="default" w:ascii="Times New Roman" w:hAnsi="Times New Roman"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云南红塔产业园区总体规划修编（2021-2035年）</w:t>
            </w:r>
            <w:r>
              <w:rPr>
                <w:rFonts w:hint="default" w:ascii="Times New Roman" w:hAnsi="Times New Roman"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，本项目用地</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属于</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云南红塔产业园区研和片区地块</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三，位于工业园区内</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254C794C">
            <w:pPr>
              <w:pStyle w:val="44"/>
              <w:pageBreakBefore w:val="0"/>
              <w:kinsoku/>
              <w:overflowPunct/>
              <w:topLinePunct w:val="0"/>
              <w:bidi w:val="0"/>
              <w:ind w:left="0" w:leftChars="0" w:right="0" w:firstLine="48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本项目于</w:t>
            </w:r>
            <w:r>
              <w:rPr>
                <w:rFonts w:hint="default" w:ascii="Times New Roman" w:hAnsi="Times New Roman" w:cs="Times New Roman"/>
                <w:color w:val="000000" w:themeColor="text1"/>
                <w:lang w:val="en-US" w:eastAsia="zh-CN"/>
                <w14:textFill>
                  <w14:solidFill>
                    <w14:schemeClr w14:val="tx1"/>
                  </w14:solidFill>
                </w14:textFill>
              </w:rPr>
              <w:t>2025年5月12日取得云南省玉溪市红塔区研和街道</w:t>
            </w:r>
            <w:r>
              <w:rPr>
                <w:rFonts w:hint="default" w:ascii="Times New Roman" w:hAnsi="Times New Roman" w:cs="Times New Roman"/>
                <w:color w:val="000000" w:themeColor="text1"/>
                <w:sz w:val="24"/>
                <w:lang w:val="en-US" w:eastAsia="zh-CN"/>
                <w14:textFill>
                  <w14:solidFill>
                    <w14:schemeClr w14:val="tx1"/>
                  </w14:solidFill>
                </w14:textFill>
              </w:rPr>
              <w:t>可官社区居委会关于“建设项目申请”的回复，同意项目建设，于2025年</w:t>
            </w:r>
            <w:r>
              <w:rPr>
                <w:rFonts w:hint="eastAsia"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lang w:val="en-US" w:eastAsia="zh-CN"/>
                <w14:textFill>
                  <w14:solidFill>
                    <w14:schemeClr w14:val="tx1"/>
                  </w14:solidFill>
                </w14:textFill>
              </w:rPr>
              <w:t>月13日取得</w:t>
            </w:r>
            <w:r>
              <w:rPr>
                <w:rFonts w:hint="default" w:ascii="Times New Roman" w:hAnsi="Times New Roman" w:cs="Times New Roman"/>
                <w:color w:val="000000" w:themeColor="text1"/>
                <w:lang w:val="en-US" w:eastAsia="zh-CN"/>
                <w14:textFill>
                  <w14:solidFill>
                    <w14:schemeClr w14:val="tx1"/>
                  </w14:solidFill>
                </w14:textFill>
              </w:rPr>
              <w:t>云南省玉溪市红塔区人民政府研和街道</w:t>
            </w:r>
            <w:r>
              <w:rPr>
                <w:rFonts w:hint="default" w:ascii="Times New Roman" w:hAnsi="Times New Roman" w:cs="Times New Roman"/>
                <w:color w:val="000000" w:themeColor="text1"/>
                <w:sz w:val="24"/>
                <w:lang w:val="en-US" w:eastAsia="zh-CN"/>
                <w14:textFill>
                  <w14:solidFill>
                    <w14:schemeClr w14:val="tx1"/>
                  </w14:solidFill>
                </w14:textFill>
              </w:rPr>
              <w:t>办事处关于“建设项目申请”的回复，同意项目建设。</w:t>
            </w:r>
          </w:p>
          <w:p w14:paraId="0FF70400">
            <w:pPr>
              <w:pStyle w:val="44"/>
              <w:pageBreakBefore w:val="0"/>
              <w:kinsoku/>
              <w:overflowPunct/>
              <w:topLinePunct w:val="0"/>
              <w:bidi w:val="0"/>
              <w:ind w:left="0" w:leftChars="0" w:right="0" w:firstLine="48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项目选址不涉及自然保护区、风景旅游点、饮用水源地、文物古迹等需特殊保护的环境敏感对象，项目区最近关心点为西南侧100m处的定古村，最近关心点位于本项目风向的上风向，经</w:t>
            </w:r>
            <w:r>
              <w:rPr>
                <w:rFonts w:hint="eastAsia" w:cs="Times New Roman"/>
                <w:color w:val="000000" w:themeColor="text1"/>
                <w:sz w:val="24"/>
                <w:szCs w:val="24"/>
                <w:lang w:val="en-US" w:eastAsia="zh-CN"/>
                <w14:textFill>
                  <w14:solidFill>
                    <w14:schemeClr w14:val="tx1"/>
                  </w14:solidFill>
                </w14:textFill>
              </w:rPr>
              <w:t>无组织废气非甲烷总烃及厂界噪声预测分析，</w:t>
            </w:r>
            <w:r>
              <w:rPr>
                <w:rFonts w:hint="default" w:ascii="Times New Roman" w:hAnsi="Times New Roman" w:cs="Times New Roman"/>
                <w:color w:val="000000" w:themeColor="text1"/>
                <w:sz w:val="24"/>
                <w:lang w:val="en-US" w:eastAsia="zh-CN"/>
                <w14:textFill>
                  <w14:solidFill>
                    <w14:schemeClr w14:val="tx1"/>
                  </w14:solidFill>
                </w14:textFill>
              </w:rPr>
              <w:t>本项目</w:t>
            </w:r>
            <w:r>
              <w:rPr>
                <w:rFonts w:hint="eastAsia" w:cs="Times New Roman"/>
                <w:color w:val="000000" w:themeColor="text1"/>
                <w:sz w:val="24"/>
                <w:lang w:val="en-US" w:eastAsia="zh-CN"/>
                <w14:textFill>
                  <w14:solidFill>
                    <w14:schemeClr w14:val="tx1"/>
                  </w14:solidFill>
                </w14:textFill>
              </w:rPr>
              <w:t>废气、噪声</w:t>
            </w:r>
            <w:r>
              <w:rPr>
                <w:rFonts w:hint="default" w:ascii="Times New Roman" w:hAnsi="Times New Roman" w:cs="Times New Roman"/>
                <w:color w:val="000000" w:themeColor="text1"/>
                <w:sz w:val="24"/>
                <w:lang w:val="en-US" w:eastAsia="zh-CN"/>
                <w14:textFill>
                  <w14:solidFill>
                    <w14:schemeClr w14:val="tx1"/>
                  </w14:solidFill>
                </w14:textFill>
              </w:rPr>
              <w:t>对关心点的影响不大。</w:t>
            </w:r>
          </w:p>
          <w:p w14:paraId="07D0CFDC">
            <w:pPr>
              <w:pStyle w:val="83"/>
              <w:pageBreakBefore w:val="0"/>
              <w:kinsoku/>
              <w:overflowPunct/>
              <w:topLinePunct w:val="0"/>
              <w:bidi w:val="0"/>
              <w:ind w:left="0" w:leftChars="0" w:right="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r>
              <w:rPr>
                <w:rFonts w:hint="eastAsia" w:ascii="Times New Roman" w:hAnsi="Times New Roman" w:cs="Times New Roman"/>
                <w:color w:val="000000" w:themeColor="text1"/>
                <w:lang w:eastAsia="zh-CN"/>
                <w14:textFill>
                  <w14:solidFill>
                    <w14:schemeClr w14:val="tx1"/>
                  </w14:solidFill>
                </w14:textFill>
              </w:rPr>
              <w:t>液化石油气钢瓶</w:t>
            </w:r>
            <w:r>
              <w:rPr>
                <w:rFonts w:hint="default" w:ascii="Times New Roman" w:hAnsi="Times New Roman" w:cs="Times New Roman"/>
                <w:color w:val="000000" w:themeColor="text1"/>
                <w:lang w:eastAsia="zh-CN"/>
                <w14:textFill>
                  <w14:solidFill>
                    <w14:schemeClr w14:val="tx1"/>
                  </w14:solidFill>
                </w14:textFill>
              </w:rPr>
              <w:t>检测项目</w:t>
            </w:r>
            <w:r>
              <w:rPr>
                <w:rFonts w:hint="default" w:ascii="Times New Roman" w:hAnsi="Times New Roman" w:cs="Times New Roman"/>
                <w:color w:val="000000" w:themeColor="text1"/>
                <w14:textFill>
                  <w14:solidFill>
                    <w14:schemeClr w14:val="tx1"/>
                  </w14:solidFill>
                </w14:textFill>
              </w:rPr>
              <w:t>，大气污染物主要为颗粒物、挥发性有机物</w:t>
            </w:r>
            <w:r>
              <w:rPr>
                <w:rFonts w:hint="default" w:ascii="Times New Roman" w:hAnsi="Times New Roman" w:cs="Times New Roman"/>
                <w:color w:val="000000" w:themeColor="text1"/>
                <w:lang w:eastAsia="zh-CN"/>
                <w14:textFill>
                  <w14:solidFill>
                    <w14:schemeClr w14:val="tx1"/>
                  </w14:solidFill>
                </w14:textFill>
              </w:rPr>
              <w:t>、二氧化硫、氮氧化物</w:t>
            </w:r>
            <w:r>
              <w:rPr>
                <w:rFonts w:hint="default" w:ascii="Times New Roman" w:hAnsi="Times New Roman" w:cs="Times New Roman"/>
                <w:color w:val="000000" w:themeColor="text1"/>
                <w14:textFill>
                  <w14:solidFill>
                    <w14:schemeClr w14:val="tx1"/>
                  </w14:solidFill>
                </w14:textFill>
              </w:rPr>
              <w:t>，经采取相应的对策措施后均能达标排放。主要生产设备均置于厂房内，无组织排放的挥发性有机物对周边大气环境影响较小</w:t>
            </w:r>
            <w:r>
              <w:rPr>
                <w:rFonts w:hint="default" w:ascii="Times New Roman" w:hAnsi="Times New Roman" w:cs="Times New Roman"/>
                <w:color w:val="000000" w:themeColor="text1"/>
                <w:lang w:eastAsia="zh-CN"/>
                <w14:textFill>
                  <w14:solidFill>
                    <w14:schemeClr w14:val="tx1"/>
                  </w14:solidFill>
                </w14:textFill>
              </w:rPr>
              <w:t>；本项目</w:t>
            </w:r>
            <w:r>
              <w:rPr>
                <w:rFonts w:hint="default" w:ascii="Times New Roman" w:hAnsi="Times New Roman" w:cs="Times New Roman"/>
                <w:color w:val="000000" w:themeColor="text1"/>
                <w14:textFill>
                  <w14:solidFill>
                    <w14:schemeClr w14:val="tx1"/>
                  </w14:solidFill>
                </w14:textFill>
              </w:rPr>
              <w:t>周围的企业</w:t>
            </w:r>
            <w:r>
              <w:rPr>
                <w:rFonts w:hint="default" w:ascii="Times New Roman" w:hAnsi="Times New Roman" w:cs="Times New Roman"/>
                <w:color w:val="000000" w:themeColor="text1"/>
                <w:lang w:eastAsia="zh-CN"/>
                <w14:textFill>
                  <w14:solidFill>
                    <w14:schemeClr w14:val="tx1"/>
                  </w14:solidFill>
                </w14:textFill>
              </w:rPr>
              <w:t>主要为零星分布的养殖户、塑料颗粒</w:t>
            </w:r>
            <w:r>
              <w:rPr>
                <w:rFonts w:hint="eastAsia" w:cs="Times New Roman"/>
                <w:color w:val="000000" w:themeColor="text1"/>
                <w:lang w:eastAsia="zh-CN"/>
                <w14:textFill>
                  <w14:solidFill>
                    <w14:schemeClr w14:val="tx1"/>
                  </w14:solidFill>
                </w14:textFill>
              </w:rPr>
              <w:t>、塑料制品</w:t>
            </w:r>
            <w:r>
              <w:rPr>
                <w:rFonts w:hint="default" w:ascii="Times New Roman" w:hAnsi="Times New Roman" w:cs="Times New Roman"/>
                <w:color w:val="000000" w:themeColor="text1"/>
                <w:lang w:eastAsia="zh-CN"/>
                <w14:textFill>
                  <w14:solidFill>
                    <w14:schemeClr w14:val="tx1"/>
                  </w14:solidFill>
                </w14:textFill>
              </w:rPr>
              <w:t>项目，</w:t>
            </w:r>
            <w:r>
              <w:rPr>
                <w:rFonts w:hint="default" w:ascii="Times New Roman" w:hAnsi="Times New Roman" w:cs="Times New Roman"/>
                <w:color w:val="000000" w:themeColor="text1"/>
                <w14:textFill>
                  <w14:solidFill>
                    <w14:schemeClr w14:val="tx1"/>
                  </w14:solidFill>
                </w14:textFill>
              </w:rPr>
              <w:t>对本项目无制约性因素</w:t>
            </w:r>
            <w:r>
              <w:rPr>
                <w:rFonts w:hint="default" w:ascii="Times New Roman" w:hAnsi="Times New Roman" w:cs="Times New Roman"/>
                <w:color w:val="000000" w:themeColor="text1"/>
                <w:lang w:eastAsia="zh-CN"/>
                <w14:textFill>
                  <w14:solidFill>
                    <w14:schemeClr w14:val="tx1"/>
                  </w14:solidFill>
                </w14:textFill>
              </w:rPr>
              <w:t>，同时</w:t>
            </w:r>
            <w:r>
              <w:rPr>
                <w:rFonts w:hint="default" w:ascii="Times New Roman" w:hAnsi="Times New Roman" w:cs="Times New Roman"/>
                <w:color w:val="000000" w:themeColor="text1"/>
                <w14:textFill>
                  <w14:solidFill>
                    <w14:schemeClr w14:val="tx1"/>
                  </w14:solidFill>
                </w14:textFill>
              </w:rPr>
              <w:t>本项目对周边企业和环境影响有限，</w:t>
            </w:r>
            <w:r>
              <w:rPr>
                <w:rFonts w:hint="default" w:ascii="Times New Roman" w:hAnsi="Times New Roman" w:cs="Times New Roman"/>
                <w:color w:val="000000" w:themeColor="text1"/>
                <w:lang w:val="zh-CN"/>
                <w14:textFill>
                  <w14:solidFill>
                    <w14:schemeClr w14:val="tx1"/>
                  </w14:solidFill>
                </w14:textFill>
              </w:rPr>
              <w:t>本项目与</w:t>
            </w:r>
            <w:r>
              <w:rPr>
                <w:rFonts w:hint="default" w:ascii="Times New Roman" w:hAnsi="Times New Roman" w:cs="Times New Roman"/>
                <w:color w:val="000000" w:themeColor="text1"/>
                <w14:textFill>
                  <w14:solidFill>
                    <w14:schemeClr w14:val="tx1"/>
                  </w14:solidFill>
                </w14:textFill>
              </w:rPr>
              <w:t>周边</w:t>
            </w:r>
            <w:r>
              <w:rPr>
                <w:rFonts w:hint="default" w:ascii="Times New Roman" w:hAnsi="Times New Roman" w:cs="Times New Roman"/>
                <w:color w:val="000000" w:themeColor="text1"/>
                <w:lang w:val="zh-CN"/>
                <w14:textFill>
                  <w14:solidFill>
                    <w14:schemeClr w14:val="tx1"/>
                  </w14:solidFill>
                </w14:textFill>
              </w:rPr>
              <w:t>环境是相容的。</w:t>
            </w:r>
          </w:p>
          <w:p w14:paraId="757CD26C">
            <w:pPr>
              <w:pStyle w:val="44"/>
              <w:pageBreakBefore w:val="0"/>
              <w:kinsoku/>
              <w:overflowPunct/>
              <w:topLinePunct w:val="0"/>
              <w:bidi w:val="0"/>
              <w:ind w:left="0" w:leftChars="0" w:right="0" w:firstLine="48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区域交通建设基本完善，水、电、物流等基础设施供应有保障，为项目建设提供了良好的条件。营运期间产生的污染物均采取了相应的防治措施，各项污染因素均能实现达标排放，不会降低区域环境功能等级，因此选址较合理</w:t>
            </w:r>
            <w:r>
              <w:rPr>
                <w:rFonts w:hint="default" w:ascii="Times New Roman" w:hAnsi="Times New Roman" w:cs="Times New Roman"/>
                <w:color w:val="000000" w:themeColor="text1"/>
                <w:sz w:val="24"/>
                <w:lang w:eastAsia="zh-CN"/>
                <w14:textFill>
                  <w14:solidFill>
                    <w14:schemeClr w14:val="tx1"/>
                  </w14:solidFill>
                </w14:textFill>
              </w:rPr>
              <w:t>。</w:t>
            </w:r>
          </w:p>
          <w:p w14:paraId="5100981A">
            <w:pPr>
              <w:pStyle w:val="32"/>
              <w:pageBreakBefore w:val="0"/>
              <w:kinsoku/>
              <w:overflowPunct/>
              <w:topLinePunct w:val="0"/>
              <w:bidi w:val="0"/>
              <w:spacing w:after="0" w:line="360" w:lineRule="auto"/>
              <w:ind w:left="0" w:leftChars="0" w:right="0" w:firstLine="482"/>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3、平面布局合理性分析</w:t>
            </w:r>
          </w:p>
          <w:p w14:paraId="7C56616C">
            <w:pPr>
              <w:pStyle w:val="44"/>
              <w:pageBreakBefore w:val="0"/>
              <w:kinsoku/>
              <w:overflowPunct/>
              <w:topLinePunct w:val="0"/>
              <w:bidi w:val="0"/>
              <w:ind w:left="0" w:leftChars="0" w:right="0" w:firstLine="48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根据项目总平面布置图，本项目租用现有生产车间进行建设，生产车间大致呈矩形。生产车间内由西向东依次布设生产区、待检区、成品区、辅料库、车间运输通道、办公区。生产车间进出口位于车间东侧。</w:t>
            </w:r>
          </w:p>
          <w:p w14:paraId="291AF830">
            <w:pPr>
              <w:pStyle w:val="44"/>
              <w:pageBreakBefore w:val="0"/>
              <w:kinsoku/>
              <w:overflowPunct/>
              <w:topLinePunct w:val="0"/>
              <w:bidi w:val="0"/>
              <w:ind w:left="0" w:leftChars="0" w:right="0" w:firstLine="48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项目区内功能分区明确，布局合理。本项目厂区总平面布置详见附图2。</w:t>
            </w:r>
          </w:p>
          <w:p w14:paraId="7524AD86">
            <w:pPr>
              <w:pStyle w:val="3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2" w:firstLineChars="200"/>
              <w:jc w:val="left"/>
              <w:textAlignment w:val="center"/>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Times New Roman"/>
                <w:b/>
                <w:bCs/>
                <w:color w:val="000000" w:themeColor="text1"/>
                <w:sz w:val="24"/>
                <w14:textFill>
                  <w14:solidFill>
                    <w14:schemeClr w14:val="tx1"/>
                  </w14:solidFill>
                </w14:textFill>
              </w:rPr>
              <w:t>与《玉溪市“三线一单”生态环境分区管控实施意见》</w:t>
            </w:r>
            <w:r>
              <w:rPr>
                <w:rFonts w:hint="default" w:ascii="Times New Roman" w:hAnsi="Times New Roman" w:cs="Times New Roman"/>
                <w:b/>
                <w:bCs/>
                <w:color w:val="000000" w:themeColor="text1"/>
                <w:sz w:val="24"/>
                <w:lang w:eastAsia="zh-CN"/>
                <w14:textFill>
                  <w14:solidFill>
                    <w14:schemeClr w14:val="tx1"/>
                  </w14:solidFill>
                </w14:textFill>
              </w:rPr>
              <w:t>中（生态保护红线、环境质量底线、资源利用上线）及</w:t>
            </w:r>
            <w:r>
              <w:rPr>
                <w:rFonts w:hint="default" w:ascii="Times New Roman" w:hAnsi="Times New Roman" w:cs="Times New Roman"/>
                <w:b/>
                <w:bCs/>
                <w:color w:val="000000" w:themeColor="text1"/>
                <w:sz w:val="24"/>
                <w:lang w:val="en-US" w:eastAsia="zh-CN"/>
                <w14:textFill>
                  <w14:solidFill>
                    <w14:schemeClr w14:val="tx1"/>
                  </w14:solidFill>
                </w14:textFill>
              </w:rPr>
              <w:t>《玉溪市生态环境局关于印发玉溪市生态环境分区管控动态更新调整方案（2023年）的通知》（玉市环</w:t>
            </w:r>
            <w:r>
              <w:rPr>
                <w:rFonts w:hint="default" w:ascii="Times New Roman" w:hAnsi="Times New Roman" w:eastAsia="宋体" w:cs="Times New Roman"/>
                <w:b/>
                <w:bCs/>
                <w:color w:val="000000" w:themeColor="text1"/>
                <w:sz w:val="24"/>
                <w:lang w:val="en-US" w:eastAsia="zh-CN"/>
                <w14:textFill>
                  <w14:solidFill>
                    <w14:schemeClr w14:val="tx1"/>
                  </w14:solidFill>
                </w14:textFill>
              </w:rPr>
              <w:t>〔202</w:t>
            </w:r>
            <w:r>
              <w:rPr>
                <w:rFonts w:hint="default" w:ascii="Times New Roman" w:hAnsi="Times New Roman" w:cs="Times New Roman"/>
                <w:b/>
                <w:bCs/>
                <w:color w:val="000000" w:themeColor="text1"/>
                <w:sz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lang w:val="en-US" w:eastAsia="zh-CN"/>
                <w14:textFill>
                  <w14:solidFill>
                    <w14:schemeClr w14:val="tx1"/>
                  </w14:solidFill>
                </w14:textFill>
              </w:rPr>
              <w:t>〕</w:t>
            </w:r>
            <w:r>
              <w:rPr>
                <w:rFonts w:hint="default" w:ascii="Times New Roman" w:hAnsi="Times New Roman" w:cs="Times New Roman"/>
                <w:b/>
                <w:bCs/>
                <w:color w:val="000000" w:themeColor="text1"/>
                <w:sz w:val="24"/>
                <w:lang w:val="en-US" w:eastAsia="zh-CN"/>
                <w14:textFill>
                  <w14:solidFill>
                    <w14:schemeClr w14:val="tx1"/>
                  </w14:solidFill>
                </w14:textFill>
              </w:rPr>
              <w:t>40号）（</w:t>
            </w:r>
            <w:r>
              <w:rPr>
                <w:rFonts w:hint="default" w:ascii="Times New Roman" w:hAnsi="Times New Roman" w:eastAsia="宋体" w:cs="Times New Roman"/>
                <w:b/>
                <w:bCs/>
                <w:color w:val="000000" w:themeColor="text1"/>
                <w:sz w:val="24"/>
                <w:lang w:val="en-US" w:eastAsia="zh-CN"/>
                <w14:textFill>
                  <w14:solidFill>
                    <w14:schemeClr w14:val="tx1"/>
                  </w14:solidFill>
                </w14:textFill>
              </w:rPr>
              <w:t>生态环境分区管控）</w:t>
            </w:r>
            <w:r>
              <w:rPr>
                <w:rFonts w:hint="default" w:ascii="Times New Roman" w:hAnsi="Times New Roman" w:cs="Times New Roman"/>
                <w:b/>
                <w:bCs/>
                <w:color w:val="000000" w:themeColor="text1"/>
                <w:sz w:val="24"/>
                <w14:textFill>
                  <w14:solidFill>
                    <w14:schemeClr w14:val="tx1"/>
                  </w14:solidFill>
                </w14:textFill>
              </w:rPr>
              <w:t>符合性分析</w:t>
            </w:r>
          </w:p>
          <w:p w14:paraId="54DCFDAA">
            <w:pPr>
              <w:pStyle w:val="44"/>
              <w:pageBreakBefore w:val="0"/>
              <w:kinsoku/>
              <w:overflowPunct/>
              <w:topLinePunct w:val="0"/>
              <w:bidi w:val="0"/>
              <w:ind w:left="0" w:leftChars="0" w:right="0" w:firstLine="48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2021年12月6日玉溪市人民政府印发了《玉溪市“三线一单”生态环境分区管控实施意见的通知》（玉政发〔2021〕15号）。</w:t>
            </w:r>
          </w:p>
          <w:p w14:paraId="0877B53A">
            <w:pPr>
              <w:pageBreakBefore w:val="0"/>
              <w:kinsoku/>
              <w:overflowPunct/>
              <w:topLinePunct w:val="0"/>
              <w:bidi w:val="0"/>
              <w:spacing w:line="360" w:lineRule="auto"/>
              <w:ind w:left="0" w:leftChars="0" w:right="0" w:firstLine="480" w:firstLineChars="200"/>
              <w:jc w:val="left"/>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202</w:t>
            </w:r>
            <w:r>
              <w:rPr>
                <w:rFonts w:hint="default"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lang w:val="en-US" w:eastAsia="zh-CN"/>
                <w14:textFill>
                  <w14:solidFill>
                    <w14:schemeClr w14:val="tx1"/>
                  </w14:solidFill>
                </w14:textFill>
              </w:rPr>
              <w:t>年</w:t>
            </w:r>
            <w:r>
              <w:rPr>
                <w:rFonts w:hint="default" w:ascii="Times New Roman" w:hAnsi="Times New Roman" w:cs="Times New Roman"/>
                <w:color w:val="000000" w:themeColor="text1"/>
                <w:sz w:val="24"/>
                <w:lang w:val="en-US" w:eastAsia="zh-CN"/>
                <w14:textFill>
                  <w14:solidFill>
                    <w14:schemeClr w14:val="tx1"/>
                  </w14:solidFill>
                </w14:textFill>
              </w:rPr>
              <w:t>6</w:t>
            </w:r>
            <w:r>
              <w:rPr>
                <w:rFonts w:hint="default" w:ascii="Times New Roman" w:hAnsi="Times New Roman" w:eastAsia="宋体" w:cs="Times New Roman"/>
                <w:color w:val="000000" w:themeColor="text1"/>
                <w:sz w:val="24"/>
                <w:lang w:val="en-US" w:eastAsia="zh-CN"/>
                <w14:textFill>
                  <w14:solidFill>
                    <w14:schemeClr w14:val="tx1"/>
                  </w14:solidFill>
                </w14:textFill>
              </w:rPr>
              <w:t>月</w:t>
            </w:r>
            <w:r>
              <w:rPr>
                <w:rFonts w:hint="default" w:ascii="Times New Roman" w:hAnsi="Times New Roman" w:cs="Times New Roman"/>
                <w:color w:val="000000" w:themeColor="text1"/>
                <w:sz w:val="24"/>
                <w:lang w:val="en-US" w:eastAsia="zh-CN"/>
                <w14:textFill>
                  <w14:solidFill>
                    <w14:schemeClr w14:val="tx1"/>
                  </w14:solidFill>
                </w14:textFill>
              </w:rPr>
              <w:t>7</w:t>
            </w:r>
            <w:r>
              <w:rPr>
                <w:rFonts w:hint="default" w:ascii="Times New Roman" w:hAnsi="Times New Roman" w:eastAsia="宋体" w:cs="Times New Roman"/>
                <w:color w:val="000000" w:themeColor="text1"/>
                <w:sz w:val="24"/>
                <w:lang w:val="en-US" w:eastAsia="zh-CN"/>
                <w14:textFill>
                  <w14:solidFill>
                    <w14:schemeClr w14:val="tx1"/>
                  </w14:solidFill>
                </w14:textFill>
              </w:rPr>
              <w:t>日</w:t>
            </w:r>
            <w:r>
              <w:rPr>
                <w:rFonts w:hint="default" w:ascii="Times New Roman" w:hAnsi="Times New Roman" w:cs="Times New Roman"/>
                <w:color w:val="000000" w:themeColor="text1"/>
                <w:sz w:val="24"/>
                <w:lang w:val="en-US" w:eastAsia="zh-CN"/>
                <w14:textFill>
                  <w14:solidFill>
                    <w14:schemeClr w14:val="tx1"/>
                  </w14:solidFill>
                </w14:textFill>
              </w:rPr>
              <w:t>玉溪市生态环境局发布的《玉溪市生态环境局关于印发玉溪市生态环境分区管控动态更新调整方案（2023年）的通知》（玉市环</w:t>
            </w:r>
            <w:r>
              <w:rPr>
                <w:rFonts w:hint="default" w:ascii="Times New Roman" w:hAnsi="Times New Roman" w:eastAsia="宋体" w:cs="Times New Roman"/>
                <w:color w:val="000000" w:themeColor="text1"/>
                <w:sz w:val="24"/>
                <w:lang w:val="en-US" w:eastAsia="zh-CN"/>
                <w14:textFill>
                  <w14:solidFill>
                    <w14:schemeClr w14:val="tx1"/>
                  </w14:solidFill>
                </w14:textFill>
              </w:rPr>
              <w:t>〔202</w:t>
            </w:r>
            <w:r>
              <w:rPr>
                <w:rFonts w:hint="default"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40号）</w:t>
            </w:r>
            <w:r>
              <w:rPr>
                <w:rFonts w:hint="default" w:ascii="Times New Roman" w:hAnsi="Times New Roman" w:cs="Times New Roman"/>
                <w:color w:val="000000" w:themeColor="text1"/>
                <w:sz w:val="24"/>
                <w:szCs w:val="24"/>
                <w:lang w:val="en-US" w:eastAsia="zh-CN"/>
                <w14:textFill>
                  <w14:solidFill>
                    <w14:schemeClr w14:val="tx1"/>
                  </w14:solidFill>
                </w14:textFill>
              </w:rPr>
              <w:t>。</w:t>
            </w:r>
          </w:p>
          <w:p w14:paraId="55FC7686">
            <w:pPr>
              <w:pageBreakBefore w:val="0"/>
              <w:kinsoku/>
              <w:overflowPunct/>
              <w:topLinePunct w:val="0"/>
              <w:bidi w:val="0"/>
              <w:spacing w:line="360" w:lineRule="auto"/>
              <w:ind w:left="0" w:leftChars="0" w:right="0" w:firstLine="480" w:firstLineChars="200"/>
              <w:jc w:val="left"/>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本次通过云南省生态环境分区管控公共服务查询平台进行查询，经查询，</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本项目位于</w:t>
            </w:r>
            <w:r>
              <w:rPr>
                <w:rFonts w:hint="default" w:ascii="Times New Roman" w:hAnsi="Times New Roman" w:eastAsia="宋体" w:cs="Times New Roman"/>
                <w:color w:val="000000" w:themeColor="text1"/>
                <w:sz w:val="24"/>
                <w:lang w:val="en-US" w:eastAsia="zh-CN"/>
                <w14:textFill>
                  <w14:solidFill>
                    <w14:schemeClr w14:val="tx1"/>
                  </w14:solidFill>
                </w14:textFill>
              </w:rPr>
              <w:t>红塔区产业园区重点管控单元</w:t>
            </w:r>
            <w:r>
              <w:rPr>
                <w:rFonts w:hint="default" w:ascii="Times New Roman" w:hAnsi="Times New Roman" w:cs="Times New Roman"/>
                <w:color w:val="000000" w:themeColor="text1"/>
                <w:sz w:val="24"/>
                <w:lang w:val="en-US" w:eastAsia="zh-CN"/>
                <w14:textFill>
                  <w14:solidFill>
                    <w14:schemeClr w14:val="tx1"/>
                  </w14:solidFill>
                </w14:textFill>
              </w:rPr>
              <w:t>。分区管控单元查询图详见附件。</w:t>
            </w:r>
          </w:p>
          <w:p w14:paraId="65146A63">
            <w:pPr>
              <w:pageBreakBefore w:val="0"/>
              <w:kinsoku/>
              <w:overflowPunct/>
              <w:topLinePunct w:val="0"/>
              <w:bidi w:val="0"/>
              <w:spacing w:line="360" w:lineRule="auto"/>
              <w:ind w:left="0" w:leftChars="0" w:right="0" w:firstLine="480" w:firstLineChars="200"/>
              <w:jc w:val="left"/>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项目与其符合性分析详见下表。</w:t>
            </w:r>
          </w:p>
          <w:p w14:paraId="18077450">
            <w:pPr>
              <w:pStyle w:val="3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表1-</w:t>
            </w:r>
            <w:r>
              <w:rPr>
                <w:rFonts w:hint="default" w:ascii="Times New Roman" w:hAnsi="Times New Roman" w:cs="Times New Roman"/>
                <w:b/>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与玉溪市“三线”符合性分析</w:t>
            </w:r>
          </w:p>
          <w:tbl>
            <w:tblPr>
              <w:tblStyle w:val="3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3361"/>
              <w:gridCol w:w="2886"/>
              <w:gridCol w:w="512"/>
            </w:tblGrid>
            <w:tr w14:paraId="015D5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vAlign w:val="center"/>
                </w:tcPr>
                <w:p w14:paraId="6FA07187">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序号</w:t>
                  </w:r>
                </w:p>
              </w:tc>
              <w:tc>
                <w:tcPr>
                  <w:tcW w:w="2307" w:type="pct"/>
                  <w:vAlign w:val="center"/>
                </w:tcPr>
                <w:p w14:paraId="074217B0">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《玉溪市“三线一单”生态环境分区管控实施意见》要求</w:t>
                  </w:r>
                </w:p>
              </w:tc>
              <w:tc>
                <w:tcPr>
                  <w:tcW w:w="1981" w:type="pct"/>
                  <w:vAlign w:val="center"/>
                </w:tcPr>
                <w:p w14:paraId="31BA1B88">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项目情况</w:t>
                  </w:r>
                </w:p>
              </w:tc>
              <w:tc>
                <w:tcPr>
                  <w:tcW w:w="349" w:type="pct"/>
                  <w:vAlign w:val="center"/>
                </w:tcPr>
                <w:p w14:paraId="1B383C94">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符合性</w:t>
                  </w:r>
                </w:p>
              </w:tc>
            </w:tr>
            <w:tr w14:paraId="2DDC6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4F2A1361">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一、生态保护红线和一般生态空间</w:t>
                  </w:r>
                </w:p>
              </w:tc>
            </w:tr>
            <w:tr w14:paraId="12609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vAlign w:val="center"/>
                </w:tcPr>
                <w:p w14:paraId="7F96006C">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307" w:type="pct"/>
                  <w:vAlign w:val="center"/>
                </w:tcPr>
                <w:p w14:paraId="6EC7681B">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执行《云南省人民政府关于发布云南省生态保护红线的通知》（云政发〔2018〕32号），生态保护红线评估调整成果获批后，按照批准成果执行。将未划入生态保护红线的自然保护地、饮用水水源保护区、重要湿地、基本草原、生态公益林、天然林等生态功能重要、生态环境敏感区域划为一般生态空间。</w:t>
                  </w:r>
                </w:p>
              </w:tc>
              <w:tc>
                <w:tcPr>
                  <w:tcW w:w="1981" w:type="pct"/>
                  <w:vAlign w:val="center"/>
                </w:tcPr>
                <w:p w14:paraId="2B1C3367">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本项目位于玉溪市红塔区研和街道可官社区可官一组，项目位于红塔区城镇开发边界范围外，不涉及红塔区永久基本农田，不涉及占用红塔区生态保护红线。</w:t>
                  </w:r>
                </w:p>
                <w:p w14:paraId="001DEEEF">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49" w:type="pct"/>
                  <w:vAlign w:val="center"/>
                </w:tcPr>
                <w:p w14:paraId="6C8D7060">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2E511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09DF6A96">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二、环境质量底线</w:t>
                  </w:r>
                </w:p>
              </w:tc>
            </w:tr>
            <w:tr w14:paraId="4AC0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vAlign w:val="center"/>
                </w:tcPr>
                <w:p w14:paraId="6205174B">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307" w:type="pct"/>
                  <w:vAlign w:val="center"/>
                </w:tcPr>
                <w:p w14:paraId="346FE8CF">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环境质量底线。到2025年，全市水环境质量持续改善，纳入国家和省级考核的地表水监测断面水质优良率稳步提升。抚仙湖水质稳定保持Ⅰ类水质标准，星云湖、杞麓湖水质指标均达到Ⅴ类水质标准。中心城区及县城集中式饮用水水源地水质达标率为100%。到2035年，全市水环境质量总体改善，水生生态系统功能恢复。地表水水体水质优良率全面提升，彻底消除劣V类水体。抚仙湖水质稳定保持Ⅰ类水质标准，星云湖和杞麓湖水质持续稳定向好。</w:t>
                  </w:r>
                </w:p>
              </w:tc>
              <w:tc>
                <w:tcPr>
                  <w:tcW w:w="1981" w:type="pct"/>
                  <w:vAlign w:val="center"/>
                </w:tcPr>
                <w:p w14:paraId="5BDB5250">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根据项目区域水系图可知，</w:t>
                  </w:r>
                  <w:r>
                    <w:rPr>
                      <w:rFonts w:hint="default" w:ascii="Times New Roman" w:hAnsi="Times New Roman" w:eastAsia="宋体" w:cs="Times New Roman"/>
                      <w:color w:val="000000" w:themeColor="text1"/>
                      <w:sz w:val="21"/>
                      <w:szCs w:val="21"/>
                      <w:lang w:val="zh-CN" w:eastAsia="zh-CN"/>
                      <w14:textFill>
                        <w14:solidFill>
                          <w14:schemeClr w14:val="tx1"/>
                        </w14:solidFill>
                      </w14:textFill>
                    </w:rPr>
                    <w:t>本项目距离最近的地表水体</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为项目区南侧约220m处的东风大沟，东风大沟经干冲箐、歪者河、大沙河、石邑小河，最终于峨山小街由义村附近汇入峨山大河，即曲江。《2023年玉溪市生态环</w:t>
                  </w:r>
                  <w:r>
                    <w:rPr>
                      <w:rFonts w:hint="default" w:ascii="Times New Roman" w:hAnsi="Times New Roman" w:cs="Times New Roman"/>
                      <w:color w:val="000000" w:themeColor="text1"/>
                      <w:kern w:val="0"/>
                      <w:sz w:val="24"/>
                      <w:lang w:val="en-US" w:eastAsia="zh-CN"/>
                      <w14:textFill>
                        <w14:solidFill>
                          <w14:schemeClr w14:val="tx1"/>
                        </w14:solidFill>
                      </w14:textFill>
                    </w:rPr>
                    <w:t>境状况公报</w:t>
                  </w:r>
                  <w:r>
                    <w:rPr>
                      <w:rFonts w:hint="default"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峨山永昌桥国控断面平均水质为Ⅲ类，达到年度水质考核目标要求，地表水断面水质达标率100%，峨山大河满足《地表水环境质量标准》（GB3838-2002）中Ⅲ类标准，水质能达到功能区划要求。本项目无废水外排，不会对区域地表水造成影响。</w:t>
                  </w:r>
                </w:p>
              </w:tc>
              <w:tc>
                <w:tcPr>
                  <w:tcW w:w="349" w:type="pct"/>
                  <w:vAlign w:val="center"/>
                </w:tcPr>
                <w:p w14:paraId="41834E10">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79C1B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vAlign w:val="center"/>
                </w:tcPr>
                <w:p w14:paraId="2FF50E82">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2307" w:type="pct"/>
                  <w:vAlign w:val="center"/>
                </w:tcPr>
                <w:p w14:paraId="429F2AB3">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大气环境质量底线。到2025年，全市环境空气质量稳中向好，中心城区城市空气质量优良天数比率保持稳定，主要污染物排放量达到国家和省级污染物总量控制要求，单位GDP二氧化碳排放控制在省下达指标内。到2035年，全市环境空气质量持续保持优良，实现稳中向好，主要污染物排放总量和二氧化碳排放量持续减少。</w:t>
                  </w:r>
                </w:p>
              </w:tc>
              <w:tc>
                <w:tcPr>
                  <w:tcW w:w="1981" w:type="pct"/>
                  <w:vAlign w:val="center"/>
                </w:tcPr>
                <w:p w14:paraId="4FE27A51">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本项目位于玉溪市红塔区研和街道可官社区可官一组，根据玉溪市生态环境局红塔分局发布《玉溪市红塔区生态环境状况公报（2023年度）》，判定所在区域为环境空气质量达标区。</w:t>
                  </w:r>
                </w:p>
                <w:p w14:paraId="5E0FADD5">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经分析，项目产生的大气污染物经采取积极有效的污染控制措施后，能达标排放，且排放量小，对区域环境空气质量的影响很小，不影响区域环境空气质量改善的目标要求。</w:t>
                  </w:r>
                </w:p>
              </w:tc>
              <w:tc>
                <w:tcPr>
                  <w:tcW w:w="349" w:type="pct"/>
                  <w:vAlign w:val="center"/>
                </w:tcPr>
                <w:p w14:paraId="3BE243F6">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163DB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vAlign w:val="center"/>
                </w:tcPr>
                <w:p w14:paraId="29211326">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2307" w:type="pct"/>
                  <w:vAlign w:val="center"/>
                </w:tcPr>
                <w:p w14:paraId="0B7AE71E">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土壤环境风险防控底线。到2025年，全市土壤环境风险防范体系进一步完善，受污染耕地安全利用率和污染地块安全利用率达到省下达的目标要求。到2035年，全市土壤环境质量稳中向好，农用地和建设用地土壤环境安全得到有效保障，受污染耕地安全利用率和污染地块安全利用率进一步提高，土壤环境风险得到全面管控。</w:t>
                  </w:r>
                </w:p>
              </w:tc>
              <w:tc>
                <w:tcPr>
                  <w:tcW w:w="1981" w:type="pct"/>
                  <w:vAlign w:val="center"/>
                </w:tcPr>
                <w:p w14:paraId="658AB1EE">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项目不涉及使用危险化学品，运营期废气达标排放，无废水外排，危险废物妥善处理，固废均得到合理处置。项目建成后对区域土壤环境质量产生影响较小，土壤环境风险较低。</w:t>
                  </w:r>
                </w:p>
              </w:tc>
              <w:tc>
                <w:tcPr>
                  <w:tcW w:w="349" w:type="pct"/>
                  <w:vAlign w:val="center"/>
                </w:tcPr>
                <w:p w14:paraId="5A8B8751">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3C03C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4"/>
                  <w:vAlign w:val="center"/>
                </w:tcPr>
                <w:p w14:paraId="121EFCA3">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三、资源利用上线</w:t>
                  </w:r>
                </w:p>
              </w:tc>
            </w:tr>
            <w:tr w14:paraId="600E2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vAlign w:val="center"/>
                </w:tcPr>
                <w:p w14:paraId="4BCF10FB">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307" w:type="pct"/>
                  <w:vAlign w:val="center"/>
                </w:tcPr>
                <w:p w14:paraId="4F715D16">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强化资源能源节约集约利用，持续提升资源能源利用效率，水资源、土地资源、能源消耗等达到或优于省下达的总量和强度控制目标。</w:t>
                  </w:r>
                </w:p>
              </w:tc>
              <w:tc>
                <w:tcPr>
                  <w:tcW w:w="1981" w:type="pct"/>
                  <w:vAlign w:val="center"/>
                </w:tcPr>
                <w:p w14:paraId="360934DC">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公司租用玉溪市红塔区研和街道可官社区可官一组场地内现有生产车间进行建设本项目，占地面积为1900m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，该场地为原</w:t>
                  </w:r>
                  <w:r>
                    <w:rPr>
                      <w:rFonts w:hint="default" w:ascii="Times New Roman" w:hAnsi="Times New Roman" w:eastAsia="宋体" w:cs="Times New Roman"/>
                      <w:color w:val="000000" w:themeColor="text1"/>
                      <w:sz w:val="21"/>
                      <w:szCs w:val="21"/>
                      <w:lang w:val="zh-CN" w:eastAsia="zh-CN"/>
                      <w14:textFill>
                        <w14:solidFill>
                          <w14:schemeClr w14:val="tx1"/>
                        </w14:solidFill>
                      </w14:textFill>
                    </w:rPr>
                    <w:t>云南省玉溪市雄峰饲料添加剂厂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上半部分，不新增占地，不涉及土地利用上线。</w:t>
                  </w:r>
                </w:p>
                <w:p w14:paraId="486D6B95">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本项目用水量较小，项目用水由市政管网供给，循环利用资源，不会突破资源利用上线。</w:t>
                  </w:r>
                </w:p>
              </w:tc>
              <w:tc>
                <w:tcPr>
                  <w:tcW w:w="349" w:type="pct"/>
                  <w:vAlign w:val="center"/>
                </w:tcPr>
                <w:p w14:paraId="4EC0B791">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bl>
          <w:p w14:paraId="50607FC8">
            <w:pPr>
              <w:keepLines/>
              <w:pageBreakBefore w:val="0"/>
              <w:widowControl/>
              <w:kinsoku/>
              <w:overflowPunct/>
              <w:topLinePunct w:val="0"/>
              <w:bidi w:val="0"/>
              <w:ind w:left="0" w:leftChars="0" w:right="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表1-</w:t>
            </w:r>
            <w:r>
              <w:rPr>
                <w:rFonts w:hint="default" w:ascii="Times New Roman" w:hAnsi="Times New Roman" w:eastAsia="宋体" w:cs="Times New Roman"/>
                <w:b/>
                <w:bCs/>
                <w:color w:val="000000" w:themeColor="text1"/>
                <w:lang w:val="en-US" w:eastAsia="zh-CN"/>
                <w14:textFill>
                  <w14:solidFill>
                    <w14:schemeClr w14:val="tx1"/>
                  </w14:solidFill>
                </w14:textFill>
              </w:rPr>
              <w:t>4与《玉溪市生态环境局关于印发玉溪市生态环境分区管控动态更新调整方案（2023年）的通知》</w:t>
            </w:r>
            <w:r>
              <w:rPr>
                <w:rFonts w:hint="default" w:ascii="Times New Roman" w:hAnsi="Times New Roman" w:eastAsia="宋体" w:cs="Times New Roman"/>
                <w:b/>
                <w:bCs/>
                <w:color w:val="000000" w:themeColor="text1"/>
                <w14:textFill>
                  <w14:solidFill>
                    <w14:schemeClr w14:val="tx1"/>
                  </w14:solidFill>
                </w14:textFill>
              </w:rPr>
              <w:t>符合性分析一览表</w:t>
            </w:r>
          </w:p>
          <w:tbl>
            <w:tblPr>
              <w:tblStyle w:val="3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985"/>
              <w:gridCol w:w="2955"/>
              <w:gridCol w:w="625"/>
            </w:tblGrid>
            <w:tr w14:paraId="2A076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2542" w:type="pct"/>
                  <w:gridSpan w:val="2"/>
                  <w:vAlign w:val="center"/>
                </w:tcPr>
                <w:p w14:paraId="4B2492E3">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《玉溪市生态环境局关于印发玉溪市生态环境分区管控动态更新调整方案（2023年）的通知》</w:t>
                  </w:r>
                  <w:r>
                    <w:rPr>
                      <w:rFonts w:hint="default" w:ascii="Times New Roman" w:hAnsi="Times New Roman" w:eastAsia="宋体" w:cs="Times New Roman"/>
                      <w:color w:val="000000" w:themeColor="text1"/>
                      <w:sz w:val="21"/>
                      <w:szCs w:val="21"/>
                      <w:lang w:eastAsia="zh-CN"/>
                      <w14:textFill>
                        <w14:solidFill>
                          <w14:schemeClr w14:val="tx1"/>
                        </w14:solidFill>
                      </w14:textFill>
                    </w:rPr>
                    <w:t>要求</w:t>
                  </w:r>
                </w:p>
              </w:tc>
              <w:tc>
                <w:tcPr>
                  <w:tcW w:w="2028" w:type="pct"/>
                  <w:vAlign w:val="center"/>
                </w:tcPr>
                <w:p w14:paraId="2719907A">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项目情况</w:t>
                  </w:r>
                </w:p>
              </w:tc>
              <w:tc>
                <w:tcPr>
                  <w:tcW w:w="428" w:type="pct"/>
                  <w:vAlign w:val="center"/>
                </w:tcPr>
                <w:p w14:paraId="1669DE6B">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符合情况</w:t>
                  </w:r>
                </w:p>
              </w:tc>
            </w:tr>
            <w:tr w14:paraId="62081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4"/>
                  <w:vAlign w:val="center"/>
                </w:tcPr>
                <w:p w14:paraId="2871C59E">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生态环境管控总体要求</w:t>
                  </w:r>
                </w:p>
              </w:tc>
            </w:tr>
            <w:tr w14:paraId="6C643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restart"/>
                  <w:vAlign w:val="center"/>
                </w:tcPr>
                <w:p w14:paraId="1B0E468D">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空间布局约束</w:t>
                  </w:r>
                </w:p>
              </w:tc>
              <w:tc>
                <w:tcPr>
                  <w:tcW w:w="2048" w:type="pct"/>
                  <w:vAlign w:val="center"/>
                </w:tcPr>
                <w:p w14:paraId="56AA7DE9">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严格落实国家产业政策、国家产业结构调整指导目录。坚决遏制高耗能、高排放、低水平项目盲目发展，项目审批严格落实国家和云南省相关政策要求。严格落实钢铁、水泥、平板玻璃、电解铝等行业产能置换相关政策，严管严控新增电解铝和工业硅产能。</w:t>
                  </w:r>
                </w:p>
              </w:tc>
              <w:tc>
                <w:tcPr>
                  <w:tcW w:w="2028" w:type="pct"/>
                  <w:vAlign w:val="center"/>
                </w:tcPr>
                <w:p w14:paraId="676F7280">
                  <w:pPr>
                    <w:keepNext w:val="0"/>
                    <w:keepLines/>
                    <w:pageBreakBefore w:val="0"/>
                    <w:widowControl/>
                    <w:kinsoku/>
                    <w:wordWrap w:val="0"/>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本项目为</w:t>
                  </w:r>
                  <w:r>
                    <w:rPr>
                      <w:rFonts w:hint="eastAsia" w:ascii="Times New Roman" w:hAnsi="Times New Roman" w:cs="Times New Roman"/>
                      <w:color w:val="000000" w:themeColor="text1"/>
                      <w:sz w:val="21"/>
                      <w:szCs w:val="21"/>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检测项目，本项目符合国家产业政策，本项目于2025年4月16日取得了玉溪市红塔区发展和改革局核发的《云南省固定资产投资项目备案证》（项目代码：2504-530402-04-01-717729），同意项目建设。</w:t>
                  </w:r>
                </w:p>
              </w:tc>
              <w:tc>
                <w:tcPr>
                  <w:tcW w:w="428" w:type="pct"/>
                  <w:vAlign w:val="center"/>
                </w:tcPr>
                <w:p w14:paraId="5E496D8D">
                  <w:pPr>
                    <w:keepNext w:val="0"/>
                    <w:keepLines/>
                    <w:pageBreakBefore w:val="0"/>
                    <w:widowControl/>
                    <w:kinsoku/>
                    <w:wordWrap w:val="0"/>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3F642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vAlign w:val="center"/>
                </w:tcPr>
                <w:p w14:paraId="7AA65E92">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048" w:type="pct"/>
                  <w:vAlign w:val="center"/>
                </w:tcPr>
                <w:p w14:paraId="0303D778">
                  <w:pPr>
                    <w:keepNext w:val="0"/>
                    <w:keepLines/>
                    <w:pageBreakBefore w:val="0"/>
                    <w:widowControl/>
                    <w:tabs>
                      <w:tab w:val="left" w:pos="2730"/>
                    </w:tabs>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加强河湖水域岸线空间管控，严格落实九大高原湖泊（抚仙湖、星云湖、杞麓湖）“两线三区”相关管控要求。加快推动重点区域、重点流域落后和过剩产能退出。依法加快城市建成区重污染企业搬迁改造或关闭退出。</w:t>
                  </w:r>
                </w:p>
              </w:tc>
              <w:tc>
                <w:tcPr>
                  <w:tcW w:w="2028" w:type="pct"/>
                  <w:vAlign w:val="center"/>
                </w:tcPr>
                <w:p w14:paraId="4AEAAB49">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本项目位于玉溪市红塔区研和街道可官社区可官一组，不涉及九大高原湖泊。</w:t>
                  </w:r>
                </w:p>
              </w:tc>
              <w:tc>
                <w:tcPr>
                  <w:tcW w:w="428" w:type="pct"/>
                  <w:vAlign w:val="center"/>
                </w:tcPr>
                <w:p w14:paraId="5A8CA7C2">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3966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vAlign w:val="center"/>
                </w:tcPr>
                <w:p w14:paraId="16547A14">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048" w:type="pct"/>
                  <w:vAlign w:val="center"/>
                </w:tcPr>
                <w:p w14:paraId="2D3FB2FD">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禁止在合规园区外新建、扩建钢铁、石化、化工、焦化、建材、有色、制浆造纸行业中的高污染项目。禁止新建、扩建不符合国家石化、现代煤化工等产业布局规划的项目。禁止列入《云南省城镇人口密集区危险化学品生产企业搬迁改造名单》的搬迁改造企业在原址新建、扩建危险化学品生产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2028" w:type="pct"/>
                  <w:vAlign w:val="center"/>
                </w:tcPr>
                <w:p w14:paraId="021EC39F">
                  <w:pPr>
                    <w:pStyle w:val="14"/>
                    <w:keepNext w:val="0"/>
                    <w:pageBreakBefore w:val="0"/>
                    <w:kinsoku/>
                    <w:wordWrap w:val="0"/>
                    <w:overflowPunct/>
                    <w:topLinePunct w:val="0"/>
                    <w:autoSpaceDE/>
                    <w:autoSpaceDN/>
                    <w:bidi w:val="0"/>
                    <w:adjustRightInd/>
                    <w:snapToGrid/>
                    <w:textAlignment w:val="auto"/>
                    <w:rPr>
                      <w:rFonts w:hint="default" w:ascii="Times New Roman" w:hAnsi="Times New Roman" w:eastAsia="宋体" w:cs="Times New Roman"/>
                      <w:color w:val="000000" w:themeColor="text1"/>
                      <w:sz w:val="21"/>
                      <w:szCs w:val="21"/>
                      <w:lang w:val="zh-CN"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本项目为</w:t>
                  </w:r>
                  <w:r>
                    <w:rPr>
                      <w:rFonts w:hint="eastAsia" w:ascii="Times New Roman" w:hAnsi="Times New Roman" w:cs="Times New Roman"/>
                      <w:color w:val="000000" w:themeColor="text1"/>
                      <w:sz w:val="21"/>
                      <w:szCs w:val="21"/>
                      <w:lang w:val="en-US" w:eastAsia="zh-CN"/>
                      <w14:textFill>
                        <w14:solidFill>
                          <w14:schemeClr w14:val="tx1"/>
                        </w14:solidFill>
                      </w14:textFill>
                    </w:rPr>
                    <w:t>液化石油气钢瓶</w:t>
                  </w:r>
                  <w:r>
                    <w:rPr>
                      <w:rFonts w:hint="default" w:ascii="Times New Roman" w:hAnsi="Times New Roman" w:cs="Times New Roman"/>
                      <w:color w:val="000000" w:themeColor="text1"/>
                      <w:sz w:val="21"/>
                      <w:szCs w:val="21"/>
                      <w:lang w:val="en-US" w:eastAsia="zh-CN"/>
                      <w14:textFill>
                        <w14:solidFill>
                          <w14:schemeClr w14:val="tx1"/>
                        </w14:solidFill>
                      </w14:textFill>
                    </w:rPr>
                    <w:t>检测项目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项目不属于</w:t>
                  </w:r>
                  <w:r>
                    <w:rPr>
                      <w:rFonts w:hint="default" w:ascii="Times New Roman" w:hAnsi="Times New Roman" w:cs="Times New Roman"/>
                      <w:color w:val="000000" w:themeColor="text1"/>
                      <w:sz w:val="21"/>
                      <w:szCs w:val="21"/>
                      <w:lang w:val="en-US" w:eastAsia="zh-CN"/>
                      <w14:textFill>
                        <w14:solidFill>
                          <w14:schemeClr w14:val="tx1"/>
                        </w14:solidFill>
                      </w14:textFill>
                    </w:rPr>
                    <w:t>在合规园区外新建、扩建钢铁、石化、化工、焦化、建材、有色、制浆造纸行业中的高污染项目</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本项目于2025年4月16日取得了玉溪市红塔区发展和改革局核发的《云南省固定资产投资项目备案证》（项目代码：2504-530402-04-01-717729），同意项目建设</w:t>
                  </w:r>
                  <w:r>
                    <w:rPr>
                      <w:rFonts w:hint="default" w:ascii="Times New Roman" w:hAnsi="Times New Roman" w:eastAsia="宋体" w:cs="Times New Roman"/>
                      <w:color w:val="000000" w:themeColor="text1"/>
                      <w:sz w:val="21"/>
                      <w:szCs w:val="21"/>
                      <w:lang w:val="zh-CN" w:eastAsia="zh-CN"/>
                      <w14:textFill>
                        <w14:solidFill>
                          <w14:schemeClr w14:val="tx1"/>
                        </w14:solidFill>
                      </w14:textFill>
                    </w:rPr>
                    <w:t>。</w:t>
                  </w:r>
                </w:p>
                <w:p w14:paraId="252F92AF">
                  <w:pPr>
                    <w:keepNext w:val="0"/>
                    <w:keepLines/>
                    <w:pageBreakBefore w:val="0"/>
                    <w:widowControl/>
                    <w:kinsoku/>
                    <w:wordWrap w:val="0"/>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本项目不属于钢铁、石化、化工、焦化、建材、有色、制浆造纸行业中的高污染项目。</w:t>
                  </w:r>
                </w:p>
              </w:tc>
              <w:tc>
                <w:tcPr>
                  <w:tcW w:w="428" w:type="pct"/>
                  <w:vAlign w:val="center"/>
                </w:tcPr>
                <w:p w14:paraId="68D22EA4">
                  <w:pPr>
                    <w:keepNext w:val="0"/>
                    <w:keepLines/>
                    <w:pageBreakBefore w:val="0"/>
                    <w:widowControl/>
                    <w:kinsoku/>
                    <w:wordWrap w:val="0"/>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14:paraId="7C5FF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vAlign w:val="center"/>
                </w:tcPr>
                <w:p w14:paraId="6F7E687E">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048" w:type="pct"/>
                  <w:vAlign w:val="center"/>
                </w:tcPr>
                <w:p w14:paraId="126D99CE">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禁止在九大高原湖泊（抚仙湖、星云湖、杞麓湖）流域内新建、改建、扩建污染环境、高耗水、高耗能、破坏生态平衡和自然景观的项目。</w:t>
                  </w:r>
                </w:p>
              </w:tc>
              <w:tc>
                <w:tcPr>
                  <w:tcW w:w="2028" w:type="pct"/>
                  <w:vAlign w:val="center"/>
                </w:tcPr>
                <w:p w14:paraId="6191369A">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本项目位于玉溪市红塔区研和街道可官社区可官一组，不涉及九大高原湖泊。</w:t>
                  </w:r>
                  <w:r>
                    <w:rPr>
                      <w:rFonts w:hint="default" w:ascii="Times New Roman" w:hAnsi="Times New Roman" w:cs="Times New Roman"/>
                      <w:color w:val="000000" w:themeColor="text1"/>
                      <w:sz w:val="21"/>
                      <w:szCs w:val="21"/>
                      <w:lang w:val="en-US" w:eastAsia="zh-CN"/>
                      <w14:textFill>
                        <w14:solidFill>
                          <w14:schemeClr w14:val="tx1"/>
                        </w14:solidFill>
                      </w14:textFill>
                    </w:rPr>
                    <w:t>本项目不属于污染环境、高耗水、高耗能、破坏生态平衡和自然景观的项目</w:t>
                  </w:r>
                </w:p>
              </w:tc>
              <w:tc>
                <w:tcPr>
                  <w:tcW w:w="428" w:type="pct"/>
                  <w:vAlign w:val="center"/>
                </w:tcPr>
                <w:p w14:paraId="6C189C7D">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14:paraId="4703B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restart"/>
                  <w:vAlign w:val="center"/>
                </w:tcPr>
                <w:p w14:paraId="6312CF5C">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污染物排放管控</w:t>
                  </w:r>
                </w:p>
              </w:tc>
              <w:tc>
                <w:tcPr>
                  <w:tcW w:w="2048" w:type="pct"/>
                  <w:vAlign w:val="center"/>
                </w:tcPr>
                <w:p w14:paraId="6311E5D1">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加大“三湖”（抚仙湖、星云湖、杞麓湖）及“两江”（南盘江干流、红河水系玉溪段）流域的保护和治理，推进流域环湖截污治污，加强湖泊内源污染风险防范，开展污水处理提质增效、农业面源污染治理、入河排污口整治、开发区污染治理、“三磷”和重金属行业排查等专项行动，建立水环境质量管理长效机制，持续巩固治理成效。持续打好城市黑臭水体治理攻坚战，有效控制入河污染物排放，强化溯源整治，推进城镇污水管网全覆盖。</w:t>
                  </w:r>
                </w:p>
              </w:tc>
              <w:tc>
                <w:tcPr>
                  <w:tcW w:w="2028" w:type="pct"/>
                  <w:vAlign w:val="center"/>
                </w:tcPr>
                <w:p w14:paraId="4D0B3F5F">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本项目为</w:t>
                  </w:r>
                  <w:r>
                    <w:rPr>
                      <w:rFonts w:hint="eastAsia" w:ascii="Times New Roman" w:hAnsi="Times New Roman" w:cs="Times New Roman"/>
                      <w:color w:val="000000" w:themeColor="text1"/>
                      <w:sz w:val="21"/>
                      <w:szCs w:val="21"/>
                      <w:lang w:val="en-US" w:eastAsia="zh-CN"/>
                      <w14:textFill>
                        <w14:solidFill>
                          <w14:schemeClr w14:val="tx1"/>
                        </w14:solidFill>
                      </w14:textFill>
                    </w:rPr>
                    <w:t>液化石油气钢瓶</w:t>
                  </w:r>
                  <w:r>
                    <w:rPr>
                      <w:rFonts w:hint="default" w:ascii="Times New Roman" w:hAnsi="Times New Roman" w:cs="Times New Roman"/>
                      <w:color w:val="000000" w:themeColor="text1"/>
                      <w:sz w:val="21"/>
                      <w:szCs w:val="21"/>
                      <w:lang w:val="en-US" w:eastAsia="zh-CN"/>
                      <w14:textFill>
                        <w14:solidFill>
                          <w14:schemeClr w14:val="tx1"/>
                        </w14:solidFill>
                      </w14:textFill>
                    </w:rPr>
                    <w:t>检测项目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，本项目位于玉溪市红塔区研和街道可官社区可官一组，</w:t>
                  </w:r>
                  <w:r>
                    <w:rPr>
                      <w:rFonts w:hint="default" w:ascii="Times New Roman" w:hAnsi="Times New Roman" w:cs="Times New Roman"/>
                      <w:color w:val="000000" w:themeColor="text1"/>
                      <w:sz w:val="21"/>
                      <w:szCs w:val="21"/>
                      <w:lang w:val="en-US" w:eastAsia="zh-CN"/>
                      <w14:textFill>
                        <w14:solidFill>
                          <w14:schemeClr w14:val="tx1"/>
                        </w14:solidFill>
                      </w14:textFill>
                    </w:rPr>
                    <w:t>不涉及占用生态保护红线等及其他需要特殊保护的环境敏感对象。项目的建设符合国家及云南省现行产业政策的要求，只要严格地落实环评中提出的各项环保措施，项目各污染物均能做到达标排放，不会降低区域环境质量功能。</w:t>
                  </w:r>
                </w:p>
              </w:tc>
              <w:tc>
                <w:tcPr>
                  <w:tcW w:w="428" w:type="pct"/>
                  <w:vAlign w:val="center"/>
                </w:tcPr>
                <w:p w14:paraId="50798BCB">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14:paraId="67C9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vAlign w:val="center"/>
                </w:tcPr>
                <w:p w14:paraId="4BA89FF3">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048" w:type="pct"/>
                  <w:vAlign w:val="center"/>
                </w:tcPr>
                <w:p w14:paraId="294DEDAB">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严格保护城乡饮用水水源地，整治饮用水水源保护区内的污染源，确保饮水安全。</w:t>
                  </w:r>
                </w:p>
              </w:tc>
              <w:tc>
                <w:tcPr>
                  <w:tcW w:w="2028" w:type="pct"/>
                  <w:vAlign w:val="center"/>
                </w:tcPr>
                <w:p w14:paraId="385B2A70">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本项目不涉及饮用水源保护区。</w:t>
                  </w:r>
                </w:p>
              </w:tc>
              <w:tc>
                <w:tcPr>
                  <w:tcW w:w="428" w:type="pct"/>
                  <w:vAlign w:val="center"/>
                </w:tcPr>
                <w:p w14:paraId="3057CA13">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24120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vAlign w:val="center"/>
                </w:tcPr>
                <w:p w14:paraId="40F28178">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048" w:type="pct"/>
                  <w:vAlign w:val="center"/>
                </w:tcPr>
                <w:p w14:paraId="0759F9D5">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开展细颗粒物和臭氧协同控制、挥发性有机物和氮氧化物协同减排。</w:t>
                  </w:r>
                </w:p>
                <w:p w14:paraId="2873D669">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石化、化工、包装印刷、工业涂装等VOCs排放重点源，纳入重点排污单位名录，推进挥发性有机物综合治理，实施原辅材料和产品源头替代工程，排污口安装自动监控设施。</w:t>
                  </w:r>
                </w:p>
                <w:p w14:paraId="1A1EBAF8">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推进运输结构调整，开展清洁柴油车（机）、清洁油品、车用尿素等专项行动，开展建筑施工工地扬尘专项治理；加大餐饮油烟污染、恶臭异味治理力度，强化秸秆综合利用和禁烧管控。</w:t>
                  </w:r>
                </w:p>
                <w:p w14:paraId="0D0E4F1B">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推动有色金属、钢铁、磷化工、建材等重点行业节能降碳升级改造，淘汰落后工艺技术和生产装置，实施煤电、水泥、焦化企业超低排放改造，到2025年，钢铁行业全面完成超低排放改造。</w:t>
                  </w:r>
                </w:p>
              </w:tc>
              <w:tc>
                <w:tcPr>
                  <w:tcW w:w="2028" w:type="pct"/>
                  <w:vAlign w:val="center"/>
                </w:tcPr>
                <w:p w14:paraId="092D752D">
                  <w:pPr>
                    <w:pStyle w:val="124"/>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项目均采取了相应的废气治理措施</w:t>
                  </w:r>
                  <w:r>
                    <w:rPr>
                      <w:rFonts w:hint="default" w:ascii="Times New Roman" w:hAnsi="Times New Roman" w:cs="Times New Roman"/>
                      <w:color w:val="000000" w:themeColor="text1"/>
                      <w:kern w:val="0"/>
                      <w:szCs w:val="21"/>
                      <w14:textFill>
                        <w14:solidFill>
                          <w14:schemeClr w14:val="tx1"/>
                        </w14:solidFill>
                      </w14:textFill>
                    </w:rPr>
                    <w:t>，经采取本环评提供的污染防治措施以后对周边影响不大</w:t>
                  </w:r>
                  <w:r>
                    <w:rPr>
                      <w:rFonts w:hint="default" w:ascii="Times New Roman" w:hAnsi="Times New Roman" w:cs="Times New Roman"/>
                      <w:color w:val="000000" w:themeColor="text1"/>
                      <w:kern w:val="0"/>
                      <w:szCs w:val="21"/>
                      <w:lang w:eastAsia="zh-CN"/>
                      <w14:textFill>
                        <w14:solidFill>
                          <w14:schemeClr w14:val="tx1"/>
                        </w14:solidFill>
                      </w14:textFill>
                    </w:rPr>
                    <w:t>。</w:t>
                  </w:r>
                </w:p>
                <w:p w14:paraId="374E28B0">
                  <w:pPr>
                    <w:pStyle w:val="124"/>
                    <w:pageBreakBefore w:val="0"/>
                    <w:kinsoku/>
                    <w:overflowPunct/>
                    <w:topLinePunct w:val="0"/>
                    <w:bidi w:val="0"/>
                    <w:ind w:left="0" w:leftChars="0" w:right="0" w:rightChars="0" w:firstLine="0" w:firstLineChars="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根据排污许可《固定污染源分类管理名录》，本项目不属于重点管理排污单位。</w:t>
                  </w:r>
                </w:p>
                <w:p w14:paraId="04BB216C">
                  <w:pPr>
                    <w:pStyle w:val="124"/>
                    <w:pageBreakBefore w:val="0"/>
                    <w:kinsoku/>
                    <w:overflowPunct/>
                    <w:topLinePunct w:val="0"/>
                    <w:bidi w:val="0"/>
                    <w:ind w:left="0" w:leftChars="0" w:right="0" w:rightChars="0" w:firstLine="0" w:firstLineChars="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本项目不涉及清洁柴油车（机）、清洁油品、车用尿素等运输。不涉及秸秆综合利用和焚烧。不属于有色金属、钢铁、磷化工、建材行业。</w:t>
                  </w:r>
                </w:p>
                <w:p w14:paraId="36F195DB">
                  <w:pPr>
                    <w:pStyle w:val="124"/>
                    <w:pageBreakBefore w:val="0"/>
                    <w:kinsoku/>
                    <w:overflowPunct/>
                    <w:topLinePunct w:val="0"/>
                    <w:bidi w:val="0"/>
                    <w:ind w:left="0" w:leftChars="0" w:right="0" w:rightChars="0" w:firstLine="0" w:firstLineChars="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本环评</w:t>
                  </w:r>
                  <w:r>
                    <w:rPr>
                      <w:rFonts w:hint="default" w:ascii="Times New Roman" w:hAnsi="Times New Roman" w:cs="Times New Roman"/>
                      <w:color w:val="000000" w:themeColor="text1"/>
                      <w:szCs w:val="21"/>
                      <w:lang w:eastAsia="zh-CN"/>
                      <w14:textFill>
                        <w14:solidFill>
                          <w14:schemeClr w14:val="tx1"/>
                        </w14:solidFill>
                      </w14:textFill>
                    </w:rPr>
                    <w:t>已提出</w:t>
                  </w:r>
                  <w:r>
                    <w:rPr>
                      <w:rFonts w:hint="default" w:ascii="Times New Roman" w:hAnsi="Times New Roman" w:cs="Times New Roman"/>
                      <w:color w:val="000000" w:themeColor="text1"/>
                      <w:szCs w:val="21"/>
                      <w:shd w:val="clear" w:color="auto" w:fill="FFFFFF"/>
                      <w14:textFill>
                        <w14:solidFill>
                          <w14:schemeClr w14:val="tx1"/>
                        </w14:solidFill>
                      </w14:textFill>
                    </w:rPr>
                    <w:t>施工期环境保护措施</w:t>
                  </w:r>
                  <w:r>
                    <w:rPr>
                      <w:rFonts w:hint="default" w:ascii="Times New Roman" w:hAnsi="Times New Roman" w:cs="Times New Roman"/>
                      <w:color w:val="000000" w:themeColor="text1"/>
                      <w:szCs w:val="21"/>
                      <w:shd w:val="clear" w:color="auto" w:fill="FFFFFF"/>
                      <w:lang w:eastAsia="zh-CN"/>
                      <w14:textFill>
                        <w14:solidFill>
                          <w14:schemeClr w14:val="tx1"/>
                        </w14:solidFill>
                      </w14:textFill>
                    </w:rPr>
                    <w:t>，建设单位施工过程中需</w:t>
                  </w:r>
                  <w:r>
                    <w:rPr>
                      <w:rFonts w:hint="default" w:ascii="Times New Roman" w:hAnsi="Times New Roman" w:cs="Times New Roman"/>
                      <w:color w:val="000000" w:themeColor="text1"/>
                      <w:szCs w:val="21"/>
                      <w14:textFill>
                        <w14:solidFill>
                          <w14:schemeClr w14:val="tx1"/>
                        </w14:solidFill>
                      </w14:textFill>
                    </w:rPr>
                    <w:t>落实</w:t>
                  </w:r>
                  <w:r>
                    <w:rPr>
                      <w:rFonts w:hint="default" w:ascii="Times New Roman" w:hAnsi="Times New Roman" w:cs="Times New Roman"/>
                      <w:color w:val="000000" w:themeColor="text1"/>
                      <w:szCs w:val="21"/>
                      <w:shd w:val="clear" w:color="auto" w:fill="FFFFFF"/>
                      <w14:textFill>
                        <w14:solidFill>
                          <w14:schemeClr w14:val="tx1"/>
                        </w14:solidFill>
                      </w14:textFill>
                    </w:rPr>
                    <w:t>施工工地“六个百分之百”工作要求</w:t>
                  </w:r>
                  <w:r>
                    <w:rPr>
                      <w:rFonts w:hint="default" w:ascii="Times New Roman" w:hAnsi="Times New Roman" w:cs="Times New Roman"/>
                      <w:color w:val="000000" w:themeColor="text1"/>
                      <w:sz w:val="21"/>
                      <w:szCs w:val="21"/>
                      <w:lang w:val="en-US" w:eastAsia="zh-CN"/>
                      <w14:textFill>
                        <w14:solidFill>
                          <w14:schemeClr w14:val="tx1"/>
                        </w14:solidFill>
                      </w14:textFill>
                    </w:rPr>
                    <w:t>。</w:t>
                  </w:r>
                </w:p>
                <w:p w14:paraId="6EE2EFCF">
                  <w:pPr>
                    <w:pStyle w:val="124"/>
                    <w:pageBreakBefore w:val="0"/>
                    <w:kinsoku/>
                    <w:overflowPunct/>
                    <w:topLinePunct w:val="0"/>
                    <w:bidi w:val="0"/>
                    <w:ind w:left="0" w:leftChars="0" w:right="0" w:rightChars="0" w:firstLine="0" w:firstLineChars="0"/>
                    <w:rPr>
                      <w:rFonts w:hint="default" w:ascii="Times New Roman" w:hAnsi="Times New Roman" w:cs="Times New Roman"/>
                      <w:color w:val="000000" w:themeColor="text1"/>
                      <w:sz w:val="21"/>
                      <w:szCs w:val="21"/>
                      <w:lang w:val="en-US" w:eastAsia="zh-CN"/>
                      <w14:textFill>
                        <w14:solidFill>
                          <w14:schemeClr w14:val="tx1"/>
                        </w14:solidFill>
                      </w14:textFill>
                    </w:rPr>
                  </w:pPr>
                </w:p>
                <w:p w14:paraId="1A1D8971">
                  <w:pPr>
                    <w:rPr>
                      <w:rFonts w:hint="default" w:ascii="Times New Roman" w:hAnsi="Times New Roman" w:cs="Times New Roman"/>
                      <w:color w:val="000000" w:themeColor="text1"/>
                      <w:lang w:val="en-US" w:eastAsia="zh-CN"/>
                      <w14:textFill>
                        <w14:solidFill>
                          <w14:schemeClr w14:val="tx1"/>
                        </w14:solidFill>
                      </w14:textFill>
                    </w:rPr>
                  </w:pPr>
                </w:p>
                <w:p w14:paraId="6F597A3C">
                  <w:pPr>
                    <w:keepNext w:val="0"/>
                    <w:pageBreakBefore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14:paraId="25F4FF2F">
                  <w:pPr>
                    <w:keepNext w:val="0"/>
                    <w:pageBreakBefore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14:paraId="73877042">
                  <w:pPr>
                    <w:keepNext w:val="0"/>
                    <w:pageBreakBefore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28" w:type="pct"/>
                  <w:vAlign w:val="center"/>
                </w:tcPr>
                <w:p w14:paraId="0A2B5889">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14:paraId="2B14F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vAlign w:val="center"/>
                </w:tcPr>
                <w:p w14:paraId="4E0A9E7F">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048" w:type="pct"/>
                  <w:vAlign w:val="center"/>
                </w:tcPr>
                <w:p w14:paraId="67AADBE4">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严格管控农用地，不得在特定农产品禁止生产区域种植食用农产品；安全利用农用地，制定受污染耕地安全利用方案，降低农产品超标风险。合理规划污染地块土地用途，从严管控农药、化工、有色金属等行业企业重度污染地块开发利用，对列入建设用地土壤污染风险管控和修复名录的地块不得作为住宅、公共管理与公共服务用地，不得办理土地征收、收回、收购、土地供应以及改变土地用途等手续，应当依法开展土壤污染状况调查、治理与修复，并符合相应规划用地土壤环境质量要求后，方可进入用地程序。</w:t>
                  </w:r>
                </w:p>
              </w:tc>
              <w:tc>
                <w:tcPr>
                  <w:tcW w:w="2028" w:type="pct"/>
                  <w:vAlign w:val="center"/>
                </w:tcPr>
                <w:p w14:paraId="079D78E4">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default" w:ascii="Times New Roman" w:hAnsi="Times New Roman" w:cs="Times New Roman"/>
                      <w:color w:val="000000" w:themeColor="text1"/>
                      <w:sz w:val="21"/>
                      <w:szCs w:val="21"/>
                      <w:lang w:val="en-US" w:eastAsia="zh-CN"/>
                      <w14:textFill>
                        <w14:solidFill>
                          <w14:schemeClr w14:val="tx1"/>
                        </w14:solidFill>
                      </w14:textFill>
                    </w:rPr>
                    <w:t>不涉及农用地。</w:t>
                  </w:r>
                </w:p>
              </w:tc>
              <w:tc>
                <w:tcPr>
                  <w:tcW w:w="428" w:type="pct"/>
                  <w:vAlign w:val="center"/>
                </w:tcPr>
                <w:p w14:paraId="60C0AF47">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30F3C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vAlign w:val="center"/>
                </w:tcPr>
                <w:p w14:paraId="70943547">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048" w:type="pct"/>
                  <w:vAlign w:val="center"/>
                </w:tcPr>
                <w:p w14:paraId="10FC7B5D">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加快“无废城市”建设，产生工业固体废物的单位应当建立健全工业固体废物产生、收集、贮存、运输、利用、处置全过程的污染环境防治责任制度，按照国家有关规定建立工业固体废物管理台账，加强重金属污染物排放管理，落实区域“减量替代”和“等量替代”要求，重金属污染物排放量2025年比2020年削减4%。</w:t>
                  </w:r>
                </w:p>
              </w:tc>
              <w:tc>
                <w:tcPr>
                  <w:tcW w:w="2028" w:type="pct"/>
                  <w:vAlign w:val="center"/>
                </w:tcPr>
                <w:p w14:paraId="7A45F75D">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项目生活垃圾经厂区定点垃圾桶收集后运至周边村庄垃圾集中收集点，由当地环卫部门定期清运处置；</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液化石油气钢瓶</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进入压扁区压扁后，同废瓶阀、废钢丸经收集至</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一般固废暂存区</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暂存，</w:t>
                  </w:r>
                  <w:r>
                    <w:rPr>
                      <w:rFonts w:hint="eastAsia" w:cs="Times New Roman"/>
                      <w:b w:val="0"/>
                      <w:bCs w:val="0"/>
                      <w:color w:val="000000" w:themeColor="text1"/>
                      <w:sz w:val="21"/>
                      <w:szCs w:val="21"/>
                      <w:lang w:val="en-US" w:eastAsia="zh-CN"/>
                      <w14:textFill>
                        <w14:solidFill>
                          <w14:schemeClr w14:val="tx1"/>
                        </w14:solidFill>
                      </w14:textFill>
                    </w:rPr>
                    <w:t>定期外售废品回收商处置</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废橡胶圈、焚烧炉燃灰、</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废滤筒、脱硫废渣经收集</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至</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一般固废暂存区</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暂存，</w:t>
                  </w:r>
                  <w:r>
                    <w:rPr>
                      <w:rFonts w:hint="eastAsia" w:cs="Times New Roman"/>
                      <w:b w:val="0"/>
                      <w:bCs w:val="0"/>
                      <w:color w:val="000000" w:themeColor="text1"/>
                      <w:sz w:val="21"/>
                      <w:szCs w:val="21"/>
                      <w:lang w:val="en-US" w:eastAsia="zh-CN"/>
                      <w14:textFill>
                        <w14:solidFill>
                          <w14:schemeClr w14:val="tx1"/>
                        </w14:solidFill>
                      </w14:textFill>
                    </w:rPr>
                    <w:t>定期外售废品回收商处置</w:t>
                  </w:r>
                  <w:r>
                    <w:rPr>
                      <w:rFonts w:hint="default" w:ascii="Times New Roman" w:hAnsi="Times New Roman" w:cs="Times New Roman"/>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抛丸除锈</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环节</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收集粉尘</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焚烧</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环节</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收集粉</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尘经</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收集后暂存于一般固废暂存区，</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定期</w:t>
                  </w:r>
                  <w:r>
                    <w:rPr>
                      <w:rFonts w:hint="eastAsia" w:cs="Times New Roman"/>
                      <w:b w:val="0"/>
                      <w:bCs w:val="0"/>
                      <w:color w:val="000000" w:themeColor="text1"/>
                      <w:sz w:val="21"/>
                      <w:szCs w:val="21"/>
                      <w:lang w:val="en-US" w:eastAsia="zh-CN"/>
                      <w14:textFill>
                        <w14:solidFill>
                          <w14:schemeClr w14:val="tx1"/>
                        </w14:solidFill>
                      </w14:textFill>
                    </w:rPr>
                    <w:t>外售废品回收商</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处置</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喷塑环节收集粉尘经收集后回用于生产环节</w:t>
                  </w:r>
                  <w:r>
                    <w:rPr>
                      <w:rFonts w:hint="eastAsia" w:cs="Times New Roman"/>
                      <w:bCs/>
                      <w:color w:val="000000" w:themeColor="text1"/>
                      <w:sz w:val="21"/>
                      <w:szCs w:val="21"/>
                      <w:lang w:val="en-US" w:eastAsia="zh-CN"/>
                      <w14:textFill>
                        <w14:solidFill>
                          <w14:schemeClr w14:val="tx1"/>
                        </w14:solidFill>
                      </w14:textFill>
                    </w:rPr>
                    <w:t>；</w:t>
                  </w:r>
                  <w:r>
                    <w:rPr>
                      <w:rFonts w:hint="default" w:ascii="Times New Roman" w:hAnsi="Times New Roman" w:cs="Times New Roman"/>
                      <w:bCs/>
                      <w:color w:val="000000" w:themeColor="text1"/>
                      <w:sz w:val="21"/>
                      <w:szCs w:val="21"/>
                      <w:lang w:val="en-US" w:eastAsia="zh-CN"/>
                      <w14:textFill>
                        <w14:solidFill>
                          <w14:schemeClr w14:val="tx1"/>
                        </w14:solidFill>
                      </w14:textFill>
                    </w:rPr>
                    <w:t>危险废物暂存于危废暂存间，委托有资质单位进行清运处置。固体废物均得到了妥善处置，处置率100%。</w:t>
                  </w:r>
                </w:p>
              </w:tc>
              <w:tc>
                <w:tcPr>
                  <w:tcW w:w="428" w:type="pct"/>
                  <w:vAlign w:val="center"/>
                </w:tcPr>
                <w:p w14:paraId="1BE13AC5">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14:paraId="6CE4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restart"/>
                  <w:vAlign w:val="center"/>
                </w:tcPr>
                <w:p w14:paraId="022E4361">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环境风险防控</w:t>
                  </w:r>
                </w:p>
              </w:tc>
              <w:tc>
                <w:tcPr>
                  <w:tcW w:w="2048" w:type="pct"/>
                  <w:vAlign w:val="center"/>
                </w:tcPr>
                <w:p w14:paraId="426F8E3F">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强化与其他滇中城市的大气、水污染防治联防联控协作机制，加强区域内重污染天气和跨界水体风险应急联动。</w:t>
                  </w:r>
                </w:p>
              </w:tc>
              <w:tc>
                <w:tcPr>
                  <w:tcW w:w="2028" w:type="pct"/>
                  <w:vMerge w:val="restart"/>
                  <w:vAlign w:val="center"/>
                </w:tcPr>
                <w:p w14:paraId="2EB97900">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14:textFill>
                        <w14:solidFill>
                          <w14:schemeClr w14:val="tx1"/>
                        </w14:solidFill>
                      </w14:textFill>
                    </w:rPr>
                    <w:t>本项目针对存在的环境风险采取了相应的风险防范措施，项目建成后及时制定突发环境事件应急预案，在当地生态环境主管部门进行备案后定期进行相关的培训和演练。</w:t>
                  </w:r>
                </w:p>
              </w:tc>
              <w:tc>
                <w:tcPr>
                  <w:tcW w:w="428" w:type="pct"/>
                  <w:vAlign w:val="center"/>
                </w:tcPr>
                <w:p w14:paraId="7CA92787">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14:paraId="03C94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vAlign w:val="center"/>
                </w:tcPr>
                <w:p w14:paraId="11F38C02">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048" w:type="pct"/>
                  <w:vAlign w:val="center"/>
                </w:tcPr>
                <w:p w14:paraId="704EB729">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开展涉危险废物涉重金属企业、化工园区等重点领域环境风险调查评估，加强危险化学品运输全链条安全监管。完善环境应急管理体系，提升市县两级环境应急响应能力，推进应急物资库建设。开展涉铊企业排查整治行动。建立“平战结合”医疗废物应急处置体系。</w:t>
                  </w:r>
                </w:p>
              </w:tc>
              <w:tc>
                <w:tcPr>
                  <w:tcW w:w="2028" w:type="pct"/>
                  <w:vMerge w:val="continue"/>
                  <w:vAlign w:val="center"/>
                </w:tcPr>
                <w:p w14:paraId="5A950C9E">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428" w:type="pct"/>
                  <w:vAlign w:val="center"/>
                </w:tcPr>
                <w:p w14:paraId="3B7851EF">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14:paraId="7B0EE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restart"/>
                  <w:vAlign w:val="center"/>
                </w:tcPr>
                <w:p w14:paraId="1D0D1CFC">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资源开发利用效率</w:t>
                  </w:r>
                </w:p>
              </w:tc>
              <w:tc>
                <w:tcPr>
                  <w:tcW w:w="2048" w:type="pct"/>
                  <w:vAlign w:val="center"/>
                </w:tcPr>
                <w:p w14:paraId="70A5CE7F">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降低水、土地、能源、矿产资源消耗强度，强化约束性指标管理。</w:t>
                  </w:r>
                </w:p>
              </w:tc>
              <w:tc>
                <w:tcPr>
                  <w:tcW w:w="2028" w:type="pct"/>
                  <w:shd w:val="clear" w:color="auto" w:fill="auto"/>
                  <w:vAlign w:val="center"/>
                </w:tcPr>
                <w:p w14:paraId="3A066F8A">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本项目满足</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降低水资源消耗强度要求。</w:t>
                  </w:r>
                </w:p>
                <w:p w14:paraId="55233160">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生产过程中水压试验、气密试验用水循环使用，不外排，定期补充新鲜水；喷淋塔定期补充新鲜水，循环使用，废液每年更换一次，废液经收集后暂存于危废暂存间，定期交由有危废资质的单位进行处置；满足</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降低水资源消耗强度要求。</w:t>
                  </w:r>
                </w:p>
              </w:tc>
              <w:tc>
                <w:tcPr>
                  <w:tcW w:w="428" w:type="pct"/>
                  <w:vAlign w:val="center"/>
                </w:tcPr>
                <w:p w14:paraId="7762C966">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6B7F0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vAlign w:val="center"/>
                </w:tcPr>
                <w:p w14:paraId="49174EBF">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48" w:type="pct"/>
                  <w:vAlign w:val="center"/>
                </w:tcPr>
                <w:p w14:paraId="51403A86">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实行最严格的水资源管理制度，严格用水总量、强度指标管理，严格取水管控，建立重点监控取水单位名录，强化重点监控取水单位管理。全市年用水总量、万元工业增加值用水量降幅等指标达到省考核要求。</w:t>
                  </w:r>
                </w:p>
              </w:tc>
              <w:tc>
                <w:tcPr>
                  <w:tcW w:w="2028" w:type="pct"/>
                  <w:vAlign w:val="center"/>
                </w:tcPr>
                <w:p w14:paraId="75C4D205">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项目用水来源于市政管网，不涉及取水。</w:t>
                  </w:r>
                </w:p>
                <w:p w14:paraId="0135AAC5">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本项目生产过程中生产废水循环使用，仅定期补充新鲜水，</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满足</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降低水资源消耗强度要求</w:t>
                  </w:r>
                </w:p>
              </w:tc>
              <w:tc>
                <w:tcPr>
                  <w:tcW w:w="428" w:type="pct"/>
                  <w:vAlign w:val="center"/>
                </w:tcPr>
                <w:p w14:paraId="6FB305E3">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096C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vAlign w:val="center"/>
                </w:tcPr>
                <w:p w14:paraId="7C92ABFE">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048" w:type="pct"/>
                  <w:vAlign w:val="center"/>
                </w:tcPr>
                <w:p w14:paraId="7B89BF9A">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坚持最严格的耕地保护制度，守住耕地保护红线。坚持节约用地，严格执行耕地占补平衡等制度，提高土地投资强度和单位面积产出水平。</w:t>
                  </w:r>
                </w:p>
              </w:tc>
              <w:tc>
                <w:tcPr>
                  <w:tcW w:w="2028" w:type="pct"/>
                  <w:vAlign w:val="center"/>
                </w:tcPr>
                <w:p w14:paraId="5C49803A">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本项目不涉及耕地。</w:t>
                  </w:r>
                </w:p>
              </w:tc>
              <w:tc>
                <w:tcPr>
                  <w:tcW w:w="428" w:type="pct"/>
                  <w:vAlign w:val="center"/>
                </w:tcPr>
                <w:p w14:paraId="16162EB1">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67CB5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vAlign w:val="center"/>
                </w:tcPr>
                <w:p w14:paraId="3B7D684B">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048" w:type="pct"/>
                  <w:vAlign w:val="center"/>
                </w:tcPr>
                <w:p w14:paraId="2CBA8A3B">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高污染燃料禁燃区按照《高污染燃料目录》及当地有关禁燃区管理规定执行。</w:t>
                  </w:r>
                </w:p>
              </w:tc>
              <w:tc>
                <w:tcPr>
                  <w:tcW w:w="2028" w:type="pct"/>
                  <w:vAlign w:val="center"/>
                </w:tcPr>
                <w:p w14:paraId="1066927A">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本项目不涉及高污染燃料禁燃区。</w:t>
                  </w:r>
                </w:p>
                <w:p w14:paraId="40B1EE27">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生产环节</w:t>
                  </w:r>
                  <w:r>
                    <w:rPr>
                      <w:rFonts w:hint="default" w:ascii="Times New Roman" w:hAnsi="Times New Roman" w:cs="Times New Roman"/>
                      <w:b w:val="0"/>
                      <w:bCs/>
                      <w:color w:val="000000" w:themeColor="text1"/>
                      <w:lang w:val="en-US" w:eastAsia="zh-CN"/>
                      <w14:textFill>
                        <w14:solidFill>
                          <w14:schemeClr w14:val="tx1"/>
                        </w14:solidFill>
                      </w14:textFill>
                    </w:rPr>
                    <w:t>焚烧炉采用生物质颗粒作为燃料，燃烧废气</w:t>
                  </w:r>
                  <w:r>
                    <w:rPr>
                      <w:rFonts w:hint="default" w:ascii="Times New Roman" w:hAnsi="Times New Roman" w:cs="Times New Roman"/>
                      <w:b w:val="0"/>
                      <w:bCs/>
                      <w:color w:val="000000" w:themeColor="text1"/>
                      <w:kern w:val="24"/>
                      <w:lang w:val="en-US" w:eastAsia="zh-CN"/>
                      <w14:textFill>
                        <w14:solidFill>
                          <w14:schemeClr w14:val="tx1"/>
                        </w14:solidFill>
                      </w14:textFill>
                    </w:rPr>
                    <w:t>经收集后进入一套“旋风+布袋+喷淋”设施处理后通过1根15m高排气筒DA001排放，不属于</w:t>
                  </w:r>
                  <w:r>
                    <w:rPr>
                      <w:rFonts w:hint="default" w:ascii="Times New Roman" w:hAnsi="Times New Roman" w:cs="Times New Roman"/>
                      <w:color w:val="000000" w:themeColor="text1"/>
                      <w:sz w:val="21"/>
                      <w:szCs w:val="21"/>
                      <w:lang w:val="en-US" w:eastAsia="zh-CN"/>
                      <w14:textFill>
                        <w14:solidFill>
                          <w14:schemeClr w14:val="tx1"/>
                        </w14:solidFill>
                      </w14:textFill>
                    </w:rPr>
                    <w:t>《高污染燃料目录》中高污染燃料为“非专用锅炉或未配置高效除尘设施的专用锅炉燃用的生物质成型燃料”的情况，故本项目不涉及高污染燃料</w:t>
                  </w:r>
                  <w:r>
                    <w:rPr>
                      <w:rFonts w:hint="default" w:ascii="Times New Roman" w:hAnsi="Times New Roman" w:cs="Times New Roman"/>
                      <w:b w:val="0"/>
                      <w:bCs/>
                      <w:color w:val="000000" w:themeColor="text1"/>
                      <w:kern w:val="24"/>
                      <w:lang w:val="en-US" w:eastAsia="zh-CN"/>
                      <w14:textFill>
                        <w14:solidFill>
                          <w14:schemeClr w14:val="tx1"/>
                        </w14:solidFill>
                      </w14:textFill>
                    </w:rPr>
                    <w:t>。</w:t>
                  </w:r>
                </w:p>
              </w:tc>
              <w:tc>
                <w:tcPr>
                  <w:tcW w:w="428" w:type="pct"/>
                  <w:vAlign w:val="center"/>
                </w:tcPr>
                <w:p w14:paraId="0FFF3940">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14:paraId="13C77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vAlign w:val="center"/>
                </w:tcPr>
                <w:p w14:paraId="1CCD2420">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048" w:type="pct"/>
                  <w:vAlign w:val="center"/>
                </w:tcPr>
                <w:p w14:paraId="22C6218F">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实施高效节水灌溉工程，大力推广高效节水灌溉措施，到2025年，农田灌溉水有效利用系数达到0.55。</w:t>
                  </w:r>
                </w:p>
              </w:tc>
              <w:tc>
                <w:tcPr>
                  <w:tcW w:w="2028" w:type="pct"/>
                  <w:vAlign w:val="center"/>
                </w:tcPr>
                <w:p w14:paraId="42B0E61E">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本项目不涉及农田灌溉</w:t>
                  </w:r>
                </w:p>
              </w:tc>
              <w:tc>
                <w:tcPr>
                  <w:tcW w:w="428" w:type="pct"/>
                  <w:vAlign w:val="center"/>
                </w:tcPr>
                <w:p w14:paraId="139A6018">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3E3A8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vAlign w:val="center"/>
                </w:tcPr>
                <w:p w14:paraId="565FB9AB">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Cs w:val="21"/>
                      <w:lang w:val="en-US" w:eastAsia="zh-CN"/>
                      <w14:textFill>
                        <w14:solidFill>
                          <w14:schemeClr w14:val="tx1"/>
                        </w14:solidFill>
                      </w14:textFill>
                    </w:rPr>
                    <w:t>红塔区产业园区重点管控单元</w:t>
                  </w:r>
                </w:p>
              </w:tc>
            </w:tr>
            <w:tr w14:paraId="4F28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restart"/>
                  <w:vAlign w:val="center"/>
                </w:tcPr>
                <w:p w14:paraId="77436C17">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空间布局约束</w:t>
                  </w:r>
                </w:p>
              </w:tc>
              <w:tc>
                <w:tcPr>
                  <w:tcW w:w="2048" w:type="pct"/>
                  <w:vAlign w:val="center"/>
                </w:tcPr>
                <w:p w14:paraId="2F27EE43">
                  <w:pPr>
                    <w:keepLines/>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1.合理规划产业分区和功能定位，禁止不符合产业政策、产业结构调整指导目录和园区规划要求的项目入园区。</w:t>
                  </w:r>
                </w:p>
              </w:tc>
              <w:tc>
                <w:tcPr>
                  <w:tcW w:w="2028" w:type="pct"/>
                  <w:vAlign w:val="center"/>
                </w:tcPr>
                <w:p w14:paraId="6D3ABDDD">
                  <w:pPr>
                    <w:keepLines/>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本项目符合国家产业政策要求；符合国土空间管控和生态环境专项规划要求；</w:t>
                  </w:r>
                </w:p>
              </w:tc>
              <w:tc>
                <w:tcPr>
                  <w:tcW w:w="428" w:type="pct"/>
                  <w:vAlign w:val="center"/>
                </w:tcPr>
                <w:p w14:paraId="73CEFE0A">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14:paraId="57B65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vAlign w:val="center"/>
                </w:tcPr>
                <w:p w14:paraId="53109871">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048" w:type="pct"/>
                  <w:vAlign w:val="center"/>
                </w:tcPr>
                <w:p w14:paraId="291DB941">
                  <w:pPr>
                    <w:keepLines/>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2.红塔片区限制扩建水泥、化工等大气重污染型企业；限制以废水、高架点源废气为特征污染的工业企业入园。</w:t>
                  </w:r>
                </w:p>
              </w:tc>
              <w:tc>
                <w:tcPr>
                  <w:tcW w:w="2028" w:type="pct"/>
                  <w:vAlign w:val="center"/>
                </w:tcPr>
                <w:p w14:paraId="469755D4">
                  <w:pPr>
                    <w:keepLines/>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本项目为</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液化石油气钢瓶</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检测项目，</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不属于</w:t>
                  </w:r>
                  <w:r>
                    <w:rPr>
                      <w:rFonts w:hint="default" w:ascii="Times New Roman" w:hAnsi="Times New Roman" w:eastAsia="宋体" w:cs="Times New Roman"/>
                      <w:color w:val="000000" w:themeColor="text1"/>
                      <w:szCs w:val="21"/>
                      <w:lang w:val="en-US" w:eastAsia="zh-CN"/>
                      <w14:textFill>
                        <w14:solidFill>
                          <w14:schemeClr w14:val="tx1"/>
                        </w14:solidFill>
                      </w14:textFill>
                    </w:rPr>
                    <w:t>水泥、化工等大气重污染型企业</w:t>
                  </w:r>
                </w:p>
              </w:tc>
              <w:tc>
                <w:tcPr>
                  <w:tcW w:w="428" w:type="pct"/>
                  <w:vAlign w:val="center"/>
                </w:tcPr>
                <w:p w14:paraId="4A1FEA33">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14:paraId="676CB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vAlign w:val="center"/>
                </w:tcPr>
                <w:p w14:paraId="55C2287D">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048" w:type="pct"/>
                  <w:vAlign w:val="center"/>
                </w:tcPr>
                <w:p w14:paraId="5116E8E4">
                  <w:pPr>
                    <w:keepLines/>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九龙片区、南片区、大营街地块、莲池地块、卧牛山地块、青龙山地块禁止高风险、高污染行业以及《云南省城镇人口密集区危险化学品生产企业搬迁改造实施方案》中相关企业入驻，禁止布局排放有毒有害气体的项目。</w:t>
                  </w:r>
                </w:p>
              </w:tc>
              <w:tc>
                <w:tcPr>
                  <w:tcW w:w="2028" w:type="pct"/>
                  <w:vAlign w:val="center"/>
                </w:tcPr>
                <w:p w14:paraId="38BDF776">
                  <w:pPr>
                    <w:keepLines/>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本项目为</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液化石油气钢瓶</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检测项目</w:t>
                  </w:r>
                  <w:r>
                    <w:rPr>
                      <w:rFonts w:hint="default" w:ascii="Times New Roman" w:hAnsi="Times New Roman" w:eastAsia="宋体" w:cs="Times New Roman"/>
                      <w:color w:val="000000" w:themeColor="text1"/>
                      <w:szCs w:val="21"/>
                      <w:lang w:val="en-US" w:eastAsia="zh-CN"/>
                      <w14:textFill>
                        <w14:solidFill>
                          <w14:schemeClr w14:val="tx1"/>
                        </w14:solidFill>
                      </w14:textFill>
                    </w:rPr>
                    <w:t>，不属于高风险、高污染行业</w:t>
                  </w:r>
                  <w:r>
                    <w:rPr>
                      <w:rFonts w:hint="default" w:ascii="Times New Roman" w:hAnsi="Times New Roman" w:cs="Times New Roman"/>
                      <w:color w:val="000000" w:themeColor="text1"/>
                      <w:szCs w:val="21"/>
                      <w:lang w:eastAsia="zh-CN"/>
                      <w14:textFill>
                        <w14:solidFill>
                          <w14:schemeClr w14:val="tx1"/>
                        </w14:solidFill>
                      </w14:textFill>
                    </w:rPr>
                    <w:t>，不涉及</w:t>
                  </w:r>
                  <w:r>
                    <w:rPr>
                      <w:rFonts w:hint="default" w:ascii="Times New Roman" w:hAnsi="Times New Roman" w:eastAsia="宋体" w:cs="Times New Roman"/>
                      <w:color w:val="000000" w:themeColor="text1"/>
                      <w:szCs w:val="21"/>
                      <w:lang w:val="en-US" w:eastAsia="zh-CN"/>
                      <w14:textFill>
                        <w14:solidFill>
                          <w14:schemeClr w14:val="tx1"/>
                        </w14:solidFill>
                      </w14:textFill>
                    </w:rPr>
                    <w:t>《云南省城镇人口密集区危险化学品生产企业搬迁改造实施方案》</w:t>
                  </w: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428" w:type="pct"/>
                  <w:vAlign w:val="center"/>
                </w:tcPr>
                <w:p w14:paraId="36063885">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14:paraId="1C51D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vAlign w:val="center"/>
                </w:tcPr>
                <w:p w14:paraId="41BCBE8A">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048" w:type="pct"/>
                  <w:vAlign w:val="center"/>
                </w:tcPr>
                <w:p w14:paraId="7763202E">
                  <w:pPr>
                    <w:keepLines/>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4.研和片区地块一、核心区南片区、红塔片区禁止新增三类工业项目。金属冶炼项目总规模不得新增，新增金属冶炼项目必须严格落实产能减量置换、污染物削减方案要求，污染物排放必须满足超低排放要求。</w:t>
                  </w:r>
                </w:p>
              </w:tc>
              <w:tc>
                <w:tcPr>
                  <w:tcW w:w="2028" w:type="pct"/>
                  <w:vAlign w:val="center"/>
                </w:tcPr>
                <w:p w14:paraId="6BEEA4AE">
                  <w:pPr>
                    <w:keepLines/>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本项目为</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液化石油气钢瓶</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检测项目</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不属于化工、冶金等三类工业项目。</w:t>
                  </w:r>
                </w:p>
              </w:tc>
              <w:tc>
                <w:tcPr>
                  <w:tcW w:w="428" w:type="pct"/>
                  <w:vAlign w:val="center"/>
                </w:tcPr>
                <w:p w14:paraId="6377DF80">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14:paraId="17A2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vAlign w:val="center"/>
                </w:tcPr>
                <w:p w14:paraId="259553A4">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048" w:type="pct"/>
                  <w:vAlign w:val="center"/>
                </w:tcPr>
                <w:p w14:paraId="78CE6381">
                  <w:pPr>
                    <w:keepLines/>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研和片区禁止使用高污染燃料及涉及重金属排放的企业入驻。装备制造产业禁止投资电镀、金属表面处理等排放重金属废水、废气项目。禁止布局有色金属冶炼，禁止新增粗钢、生铁冶炼产能，金属冶炼及制品加工行业尽量布局完善产业链，促进园区金属冶炼行业转型升级。同时与周边居住区间需保留足够的防护距离。</w:t>
                  </w:r>
                </w:p>
              </w:tc>
              <w:tc>
                <w:tcPr>
                  <w:tcW w:w="2028" w:type="pct"/>
                  <w:vAlign w:val="center"/>
                </w:tcPr>
                <w:p w14:paraId="1F1207C9">
                  <w:pPr>
                    <w:keepLines/>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本项目为</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液化石油气钢瓶</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检测项目</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不涉及</w:t>
                  </w:r>
                  <w:r>
                    <w:rPr>
                      <w:rFonts w:hint="default" w:ascii="Times New Roman" w:hAnsi="Times New Roman" w:eastAsia="宋体" w:cs="Times New Roman"/>
                      <w:color w:val="000000" w:themeColor="text1"/>
                      <w:szCs w:val="21"/>
                      <w:lang w:val="en-US" w:eastAsia="zh-CN"/>
                      <w14:textFill>
                        <w14:solidFill>
                          <w14:schemeClr w14:val="tx1"/>
                        </w14:solidFill>
                      </w14:textFill>
                    </w:rPr>
                    <w:t>使用高污染燃料</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生产环节</w:t>
                  </w:r>
                  <w:r>
                    <w:rPr>
                      <w:rFonts w:hint="default" w:ascii="Times New Roman" w:hAnsi="Times New Roman" w:cs="Times New Roman"/>
                      <w:b w:val="0"/>
                      <w:bCs/>
                      <w:color w:val="000000" w:themeColor="text1"/>
                      <w:lang w:val="en-US" w:eastAsia="zh-CN"/>
                      <w14:textFill>
                        <w14:solidFill>
                          <w14:schemeClr w14:val="tx1"/>
                        </w14:solidFill>
                      </w14:textFill>
                    </w:rPr>
                    <w:t>焚烧炉采用生物质颗粒作为燃料，燃烧废气</w:t>
                  </w:r>
                  <w:r>
                    <w:rPr>
                      <w:rFonts w:hint="default" w:ascii="Times New Roman" w:hAnsi="Times New Roman" w:cs="Times New Roman"/>
                      <w:b w:val="0"/>
                      <w:bCs/>
                      <w:color w:val="000000" w:themeColor="text1"/>
                      <w:kern w:val="24"/>
                      <w:lang w:val="en-US" w:eastAsia="zh-CN"/>
                      <w14:textFill>
                        <w14:solidFill>
                          <w14:schemeClr w14:val="tx1"/>
                        </w14:solidFill>
                      </w14:textFill>
                    </w:rPr>
                    <w:t>经收集后进入一套“旋风+布袋+喷淋”设施处理后通过1根15m高排气筒DA001排放，不属于</w:t>
                  </w:r>
                  <w:r>
                    <w:rPr>
                      <w:rFonts w:hint="default" w:ascii="Times New Roman" w:hAnsi="Times New Roman" w:cs="Times New Roman"/>
                      <w:color w:val="000000" w:themeColor="text1"/>
                      <w:sz w:val="21"/>
                      <w:szCs w:val="21"/>
                      <w:lang w:val="en-US" w:eastAsia="zh-CN"/>
                      <w14:textFill>
                        <w14:solidFill>
                          <w14:schemeClr w14:val="tx1"/>
                        </w14:solidFill>
                      </w14:textFill>
                    </w:rPr>
                    <w:t>《高污染燃料目录》中高污染燃料为“非专用锅炉或未配置高效除尘设施的专用锅炉燃用的生物质成型燃料”的情况，故本项目不涉及高污染燃料</w:t>
                  </w:r>
                  <w:r>
                    <w:rPr>
                      <w:rFonts w:hint="default" w:ascii="Times New Roman" w:hAnsi="Times New Roman" w:cs="Times New Roman"/>
                      <w:color w:val="000000" w:themeColor="text1"/>
                      <w:szCs w:val="21"/>
                      <w:lang w:val="en-US" w:eastAsia="zh-CN"/>
                      <w14:textFill>
                        <w14:solidFill>
                          <w14:schemeClr w14:val="tx1"/>
                        </w14:solidFill>
                      </w14:textFill>
                    </w:rPr>
                    <w:t>），不属于</w:t>
                  </w:r>
                  <w:r>
                    <w:rPr>
                      <w:rFonts w:hint="default" w:ascii="Times New Roman" w:hAnsi="Times New Roman" w:eastAsia="宋体" w:cs="Times New Roman"/>
                      <w:color w:val="000000" w:themeColor="text1"/>
                      <w:szCs w:val="21"/>
                      <w:lang w:val="en-US" w:eastAsia="zh-CN"/>
                      <w14:textFill>
                        <w14:solidFill>
                          <w14:schemeClr w14:val="tx1"/>
                        </w14:solidFill>
                      </w14:textFill>
                    </w:rPr>
                    <w:t>重金属排放的企业</w:t>
                  </w:r>
                  <w:r>
                    <w:rPr>
                      <w:rFonts w:hint="default" w:ascii="Times New Roman" w:hAnsi="Times New Roman" w:cs="Times New Roman"/>
                      <w:color w:val="000000" w:themeColor="text1"/>
                      <w:szCs w:val="21"/>
                      <w:lang w:val="en-US" w:eastAsia="zh-CN"/>
                      <w14:textFill>
                        <w14:solidFill>
                          <w14:schemeClr w14:val="tx1"/>
                        </w14:solidFill>
                      </w14:textFill>
                    </w:rPr>
                    <w:t>，不属于</w:t>
                  </w:r>
                  <w:r>
                    <w:rPr>
                      <w:rFonts w:hint="default" w:ascii="Times New Roman" w:hAnsi="Times New Roman" w:eastAsia="宋体" w:cs="Times New Roman"/>
                      <w:color w:val="000000" w:themeColor="text1"/>
                      <w:szCs w:val="21"/>
                      <w:lang w:val="en-US" w:eastAsia="zh-CN"/>
                      <w14:textFill>
                        <w14:solidFill>
                          <w14:schemeClr w14:val="tx1"/>
                        </w14:solidFill>
                      </w14:textFill>
                    </w:rPr>
                    <w:t>金属冶炼</w:t>
                  </w:r>
                  <w:r>
                    <w:rPr>
                      <w:rFonts w:hint="default" w:ascii="Times New Roman" w:hAnsi="Times New Roman" w:cs="Times New Roman"/>
                      <w:color w:val="000000" w:themeColor="text1"/>
                      <w:szCs w:val="21"/>
                      <w:lang w:val="en-US" w:eastAsia="zh-CN"/>
                      <w14:textFill>
                        <w14:solidFill>
                          <w14:schemeClr w14:val="tx1"/>
                        </w14:solidFill>
                      </w14:textFill>
                    </w:rPr>
                    <w:t>行业，经计算，本项目卫生防护距离为50m，最近关心点为100m处定古村，</w:t>
                  </w:r>
                  <w:r>
                    <w:rPr>
                      <w:rFonts w:hint="default" w:ascii="Times New Roman" w:hAnsi="Times New Roman" w:eastAsia="宋体" w:cs="Times New Roman"/>
                      <w:color w:val="000000" w:themeColor="text1"/>
                      <w:szCs w:val="21"/>
                      <w:lang w:val="en-US" w:eastAsia="zh-CN"/>
                      <w14:textFill>
                        <w14:solidFill>
                          <w14:schemeClr w14:val="tx1"/>
                        </w14:solidFill>
                      </w14:textFill>
                    </w:rPr>
                    <w:t>留</w:t>
                  </w:r>
                  <w:r>
                    <w:rPr>
                      <w:rFonts w:hint="default" w:ascii="Times New Roman" w:hAnsi="Times New Roman" w:cs="Times New Roman"/>
                      <w:color w:val="000000" w:themeColor="text1"/>
                      <w:szCs w:val="21"/>
                      <w:lang w:val="en-US" w:eastAsia="zh-CN"/>
                      <w14:textFill>
                        <w14:solidFill>
                          <w14:schemeClr w14:val="tx1"/>
                        </w14:solidFill>
                      </w14:textFill>
                    </w:rPr>
                    <w:t>有</w:t>
                  </w:r>
                  <w:r>
                    <w:rPr>
                      <w:rFonts w:hint="default" w:ascii="Times New Roman" w:hAnsi="Times New Roman" w:eastAsia="宋体" w:cs="Times New Roman"/>
                      <w:color w:val="000000" w:themeColor="text1"/>
                      <w:szCs w:val="21"/>
                      <w:lang w:val="en-US" w:eastAsia="zh-CN"/>
                      <w14:textFill>
                        <w14:solidFill>
                          <w14:schemeClr w14:val="tx1"/>
                        </w14:solidFill>
                      </w14:textFill>
                    </w:rPr>
                    <w:t>足够的防护距离</w:t>
                  </w: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428" w:type="pct"/>
                  <w:vAlign w:val="center"/>
                </w:tcPr>
                <w:p w14:paraId="04F7FBE0">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14:paraId="19A71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vAlign w:val="center"/>
                </w:tcPr>
                <w:p w14:paraId="25CB2D05">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048" w:type="pct"/>
                  <w:vAlign w:val="center"/>
                </w:tcPr>
                <w:p w14:paraId="08349A19">
                  <w:pPr>
                    <w:keepLines/>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6.太标钢铁加快布局特种钢材铸造等黑色金属精深加工，完成超低排放改造和产能置换。新兴钢铁、玉昆钢铁、汇溪金属完成搬迁升级改造。</w:t>
                  </w:r>
                </w:p>
              </w:tc>
              <w:tc>
                <w:tcPr>
                  <w:tcW w:w="2028" w:type="pct"/>
                  <w:vAlign w:val="center"/>
                </w:tcPr>
                <w:p w14:paraId="20C1C156">
                  <w:pPr>
                    <w:keepLines/>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不涉及</w:t>
                  </w:r>
                </w:p>
              </w:tc>
              <w:tc>
                <w:tcPr>
                  <w:tcW w:w="428" w:type="pct"/>
                  <w:vAlign w:val="center"/>
                </w:tcPr>
                <w:p w14:paraId="70AA8062">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47B6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vAlign w:val="center"/>
                </w:tcPr>
                <w:p w14:paraId="063B1EE5">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048" w:type="pct"/>
                  <w:vAlign w:val="center"/>
                </w:tcPr>
                <w:p w14:paraId="1A6EDCFB">
                  <w:pPr>
                    <w:keepLines/>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7.生物医药大健康产业禁止投资新建药品、食品、饲料、化妆品等用途的维生素B1、维生素B2、维生素B12、维生素E原料生产装置。</w:t>
                  </w:r>
                </w:p>
              </w:tc>
              <w:tc>
                <w:tcPr>
                  <w:tcW w:w="2028" w:type="pct"/>
                  <w:vAlign w:val="center"/>
                </w:tcPr>
                <w:p w14:paraId="48620C22">
                  <w:pPr>
                    <w:keepLines/>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不涉及</w:t>
                  </w:r>
                </w:p>
              </w:tc>
              <w:tc>
                <w:tcPr>
                  <w:tcW w:w="428" w:type="pct"/>
                  <w:vAlign w:val="center"/>
                </w:tcPr>
                <w:p w14:paraId="474A9ED3">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3C856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vAlign w:val="center"/>
                </w:tcPr>
                <w:p w14:paraId="6C6C078C">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048" w:type="pct"/>
                  <w:vAlign w:val="center"/>
                </w:tcPr>
                <w:p w14:paraId="2C6EFB5E">
                  <w:pPr>
                    <w:keepLines/>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8.在玉溪大河、石邑河水质达标前，核心区、研和片区禁止引入高废水产生的项目。</w:t>
                  </w:r>
                </w:p>
              </w:tc>
              <w:tc>
                <w:tcPr>
                  <w:tcW w:w="2028" w:type="pct"/>
                  <w:vAlign w:val="center"/>
                </w:tcPr>
                <w:p w14:paraId="1732D395">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本项目不属于高废水产生项目。</w:t>
                  </w:r>
                </w:p>
                <w:p w14:paraId="48162E03">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本项目生产过程中水压试验、气密试验用水循环使用，不外排；喷淋塔定期补充新鲜水，循环使用，废液每年更换一次，废液经收集后暂存于危废暂存间，定期交由有危废资质的单位进行处置。</w:t>
                  </w:r>
                </w:p>
              </w:tc>
              <w:tc>
                <w:tcPr>
                  <w:tcW w:w="428" w:type="pct"/>
                  <w:vAlign w:val="center"/>
                </w:tcPr>
                <w:p w14:paraId="425AD4A2">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14:paraId="56343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restart"/>
                  <w:vAlign w:val="center"/>
                </w:tcPr>
                <w:p w14:paraId="5F280498">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污染物排放管控</w:t>
                  </w:r>
                </w:p>
              </w:tc>
              <w:tc>
                <w:tcPr>
                  <w:tcW w:w="2048" w:type="pct"/>
                  <w:vAlign w:val="center"/>
                </w:tcPr>
                <w:p w14:paraId="5A663185">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1.加强控制颗粒物的排放，红塔片区、南片区维持现状水平，污染排放等量或减量替代，不允许新增大气污染物。</w:t>
                  </w:r>
                </w:p>
              </w:tc>
              <w:tc>
                <w:tcPr>
                  <w:tcW w:w="2028" w:type="pct"/>
                  <w:vAlign w:val="center"/>
                </w:tcPr>
                <w:p w14:paraId="0FE80A1A">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本项目为</w:t>
                  </w:r>
                  <w:r>
                    <w:rPr>
                      <w:rFonts w:hint="eastAsia" w:ascii="Times New Roman" w:hAnsi="Times New Roman" w:cs="Times New Roman"/>
                      <w:color w:val="000000" w:themeColor="text1"/>
                      <w:szCs w:val="21"/>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Cs w:val="21"/>
                      <w:lang w:val="en-US" w:eastAsia="zh-CN"/>
                      <w14:textFill>
                        <w14:solidFill>
                          <w14:schemeClr w14:val="tx1"/>
                        </w14:solidFill>
                      </w14:textFill>
                    </w:rPr>
                    <w:t>检测项目，公司原有项目位于玉溪市红塔区高仓街道桃源村哨坡，本项目位于云南省玉溪市红塔区研和街道可官社区可官一组，本项目通过购置新型设备，新增废气治理设备等措施后，经过原有项目三本账核算，本项目颗粒物排放量未超过原有项目。</w:t>
                  </w:r>
                </w:p>
              </w:tc>
              <w:tc>
                <w:tcPr>
                  <w:tcW w:w="428" w:type="pct"/>
                  <w:vAlign w:val="center"/>
                </w:tcPr>
                <w:p w14:paraId="1C3CFF43">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符合</w:t>
                  </w:r>
                </w:p>
              </w:tc>
            </w:tr>
            <w:tr w14:paraId="14491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vAlign w:val="center"/>
                </w:tcPr>
                <w:p w14:paraId="68FF2ED3">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048" w:type="pct"/>
                  <w:vAlign w:val="center"/>
                </w:tcPr>
                <w:p w14:paraId="13D32867">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2.入驻企业采用低（无）VOCs含量、低反应活性的原辅材料，加快对芳香烃、含卤素有机化合物的绿色替代，全面加强无组织排放控制，新建治污设施或对现有治污设施实施改造，有效降低VOCs的排放量。</w:t>
                  </w:r>
                </w:p>
              </w:tc>
              <w:tc>
                <w:tcPr>
                  <w:tcW w:w="2028" w:type="pct"/>
                  <w:vAlign w:val="center"/>
                </w:tcPr>
                <w:p w14:paraId="6564A480">
                  <w:pPr>
                    <w:keepLines/>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本项目采用</w:t>
                  </w:r>
                  <w:r>
                    <w:rPr>
                      <w:rFonts w:hint="default" w:ascii="Times New Roman" w:hAnsi="Times New Roman" w:eastAsia="宋体" w:cs="Times New Roman"/>
                      <w:color w:val="000000" w:themeColor="text1"/>
                      <w:szCs w:val="21"/>
                      <w:lang w:val="en-US" w:eastAsia="zh-CN"/>
                      <w14:textFill>
                        <w14:solidFill>
                          <w14:schemeClr w14:val="tx1"/>
                        </w14:solidFill>
                      </w14:textFill>
                    </w:rPr>
                    <w:t>低（无）VOCs含量的原辅材料，废气配套设置相应环保设施，有效降低VOCs的排放量。</w:t>
                  </w:r>
                </w:p>
                <w:p w14:paraId="04ABB6EF">
                  <w:pPr>
                    <w:keepLines/>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4"/>
                      <w:lang w:val="en-US" w:eastAsia="zh-CN"/>
                      <w14:textFill>
                        <w14:solidFill>
                          <w14:schemeClr w14:val="tx1"/>
                        </w14:solidFill>
                      </w14:textFill>
                    </w:rPr>
                    <w:t>烘干固化废气引入焚烧炉通过热力焚烧后同焚烧废气进入废气处理系统处理后一同并入排气筒DA001一同排放</w:t>
                  </w:r>
                  <w:r>
                    <w:rPr>
                      <w:rFonts w:hint="default" w:ascii="Times New Roman" w:hAnsi="Times New Roman" w:cs="Times New Roman"/>
                      <w:b w:val="0"/>
                      <w:bCs/>
                      <w:color w:val="000000" w:themeColor="text1"/>
                      <w:kern w:val="24"/>
                      <w:lang w:val="en-US" w:eastAsia="zh-CN"/>
                      <w14:textFill>
                        <w14:solidFill>
                          <w14:schemeClr w14:val="tx1"/>
                        </w14:solidFill>
                      </w14:textFill>
                    </w:rPr>
                    <w:t>；能够有效降低</w:t>
                  </w:r>
                  <w:r>
                    <w:rPr>
                      <w:rFonts w:hint="default" w:ascii="Times New Roman" w:hAnsi="Times New Roman" w:eastAsia="宋体" w:cs="Times New Roman"/>
                      <w:color w:val="000000" w:themeColor="text1"/>
                      <w:szCs w:val="21"/>
                      <w:lang w:val="en-US" w:eastAsia="zh-CN"/>
                      <w14:textFill>
                        <w14:solidFill>
                          <w14:schemeClr w14:val="tx1"/>
                        </w14:solidFill>
                      </w14:textFill>
                    </w:rPr>
                    <w:t>VOCs的排放量。</w:t>
                  </w:r>
                </w:p>
              </w:tc>
              <w:tc>
                <w:tcPr>
                  <w:tcW w:w="428" w:type="pct"/>
                  <w:vAlign w:val="center"/>
                </w:tcPr>
                <w:p w14:paraId="4EE11C29">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14:paraId="18BA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vAlign w:val="center"/>
                </w:tcPr>
                <w:p w14:paraId="51D8A866">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048" w:type="pct"/>
                  <w:vAlign w:val="center"/>
                </w:tcPr>
                <w:p w14:paraId="4F408CA1">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3.钢铁企业按照超低排放要求，配套建设高效脱硫、脱硝、除尘设施，落实物料储存、输送及生产工艺过程无组织排放管控措施，大宗物料和产品采取清洁方式运输，加强企业污染排放监测监控。</w:t>
                  </w:r>
                </w:p>
              </w:tc>
              <w:tc>
                <w:tcPr>
                  <w:tcW w:w="2028" w:type="pct"/>
                  <w:vAlign w:val="center"/>
                </w:tcPr>
                <w:p w14:paraId="640AC2B5">
                  <w:pPr>
                    <w:keepLines/>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本项目为</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液化石油气钢瓶</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检测项目</w:t>
                  </w:r>
                  <w:r>
                    <w:rPr>
                      <w:rFonts w:hint="default" w:ascii="Times New Roman" w:hAnsi="Times New Roman" w:cs="Times New Roman"/>
                      <w:bCs/>
                      <w:color w:val="000000" w:themeColor="text1"/>
                      <w:szCs w:val="21"/>
                      <w14:textFill>
                        <w14:solidFill>
                          <w14:schemeClr w14:val="tx1"/>
                        </w14:solidFill>
                      </w14:textFill>
                    </w:rPr>
                    <w:t>，</w:t>
                  </w:r>
                  <w:r>
                    <w:rPr>
                      <w:rFonts w:hint="default" w:ascii="Times New Roman" w:hAnsi="Times New Roman" w:cs="Times New Roman"/>
                      <w:bCs/>
                      <w:color w:val="000000" w:themeColor="text1"/>
                      <w:szCs w:val="21"/>
                      <w:lang w:eastAsia="zh-CN"/>
                      <w14:textFill>
                        <w14:solidFill>
                          <w14:schemeClr w14:val="tx1"/>
                        </w14:solidFill>
                      </w14:textFill>
                    </w:rPr>
                    <w:t>不属于钢铁企业。</w:t>
                  </w:r>
                </w:p>
              </w:tc>
              <w:tc>
                <w:tcPr>
                  <w:tcW w:w="428" w:type="pct"/>
                  <w:vAlign w:val="center"/>
                </w:tcPr>
                <w:p w14:paraId="24A6C3E7">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6FAF8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vAlign w:val="center"/>
                </w:tcPr>
                <w:p w14:paraId="730AB65D">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048" w:type="pct"/>
                  <w:vAlign w:val="center"/>
                </w:tcPr>
                <w:p w14:paraId="3F7F99CE">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研和片区污水处理厂未建成前，企业废水自行处置后回用，不外排；污水处理厂投入运行后，企业外排废水实行受纳水体超标因子1.5—2倍削减替代。南片区、九龙片区、大营街地块、观音山地块、莲池地块等区域污水进入第三污水处理厂。</w:t>
                  </w:r>
                </w:p>
              </w:tc>
              <w:tc>
                <w:tcPr>
                  <w:tcW w:w="2028" w:type="pct"/>
                  <w:vAlign w:val="center"/>
                </w:tcPr>
                <w:p w14:paraId="6CD32785">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废水采取了相应的处置措施，满足相关标准要求。生产过程中水压试验、气密试验用水循环使用，不外排；喷淋塔定期补充新鲜水，循环使用，废液每年更换一次，定期交由有危废资质的单位进行处置。项目无生产废水外排。</w:t>
                  </w:r>
                </w:p>
                <w:p w14:paraId="34F61591">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本项目生活污水经化粪池收集后进入一体化生活污水处理设施，经处理达绿化标准后进入收集池，回用于绿化，不外排</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28" w:type="pct"/>
                  <w:vAlign w:val="center"/>
                </w:tcPr>
                <w:p w14:paraId="1F68BA43">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22889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restart"/>
                  <w:vAlign w:val="center"/>
                </w:tcPr>
                <w:p w14:paraId="3991E567">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环境风险防控</w:t>
                  </w:r>
                </w:p>
              </w:tc>
              <w:tc>
                <w:tcPr>
                  <w:tcW w:w="2048" w:type="pct"/>
                  <w:vAlign w:val="center"/>
                </w:tcPr>
                <w:p w14:paraId="28F3C47F">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1.九龙片区不得在飞井海水库流域范围内新建扩建对水体污染严重的项目，防止出现飞井海水库的污染风险</w:t>
                  </w:r>
                </w:p>
              </w:tc>
              <w:tc>
                <w:tcPr>
                  <w:tcW w:w="2028" w:type="pct"/>
                  <w:vAlign w:val="center"/>
                </w:tcPr>
                <w:p w14:paraId="1ED200C7">
                  <w:pPr>
                    <w:keepLines/>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本项目</w:t>
                  </w:r>
                  <w:r>
                    <w:rPr>
                      <w:rFonts w:hint="default" w:ascii="Times New Roman" w:hAnsi="Times New Roman" w:cs="Times New Roman"/>
                      <w:bCs/>
                      <w:color w:val="000000" w:themeColor="text1"/>
                      <w:szCs w:val="21"/>
                      <w:lang w:eastAsia="zh-CN"/>
                      <w14:textFill>
                        <w14:solidFill>
                          <w14:schemeClr w14:val="tx1"/>
                        </w14:solidFill>
                      </w14:textFill>
                    </w:rPr>
                    <w:t>位于研和片区地块三，不涉及九龙片区。</w:t>
                  </w:r>
                </w:p>
              </w:tc>
              <w:tc>
                <w:tcPr>
                  <w:tcW w:w="428" w:type="pct"/>
                  <w:vAlign w:val="center"/>
                </w:tcPr>
                <w:p w14:paraId="15C5BD4B">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2AF95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vAlign w:val="center"/>
                </w:tcPr>
                <w:p w14:paraId="381D55DC">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048" w:type="pct"/>
                  <w:vAlign w:val="center"/>
                </w:tcPr>
                <w:p w14:paraId="3230AF47">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2.研和片区慎重布局危险化学品仓储设施和污水处理设施等对地下水存在较大环境风险的设施。</w:t>
                  </w:r>
                </w:p>
              </w:tc>
              <w:tc>
                <w:tcPr>
                  <w:tcW w:w="2028" w:type="pct"/>
                  <w:vAlign w:val="center"/>
                </w:tcPr>
                <w:p w14:paraId="5ECD17ED">
                  <w:pPr>
                    <w:keepLines/>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本项目产生危险废物暂存于危废暂存间，本环评要求危废暂存间按照《危险废物贮存污染控制标准》（GB18597-2023）中的相关要求建设，并严格落实污染防治措施，一般工业固体废物的储存严格按照</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相关</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要求严格污染防治措施。</w:t>
                  </w:r>
                </w:p>
              </w:tc>
              <w:tc>
                <w:tcPr>
                  <w:tcW w:w="428" w:type="pct"/>
                  <w:vAlign w:val="center"/>
                </w:tcPr>
                <w:p w14:paraId="5F3CA618">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14:paraId="1ACFB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vAlign w:val="center"/>
                </w:tcPr>
                <w:p w14:paraId="0C98EEC9">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048" w:type="pct"/>
                  <w:vAlign w:val="center"/>
                </w:tcPr>
                <w:p w14:paraId="6B2DA075">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3.岩溶发育区域，应严格落实分区防渗要求，不宜布置日常储量构成重大危险源的使用危险化学品的项目。区域设置地下水监测井定期监测，防止事故情况下污染区域地下水。</w:t>
                  </w:r>
                </w:p>
              </w:tc>
              <w:tc>
                <w:tcPr>
                  <w:tcW w:w="2028" w:type="pct"/>
                  <w:vAlign w:val="center"/>
                </w:tcPr>
                <w:p w14:paraId="4FACF7FD">
                  <w:pPr>
                    <w:keepLines/>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本项目涉及的易燃易爆危险物质为废矿物油</w:t>
                  </w:r>
                  <w:r>
                    <w:rPr>
                      <w:rFonts w:hint="default" w:ascii="Times New Roman" w:hAnsi="Times New Roman" w:cs="Times New Roman"/>
                      <w:color w:val="000000" w:themeColor="text1"/>
                      <w:kern w:val="0"/>
                      <w:szCs w:val="21"/>
                      <w:lang w:eastAsia="zh-CN"/>
                      <w14:textFill>
                        <w14:solidFill>
                          <w14:schemeClr w14:val="tx1"/>
                        </w14:solidFill>
                      </w14:textFill>
                    </w:rPr>
                    <w:t>、液化石油气</w:t>
                  </w:r>
                  <w:r>
                    <w:rPr>
                      <w:rFonts w:hint="default" w:ascii="Times New Roman" w:hAnsi="Times New Roman" w:cs="Times New Roman"/>
                      <w:color w:val="000000" w:themeColor="text1"/>
                      <w:kern w:val="0"/>
                      <w:szCs w:val="21"/>
                      <w14:textFill>
                        <w14:solidFill>
                          <w14:schemeClr w14:val="tx1"/>
                        </w14:solidFill>
                      </w14:textFill>
                    </w:rPr>
                    <w:t>，物质存储量总量与临界量未超过临界量</w:t>
                  </w:r>
                </w:p>
              </w:tc>
              <w:tc>
                <w:tcPr>
                  <w:tcW w:w="428" w:type="pct"/>
                  <w:vAlign w:val="center"/>
                </w:tcPr>
                <w:p w14:paraId="143CDE03">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14:paraId="75DB0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vAlign w:val="center"/>
                </w:tcPr>
                <w:p w14:paraId="76053C35">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048" w:type="pct"/>
                  <w:vAlign w:val="center"/>
                </w:tcPr>
                <w:p w14:paraId="02178CCE">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4.居民分布密集区和学校周边区域不宜布置日常储量构成重大危险源的使用危险化学品的项目。</w:t>
                  </w:r>
                </w:p>
              </w:tc>
              <w:tc>
                <w:tcPr>
                  <w:tcW w:w="2028" w:type="pct"/>
                  <w:vAlign w:val="center"/>
                </w:tcPr>
                <w:p w14:paraId="07364A76">
                  <w:pPr>
                    <w:keepLines/>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本项目不构成重大危险源</w:t>
                  </w:r>
                </w:p>
              </w:tc>
              <w:tc>
                <w:tcPr>
                  <w:tcW w:w="428" w:type="pct"/>
                  <w:vAlign w:val="center"/>
                </w:tcPr>
                <w:p w14:paraId="36C789CB">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14:paraId="0CDE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vAlign w:val="center"/>
                </w:tcPr>
                <w:p w14:paraId="68E166A5">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048" w:type="pct"/>
                  <w:vAlign w:val="center"/>
                </w:tcPr>
                <w:p w14:paraId="3EDA0F94">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5.工业企业应有完善的风险防范措施，其最大可信事故半致死浓度范围内不得有居民点存在。</w:t>
                  </w:r>
                </w:p>
              </w:tc>
              <w:tc>
                <w:tcPr>
                  <w:tcW w:w="2028" w:type="pct"/>
                  <w:vAlign w:val="center"/>
                </w:tcPr>
                <w:p w14:paraId="6EA7719C">
                  <w:pPr>
                    <w:keepLines/>
                    <w:widowControl/>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本次使用环境风险评价系统(RiskSystem)进行预测，最大可信事故下，半致死浓度范围无居住村民点存在。</w:t>
                  </w:r>
                </w:p>
              </w:tc>
              <w:tc>
                <w:tcPr>
                  <w:tcW w:w="428" w:type="pct"/>
                  <w:vAlign w:val="center"/>
                </w:tcPr>
                <w:p w14:paraId="17828454">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14:paraId="3566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vAlign w:val="center"/>
                </w:tcPr>
                <w:p w14:paraId="2C736056">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048" w:type="pct"/>
                  <w:vAlign w:val="center"/>
                </w:tcPr>
                <w:p w14:paraId="44A406CE">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6.及时完成重污染企业周边环境防护距离内居民的搬迁工作。</w:t>
                  </w:r>
                </w:p>
              </w:tc>
              <w:tc>
                <w:tcPr>
                  <w:tcW w:w="2028" w:type="pct"/>
                  <w:vAlign w:val="center"/>
                </w:tcPr>
                <w:p w14:paraId="67E835D4">
                  <w:pPr>
                    <w:keepLines/>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本项目不涉及</w:t>
                  </w:r>
                </w:p>
              </w:tc>
              <w:tc>
                <w:tcPr>
                  <w:tcW w:w="428" w:type="pct"/>
                  <w:vAlign w:val="center"/>
                </w:tcPr>
                <w:p w14:paraId="1C9F0815">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300B4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Merge w:val="continue"/>
                  <w:vAlign w:val="center"/>
                </w:tcPr>
                <w:p w14:paraId="6F204883">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048" w:type="pct"/>
                  <w:vAlign w:val="center"/>
                </w:tcPr>
                <w:p w14:paraId="755A2585">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7.制定突发环境事件应急预案，完善风险管理机制，加强风险控制防范。建立区域环境监测制度，加强规划实施的跟踪监测与管理。</w:t>
                  </w:r>
                </w:p>
              </w:tc>
              <w:tc>
                <w:tcPr>
                  <w:tcW w:w="2028" w:type="pct"/>
                  <w:vAlign w:val="center"/>
                </w:tcPr>
                <w:p w14:paraId="2D1528DD">
                  <w:pPr>
                    <w:keepLines/>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14:textFill>
                        <w14:solidFill>
                          <w14:schemeClr w14:val="tx1"/>
                        </w14:solidFill>
                      </w14:textFill>
                    </w:rPr>
                    <w:t>本项目针对存在的环境风险采取了相应的风险防范措施，项目建成后及时制定突发环境事件应急预案，在当地生态环境主管部门进行备案后定期进行相关的培训和演练。</w:t>
                  </w:r>
                </w:p>
              </w:tc>
              <w:tc>
                <w:tcPr>
                  <w:tcW w:w="428" w:type="pct"/>
                  <w:vAlign w:val="center"/>
                </w:tcPr>
                <w:p w14:paraId="5B43AF81">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14:paraId="06BD1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4" w:type="pct"/>
                  <w:vAlign w:val="center"/>
                </w:tcPr>
                <w:p w14:paraId="3E2B67FD">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资源开发效率要求</w:t>
                  </w:r>
                </w:p>
              </w:tc>
              <w:tc>
                <w:tcPr>
                  <w:tcW w:w="2048" w:type="pct"/>
                  <w:vAlign w:val="center"/>
                </w:tcPr>
                <w:p w14:paraId="038DDDB1">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园区工业废水集中处理率不低于90%，再生水利用率达到30%，工业用水重复率不低于80%。</w:t>
                  </w:r>
                </w:p>
              </w:tc>
              <w:tc>
                <w:tcPr>
                  <w:tcW w:w="2028" w:type="pct"/>
                  <w:vAlign w:val="center"/>
                </w:tcPr>
                <w:p w14:paraId="054B57D2">
                  <w:pPr>
                    <w:keepLines/>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本项目用水量较小，不属于高耗水企业；</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本项目生产过程中</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水压试验、气密试验用水</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循环使用，不外排</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喷淋塔定期补充新鲜水，循环使用，废液每年更换一次，废液经收集后暂存于危废暂存间，定期交由有危废资质的单位进行处置。</w:t>
                  </w:r>
                </w:p>
              </w:tc>
              <w:tc>
                <w:tcPr>
                  <w:tcW w:w="428" w:type="pct"/>
                  <w:vAlign w:val="center"/>
                </w:tcPr>
                <w:p w14:paraId="6C53D81D">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bl>
          <w:p w14:paraId="1BC1EB81">
            <w:pPr>
              <w:pStyle w:val="19"/>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lang w:val="en-US" w:eastAsia="zh-CN"/>
                <w14:textFill>
                  <w14:solidFill>
                    <w14:schemeClr w14:val="tx1"/>
                  </w14:solidFill>
                </w14:textFill>
              </w:rPr>
              <w:t>5</w:t>
            </w:r>
            <w:r>
              <w:rPr>
                <w:rFonts w:hint="default" w:ascii="Times New Roman" w:hAnsi="Times New Roman" w:cs="Times New Roman"/>
                <w:b/>
                <w:color w:val="000000" w:themeColor="text1"/>
                <w:sz w:val="24"/>
                <w14:textFill>
                  <w14:solidFill>
                    <w14:schemeClr w14:val="tx1"/>
                  </w14:solidFill>
                </w14:textFill>
              </w:rPr>
              <w:t>、《</w:t>
            </w:r>
            <w:r>
              <w:rPr>
                <w:rFonts w:hint="default" w:ascii="Times New Roman" w:hAnsi="Times New Roman" w:cs="Times New Roman"/>
                <w:b/>
                <w:color w:val="000000" w:themeColor="text1"/>
                <w:sz w:val="24"/>
                <w:lang w:eastAsia="zh-CN"/>
                <w14:textFill>
                  <w14:solidFill>
                    <w14:schemeClr w14:val="tx1"/>
                  </w14:solidFill>
                </w14:textFill>
              </w:rPr>
              <w:t>云南省</w:t>
            </w:r>
            <w:r>
              <w:rPr>
                <w:rFonts w:hint="default" w:ascii="Times New Roman" w:hAnsi="Times New Roman" w:cs="Times New Roman"/>
                <w:b/>
                <w:color w:val="000000" w:themeColor="text1"/>
                <w:sz w:val="24"/>
                <w14:textFill>
                  <w14:solidFill>
                    <w14:schemeClr w14:val="tx1"/>
                  </w14:solidFill>
                </w14:textFill>
              </w:rPr>
              <w:t>长江经济带发展负面清单指南</w:t>
            </w:r>
            <w:r>
              <w:rPr>
                <w:rFonts w:hint="default" w:ascii="Times New Roman" w:hAnsi="Times New Roman" w:cs="Times New Roman"/>
                <w:b/>
                <w:color w:val="000000" w:themeColor="text1"/>
                <w:sz w:val="24"/>
                <w:lang w:eastAsia="zh-CN"/>
                <w14:textFill>
                  <w14:solidFill>
                    <w14:schemeClr w14:val="tx1"/>
                  </w14:solidFill>
                </w14:textFill>
              </w:rPr>
              <w:t>实施细则</w:t>
            </w:r>
            <w:r>
              <w:rPr>
                <w:rFonts w:hint="default" w:ascii="Times New Roman" w:hAnsi="Times New Roman" w:cs="Times New Roman"/>
                <w:b/>
                <w:color w:val="000000" w:themeColor="text1"/>
                <w:sz w:val="24"/>
                <w14:textFill>
                  <w14:solidFill>
                    <w14:schemeClr w14:val="tx1"/>
                  </w14:solidFill>
                </w14:textFill>
              </w:rPr>
              <w:t>》（试行，2022年版）的符合性分析</w:t>
            </w:r>
          </w:p>
          <w:p w14:paraId="3646CAE3">
            <w:pPr>
              <w:pStyle w:val="3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本项目位于</w:t>
            </w:r>
            <w:r>
              <w:rPr>
                <w:rFonts w:hint="default" w:ascii="Times New Roman" w:hAnsi="Times New Roman" w:eastAsia="宋体" w:cs="Times New Roman"/>
                <w:color w:val="000000" w:themeColor="text1"/>
                <w:sz w:val="24"/>
                <w:lang w:val="en-US" w:eastAsia="zh-CN"/>
                <w14:textFill>
                  <w14:solidFill>
                    <w14:schemeClr w14:val="tx1"/>
                  </w14:solidFill>
                </w14:textFill>
              </w:rPr>
              <w:t>玉溪市红塔区研和街道可官社区可官一组</w:t>
            </w:r>
            <w:r>
              <w:rPr>
                <w:rFonts w:hint="default" w:ascii="Times New Roman" w:hAnsi="Times New Roman" w:eastAsia="宋体" w:cs="Times New Roman"/>
                <w:color w:val="000000" w:themeColor="text1"/>
                <w:sz w:val="24"/>
                <w14:textFill>
                  <w14:solidFill>
                    <w14:schemeClr w14:val="tx1"/>
                  </w14:solidFill>
                </w14:textFill>
              </w:rPr>
              <w:t>，不在</w:t>
            </w:r>
            <w:r>
              <w:rPr>
                <w:rFonts w:hint="default" w:ascii="Times New Roman" w:hAnsi="Times New Roman" w:cs="Times New Roman"/>
                <w:color w:val="000000" w:themeColor="text1"/>
                <w:sz w:val="24"/>
                <w14:textFill>
                  <w14:solidFill>
                    <w14:schemeClr w14:val="tx1"/>
                  </w14:solidFill>
                </w14:textFill>
              </w:rPr>
              <w:t>《云南省长江经济带发展负面清单指南实施细则（</w:t>
            </w:r>
            <w:r>
              <w:rPr>
                <w:rFonts w:hint="default" w:ascii="Times New Roman" w:hAnsi="Times New Roman" w:cs="Times New Roman"/>
                <w:color w:val="000000" w:themeColor="text1"/>
                <w:sz w:val="24"/>
                <w:lang w:val="en-US" w:eastAsia="zh-CN"/>
                <w14:textFill>
                  <w14:solidFill>
                    <w14:schemeClr w14:val="tx1"/>
                  </w14:solidFill>
                </w14:textFill>
              </w:rPr>
              <w:t>2022年版</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（云发改基础</w:t>
            </w:r>
            <w:r>
              <w:rPr>
                <w:rFonts w:hint="default" w:ascii="Times New Roman" w:hAnsi="Times New Roman" w:cs="Times New Roman"/>
                <w:color w:val="000000" w:themeColor="text1"/>
                <w:sz w:val="24"/>
                <w:lang w:val="en-US" w:eastAsia="zh-CN"/>
                <w14:textFill>
                  <w14:solidFill>
                    <w14:schemeClr w14:val="tx1"/>
                  </w14:solidFill>
                </w14:textFill>
              </w:rPr>
              <w:t>〔2022〕894号</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禁止建设的负面清单内。具体符合性分析见下表。</w:t>
            </w:r>
          </w:p>
          <w:p w14:paraId="67EA6AB5">
            <w:pPr>
              <w:pageBreakBefore w:val="0"/>
              <w:kinsoku/>
              <w:overflowPunct/>
              <w:topLinePunct w:val="0"/>
              <w:bidi w:val="0"/>
              <w:ind w:left="0" w:leftChars="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表1-</w:t>
            </w:r>
            <w:r>
              <w:rPr>
                <w:rFonts w:hint="default" w:ascii="Times New Roman" w:hAnsi="Times New Roman" w:cs="Times New Roman"/>
                <w:b/>
                <w:color w:val="000000" w:themeColor="text1"/>
                <w:szCs w:val="21"/>
                <w:lang w:val="en-US" w:eastAsia="zh-CN"/>
                <w14:textFill>
                  <w14:solidFill>
                    <w14:schemeClr w14:val="tx1"/>
                  </w14:solidFill>
                </w14:textFill>
              </w:rPr>
              <w:t>5</w:t>
            </w:r>
            <w:r>
              <w:rPr>
                <w:rFonts w:hint="default" w:ascii="Times New Roman" w:hAnsi="Times New Roman" w:cs="Times New Roman"/>
                <w:b/>
                <w:color w:val="000000" w:themeColor="text1"/>
                <w:szCs w:val="21"/>
                <w14:textFill>
                  <w14:solidFill>
                    <w14:schemeClr w14:val="tx1"/>
                  </w14:solidFill>
                </w14:textFill>
              </w:rPr>
              <w:t>项目与《云南省长江经济带发展负面清单指南实施细则（</w:t>
            </w:r>
            <w:r>
              <w:rPr>
                <w:rFonts w:hint="default" w:ascii="Times New Roman" w:hAnsi="Times New Roman" w:cs="Times New Roman"/>
                <w:b/>
                <w:color w:val="000000" w:themeColor="text1"/>
                <w:szCs w:val="21"/>
                <w:lang w:eastAsia="zh-CN"/>
                <w14:textFill>
                  <w14:solidFill>
                    <w14:schemeClr w14:val="tx1"/>
                  </w14:solidFill>
                </w14:textFill>
              </w:rPr>
              <w:t>试行，</w:t>
            </w:r>
            <w:r>
              <w:rPr>
                <w:rFonts w:hint="default" w:ascii="Times New Roman" w:hAnsi="Times New Roman" w:cs="Times New Roman"/>
                <w:b/>
                <w:color w:val="000000" w:themeColor="text1"/>
                <w:szCs w:val="21"/>
                <w:lang w:val="en-US" w:eastAsia="zh-CN"/>
                <w14:textFill>
                  <w14:solidFill>
                    <w14:schemeClr w14:val="tx1"/>
                  </w14:solidFill>
                </w14:textFill>
              </w:rPr>
              <w:t>2022年版</w:t>
            </w:r>
            <w:r>
              <w:rPr>
                <w:rFonts w:hint="default" w:ascii="Times New Roman" w:hAnsi="Times New Roman" w:cs="Times New Roman"/>
                <w:b/>
                <w:color w:val="000000" w:themeColor="text1"/>
                <w:szCs w:val="21"/>
                <w:lang w:eastAsia="zh-CN"/>
                <w14:textFill>
                  <w14:solidFill>
                    <w14:schemeClr w14:val="tx1"/>
                  </w14:solidFill>
                </w14:textFill>
              </w:rPr>
              <w:t>）</w:t>
            </w:r>
            <w:r>
              <w:rPr>
                <w:rFonts w:hint="default" w:ascii="Times New Roman" w:hAnsi="Times New Roman" w:cs="Times New Roman"/>
                <w:b/>
                <w:color w:val="000000" w:themeColor="text1"/>
                <w:szCs w:val="21"/>
                <w14:textFill>
                  <w14:solidFill>
                    <w14:schemeClr w14:val="tx1"/>
                  </w14:solidFill>
                </w14:textFill>
              </w:rPr>
              <w:t>》符合性分析一览表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3"/>
              <w:gridCol w:w="2927"/>
              <w:gridCol w:w="656"/>
            </w:tblGrid>
            <w:tr w14:paraId="6081C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05B3821B">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法律规定保护要求</w:t>
                  </w:r>
                </w:p>
              </w:tc>
              <w:tc>
                <w:tcPr>
                  <w:tcW w:w="2008" w:type="pct"/>
                  <w:vAlign w:val="center"/>
                </w:tcPr>
                <w:p w14:paraId="62EB3E20">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本项目保护情况</w:t>
                  </w:r>
                </w:p>
              </w:tc>
              <w:tc>
                <w:tcPr>
                  <w:tcW w:w="450" w:type="pct"/>
                  <w:vAlign w:val="center"/>
                </w:tcPr>
                <w:p w14:paraId="59C49836">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符合性</w:t>
                  </w:r>
                </w:p>
              </w:tc>
            </w:tr>
            <w:tr w14:paraId="5B65E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586CB6F1">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新建、改建和扩建不符合《全国内河航道与港口布局规划》等全国港口规划和《昭通市港口码头岸线规划（金沙江段2019年—2035年）》、《景洪港总体规划（2019—2035年）》等州（市）级以上港口布局规划以及港口总体规划的码头项目。</w:t>
                  </w:r>
                </w:p>
              </w:tc>
              <w:tc>
                <w:tcPr>
                  <w:tcW w:w="2008" w:type="pct"/>
                  <w:vAlign w:val="center"/>
                </w:tcPr>
                <w:p w14:paraId="0AF53B73">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本项目位于玉溪市红塔区研和街道可官社区可官一组</w:t>
                  </w:r>
                  <w:r>
                    <w:rPr>
                      <w:rFonts w:hint="default" w:ascii="Times New Roman" w:hAnsi="Times New Roman" w:cs="Times New Roman"/>
                      <w:bCs/>
                      <w:color w:val="000000" w:themeColor="text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Cs w:val="21"/>
                      <w:lang w:eastAsia="zh-CN"/>
                      <w14:textFill>
                        <w14:solidFill>
                          <w14:schemeClr w14:val="tx1"/>
                        </w14:solidFill>
                      </w14:textFill>
                    </w:rPr>
                    <w:t>本项目不属于</w:t>
                  </w:r>
                  <w:r>
                    <w:rPr>
                      <w:rFonts w:hint="default" w:ascii="Times New Roman" w:hAnsi="Times New Roman" w:eastAsia="宋体" w:cs="Times New Roman"/>
                      <w:bCs/>
                      <w:color w:val="000000" w:themeColor="text1"/>
                      <w:szCs w:val="21"/>
                      <w:lang w:val="en-US" w:eastAsia="zh-CN"/>
                      <w14:textFill>
                        <w14:solidFill>
                          <w14:schemeClr w14:val="tx1"/>
                        </w14:solidFill>
                      </w14:textFill>
                    </w:rPr>
                    <w:t>码头项目</w:t>
                  </w:r>
                </w:p>
              </w:tc>
              <w:tc>
                <w:tcPr>
                  <w:tcW w:w="450" w:type="pct"/>
                  <w:vAlign w:val="center"/>
                </w:tcPr>
                <w:p w14:paraId="6851F36E">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r>
            <w:tr w14:paraId="15DE6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5BBCACCE">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r>
                    <w:rPr>
                      <w:rFonts w:hint="default" w:ascii="Times New Roman" w:hAnsi="Times New Roman" w:eastAsia="宋体" w:cs="Times New Roman"/>
                      <w:bCs/>
                      <w:color w:val="000000" w:themeColor="text1"/>
                      <w:szCs w:val="21"/>
                      <w:lang w:eastAsia="zh-CN"/>
                      <w14:textFill>
                        <w14:solidFill>
                          <w14:schemeClr w14:val="tx1"/>
                        </w14:solidFill>
                      </w14:textFill>
                    </w:rPr>
                    <w:t>。</w:t>
                  </w:r>
                </w:p>
              </w:tc>
              <w:tc>
                <w:tcPr>
                  <w:tcW w:w="2008" w:type="pct"/>
                  <w:vAlign w:val="center"/>
                </w:tcPr>
                <w:p w14:paraId="2C489951">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本项目位于玉溪市红塔区研和街道可官社区可官一组</w:t>
                  </w:r>
                  <w:r>
                    <w:rPr>
                      <w:rFonts w:hint="default" w:ascii="Times New Roman" w:hAnsi="Times New Roman" w:cs="Times New Roman"/>
                      <w:bCs/>
                      <w:color w:val="000000" w:themeColor="text1"/>
                      <w:szCs w:val="21"/>
                      <w:lang w:val="en-US" w:eastAsia="zh-CN"/>
                      <w14:textFill>
                        <w14:solidFill>
                          <w14:schemeClr w14:val="tx1"/>
                        </w14:solidFill>
                      </w14:textFill>
                    </w:rPr>
                    <w:t>，</w:t>
                  </w:r>
                  <w:r>
                    <w:rPr>
                      <w:rFonts w:hint="default" w:ascii="Times New Roman" w:hAnsi="Times New Roman" w:cs="Times New Roman"/>
                      <w:bCs/>
                      <w:color w:val="000000" w:themeColor="text1"/>
                      <w:szCs w:val="21"/>
                      <w14:textFill>
                        <w14:solidFill>
                          <w14:schemeClr w14:val="tx1"/>
                        </w14:solidFill>
                      </w14:textFill>
                    </w:rPr>
                    <w:t>本项目不</w:t>
                  </w:r>
                  <w:r>
                    <w:rPr>
                      <w:rFonts w:hint="default" w:ascii="Times New Roman" w:hAnsi="Times New Roman" w:cs="Times New Roman"/>
                      <w:bCs/>
                      <w:color w:val="000000" w:themeColor="text1"/>
                      <w:szCs w:val="21"/>
                      <w:lang w:eastAsia="zh-CN"/>
                      <w14:textFill>
                        <w14:solidFill>
                          <w14:schemeClr w14:val="tx1"/>
                        </w14:solidFill>
                      </w14:textFill>
                    </w:rPr>
                    <w:t>涉及</w:t>
                  </w:r>
                  <w:r>
                    <w:rPr>
                      <w:rFonts w:hint="default" w:ascii="Times New Roman" w:hAnsi="Times New Roman" w:eastAsia="宋体" w:cs="Times New Roman"/>
                      <w:bCs/>
                      <w:color w:val="000000" w:themeColor="text1"/>
                      <w:szCs w:val="21"/>
                      <w:lang w:val="en-US" w:eastAsia="zh-CN"/>
                      <w14:textFill>
                        <w14:solidFill>
                          <w14:schemeClr w14:val="tx1"/>
                        </w14:solidFill>
                      </w14:textFill>
                    </w:rPr>
                    <w:t>自然保护区</w:t>
                  </w:r>
                </w:p>
              </w:tc>
              <w:tc>
                <w:tcPr>
                  <w:tcW w:w="450" w:type="pct"/>
                  <w:vAlign w:val="center"/>
                </w:tcPr>
                <w:p w14:paraId="6DDA4CE4">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r>
            <w:tr w14:paraId="373B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5F673966">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2008" w:type="pct"/>
                  <w:vAlign w:val="center"/>
                </w:tcPr>
                <w:p w14:paraId="3C63CFB4">
                  <w:pPr>
                    <w:pageBreakBefore w:val="0"/>
                    <w:kinsoku/>
                    <w:overflowPunct/>
                    <w:topLinePunct w:val="0"/>
                    <w:bidi w:val="0"/>
                    <w:ind w:left="0" w:leftChars="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本项目位于玉溪市红塔区研和街道可官社区可官一组</w:t>
                  </w:r>
                  <w:r>
                    <w:rPr>
                      <w:rFonts w:hint="default" w:ascii="Times New Roman" w:hAnsi="Times New Roman" w:cs="Times New Roman"/>
                      <w:bCs/>
                      <w:color w:val="000000" w:themeColor="text1"/>
                      <w:szCs w:val="21"/>
                      <w:lang w:val="en-US" w:eastAsia="zh-CN"/>
                      <w14:textFill>
                        <w14:solidFill>
                          <w14:schemeClr w14:val="tx1"/>
                        </w14:solidFill>
                      </w14:textFill>
                    </w:rPr>
                    <w:t>，</w:t>
                  </w:r>
                  <w:r>
                    <w:rPr>
                      <w:rFonts w:hint="default" w:ascii="Times New Roman" w:hAnsi="Times New Roman" w:cs="Times New Roman"/>
                      <w:bCs/>
                      <w:color w:val="000000" w:themeColor="text1"/>
                      <w:szCs w:val="21"/>
                      <w14:textFill>
                        <w14:solidFill>
                          <w14:schemeClr w14:val="tx1"/>
                        </w14:solidFill>
                      </w14:textFill>
                    </w:rPr>
                    <w:t>本项目不</w:t>
                  </w:r>
                  <w:r>
                    <w:rPr>
                      <w:rFonts w:hint="default" w:ascii="Times New Roman" w:hAnsi="Times New Roman" w:cs="Times New Roman"/>
                      <w:bCs/>
                      <w:color w:val="000000" w:themeColor="text1"/>
                      <w:szCs w:val="21"/>
                      <w:lang w:eastAsia="zh-CN"/>
                      <w14:textFill>
                        <w14:solidFill>
                          <w14:schemeClr w14:val="tx1"/>
                        </w14:solidFill>
                      </w14:textFill>
                    </w:rPr>
                    <w:t>涉及</w:t>
                  </w:r>
                  <w:r>
                    <w:rPr>
                      <w:rFonts w:hint="default" w:ascii="Times New Roman" w:hAnsi="Times New Roman" w:eastAsia="宋体" w:cs="Times New Roman"/>
                      <w:bCs/>
                      <w:color w:val="000000" w:themeColor="text1"/>
                      <w:szCs w:val="21"/>
                      <w:lang w:val="en-US" w:eastAsia="zh-CN"/>
                      <w14:textFill>
                        <w14:solidFill>
                          <w14:schemeClr w14:val="tx1"/>
                        </w14:solidFill>
                      </w14:textFill>
                    </w:rPr>
                    <w:t>风景名胜区</w:t>
                  </w:r>
                  <w:r>
                    <w:rPr>
                      <w:rFonts w:hint="default" w:ascii="Times New Roman" w:hAnsi="Times New Roman" w:cs="Times New Roman"/>
                      <w:bCs/>
                      <w:color w:val="000000" w:themeColor="text1"/>
                      <w:szCs w:val="21"/>
                      <w:lang w:val="en-US" w:eastAsia="zh-CN"/>
                      <w14:textFill>
                        <w14:solidFill>
                          <w14:schemeClr w14:val="tx1"/>
                        </w14:solidFill>
                      </w14:textFill>
                    </w:rPr>
                    <w:t>。</w:t>
                  </w:r>
                </w:p>
                <w:p w14:paraId="4DA55210">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50" w:type="pct"/>
                  <w:vAlign w:val="center"/>
                </w:tcPr>
                <w:p w14:paraId="21E6E683">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r>
            <w:tr w14:paraId="08C3E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trPr>
              <w:tc>
                <w:tcPr>
                  <w:tcW w:w="2541" w:type="pct"/>
                  <w:vAlign w:val="top"/>
                </w:tcPr>
                <w:p w14:paraId="0A04D8CD">
                  <w:pPr>
                    <w:pageBreakBefore w:val="0"/>
                    <w:kinsoku/>
                    <w:overflowPunct/>
                    <w:topLinePunct w:val="0"/>
                    <w:bidi w:val="0"/>
                    <w:ind w:left="0" w:leftChars="0" w:right="0"/>
                    <w:jc w:val="both"/>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2008" w:type="pct"/>
                  <w:vAlign w:val="center"/>
                </w:tcPr>
                <w:p w14:paraId="6DE963E5">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本项目位于玉溪市红塔区研和街道可官社区可官一组</w:t>
                  </w:r>
                  <w:r>
                    <w:rPr>
                      <w:rFonts w:hint="default" w:ascii="Times New Roman" w:hAnsi="Times New Roman" w:cs="Times New Roman"/>
                      <w:bCs/>
                      <w:color w:val="000000" w:themeColor="text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Cs w:val="21"/>
                      <w:lang w:val="en-US" w:eastAsia="zh-CN"/>
                      <w14:textFill>
                        <w14:solidFill>
                          <w14:schemeClr w14:val="tx1"/>
                        </w14:solidFill>
                      </w14:textFill>
                    </w:rPr>
                    <w:t>本项目不涉及饮用水水源一级保护区、二级保护区。</w:t>
                  </w:r>
                </w:p>
              </w:tc>
              <w:tc>
                <w:tcPr>
                  <w:tcW w:w="450" w:type="pct"/>
                  <w:vAlign w:val="center"/>
                </w:tcPr>
                <w:p w14:paraId="5AA55D46">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r>
            <w:tr w14:paraId="5E15A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6A2BAAB1">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2008" w:type="pct"/>
                  <w:vAlign w:val="center"/>
                </w:tcPr>
                <w:p w14:paraId="66BE9B0E">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本项目位于玉溪市红塔区研和街道可官社区可官一组</w:t>
                  </w:r>
                  <w:r>
                    <w:rPr>
                      <w:rFonts w:hint="default" w:ascii="Times New Roman" w:hAnsi="Times New Roman" w:cs="Times New Roman"/>
                      <w:bCs/>
                      <w:color w:val="000000" w:themeColor="text1"/>
                      <w:szCs w:val="21"/>
                      <w:lang w:val="en-US" w:eastAsia="zh-CN"/>
                      <w14:textFill>
                        <w14:solidFill>
                          <w14:schemeClr w14:val="tx1"/>
                        </w14:solidFill>
                      </w14:textFill>
                    </w:rPr>
                    <w:t>，</w:t>
                  </w:r>
                  <w:r>
                    <w:rPr>
                      <w:rFonts w:hint="default" w:ascii="Times New Roman" w:hAnsi="Times New Roman" w:cs="Times New Roman"/>
                      <w:bCs/>
                      <w:color w:val="000000" w:themeColor="text1"/>
                      <w:szCs w:val="21"/>
                      <w:lang w:eastAsia="zh-CN"/>
                      <w14:textFill>
                        <w14:solidFill>
                          <w14:schemeClr w14:val="tx1"/>
                        </w14:solidFill>
                      </w14:textFill>
                    </w:rPr>
                    <w:t>本项目</w:t>
                  </w:r>
                  <w:r>
                    <w:rPr>
                      <w:rFonts w:hint="default" w:ascii="Times New Roman" w:hAnsi="Times New Roman" w:cs="Times New Roman"/>
                      <w:bCs/>
                      <w:color w:val="000000" w:themeColor="text1"/>
                      <w:szCs w:val="21"/>
                      <w14:textFill>
                        <w14:solidFill>
                          <w14:schemeClr w14:val="tx1"/>
                        </w14:solidFill>
                      </w14:textFill>
                    </w:rPr>
                    <w:t>不</w:t>
                  </w:r>
                  <w:r>
                    <w:rPr>
                      <w:rFonts w:hint="default" w:ascii="Times New Roman" w:hAnsi="Times New Roman" w:cs="Times New Roman"/>
                      <w:bCs/>
                      <w:color w:val="000000" w:themeColor="text1"/>
                      <w:szCs w:val="21"/>
                      <w:lang w:eastAsia="zh-CN"/>
                      <w14:textFill>
                        <w14:solidFill>
                          <w14:schemeClr w14:val="tx1"/>
                        </w14:solidFill>
                      </w14:textFill>
                    </w:rPr>
                    <w:t>涉及</w:t>
                  </w:r>
                  <w:r>
                    <w:rPr>
                      <w:rFonts w:hint="default" w:ascii="Times New Roman" w:hAnsi="Times New Roman" w:eastAsia="宋体" w:cs="Times New Roman"/>
                      <w:bCs/>
                      <w:color w:val="000000" w:themeColor="text1"/>
                      <w:szCs w:val="21"/>
                      <w:lang w:val="en-US" w:eastAsia="zh-CN"/>
                      <w14:textFill>
                        <w14:solidFill>
                          <w14:schemeClr w14:val="tx1"/>
                        </w14:solidFill>
                      </w14:textFill>
                    </w:rPr>
                    <w:t>水产种质资源保护区</w:t>
                  </w:r>
                  <w:r>
                    <w:rPr>
                      <w:rFonts w:hint="default" w:ascii="Times New Roman" w:hAnsi="Times New Roman" w:cs="Times New Roman"/>
                      <w:bCs/>
                      <w:color w:val="000000" w:themeColor="text1"/>
                      <w:szCs w:val="21"/>
                      <w:lang w:val="en-US" w:eastAsia="zh-CN"/>
                      <w14:textFill>
                        <w14:solidFill>
                          <w14:schemeClr w14:val="tx1"/>
                        </w14:solidFill>
                      </w14:textFill>
                    </w:rPr>
                    <w:t>。</w:t>
                  </w:r>
                </w:p>
              </w:tc>
              <w:tc>
                <w:tcPr>
                  <w:tcW w:w="450" w:type="pct"/>
                  <w:vAlign w:val="center"/>
                </w:tcPr>
                <w:p w14:paraId="1BB71304">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r>
            <w:tr w14:paraId="35AE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37770C86">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2008" w:type="pct"/>
                  <w:vAlign w:val="center"/>
                </w:tcPr>
                <w:p w14:paraId="72B0F877">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本项目位于玉溪市红塔区研和街道可官社区可官一组</w:t>
                  </w:r>
                  <w:r>
                    <w:rPr>
                      <w:rFonts w:hint="default" w:ascii="Times New Roman" w:hAnsi="Times New Roman" w:cs="Times New Roman"/>
                      <w:bCs/>
                      <w:color w:val="000000" w:themeColor="text1"/>
                      <w:szCs w:val="21"/>
                      <w:lang w:val="en-US" w:eastAsia="zh-CN"/>
                      <w14:textFill>
                        <w14:solidFill>
                          <w14:schemeClr w14:val="tx1"/>
                        </w14:solidFill>
                      </w14:textFill>
                    </w:rPr>
                    <w:t>，</w:t>
                  </w:r>
                  <w:r>
                    <w:rPr>
                      <w:rFonts w:hint="default" w:ascii="Times New Roman" w:hAnsi="Times New Roman" w:cs="Times New Roman"/>
                      <w:bCs/>
                      <w:color w:val="000000" w:themeColor="text1"/>
                      <w:szCs w:val="21"/>
                      <w:lang w:eastAsia="zh-CN"/>
                      <w14:textFill>
                        <w14:solidFill>
                          <w14:schemeClr w14:val="tx1"/>
                        </w14:solidFill>
                      </w14:textFill>
                    </w:rPr>
                    <w:t>本项目</w:t>
                  </w:r>
                  <w:r>
                    <w:rPr>
                      <w:rFonts w:hint="default" w:ascii="Times New Roman" w:hAnsi="Times New Roman" w:cs="Times New Roman"/>
                      <w:bCs/>
                      <w:color w:val="000000" w:themeColor="text1"/>
                      <w:szCs w:val="21"/>
                      <w14:textFill>
                        <w14:solidFill>
                          <w14:schemeClr w14:val="tx1"/>
                        </w14:solidFill>
                      </w14:textFill>
                    </w:rPr>
                    <w:t>不</w:t>
                  </w:r>
                  <w:r>
                    <w:rPr>
                      <w:rFonts w:hint="default" w:ascii="Times New Roman" w:hAnsi="Times New Roman" w:cs="Times New Roman"/>
                      <w:bCs/>
                      <w:color w:val="000000" w:themeColor="text1"/>
                      <w:szCs w:val="21"/>
                      <w:lang w:eastAsia="zh-CN"/>
                      <w14:textFill>
                        <w14:solidFill>
                          <w14:schemeClr w14:val="tx1"/>
                        </w14:solidFill>
                      </w14:textFill>
                    </w:rPr>
                    <w:t>涉及</w:t>
                  </w:r>
                  <w:r>
                    <w:rPr>
                      <w:rFonts w:hint="default" w:ascii="Times New Roman" w:hAnsi="Times New Roman" w:eastAsia="宋体" w:cs="Times New Roman"/>
                      <w:bCs/>
                      <w:color w:val="000000" w:themeColor="text1"/>
                      <w:szCs w:val="21"/>
                      <w:lang w:val="en-US" w:eastAsia="zh-CN"/>
                      <w14:textFill>
                        <w14:solidFill>
                          <w14:schemeClr w14:val="tx1"/>
                        </w14:solidFill>
                      </w14:textFill>
                    </w:rPr>
                    <w:t>长江流域河湖岸线、金沙江干流、九大高原湖泊保护区、保留区。</w:t>
                  </w:r>
                </w:p>
              </w:tc>
              <w:tc>
                <w:tcPr>
                  <w:tcW w:w="450" w:type="pct"/>
                  <w:vAlign w:val="center"/>
                </w:tcPr>
                <w:p w14:paraId="182EA893">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r>
            <w:tr w14:paraId="35380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3C531398">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2008" w:type="pct"/>
                  <w:vAlign w:val="center"/>
                </w:tcPr>
                <w:p w14:paraId="4E8CE8E1">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eastAsia="zh-CN"/>
                      <w14:textFill>
                        <w14:solidFill>
                          <w14:schemeClr w14:val="tx1"/>
                        </w14:solidFill>
                      </w14:textFill>
                    </w:rPr>
                    <w:t>本项目</w:t>
                  </w:r>
                  <w:r>
                    <w:rPr>
                      <w:rFonts w:hint="default" w:ascii="Times New Roman" w:hAnsi="Times New Roman" w:cs="Times New Roman"/>
                      <w:bCs/>
                      <w:color w:val="000000" w:themeColor="text1"/>
                      <w:szCs w:val="21"/>
                      <w14:textFill>
                        <w14:solidFill>
                          <w14:schemeClr w14:val="tx1"/>
                        </w14:solidFill>
                      </w14:textFill>
                    </w:rPr>
                    <w:t>不</w:t>
                  </w:r>
                  <w:r>
                    <w:rPr>
                      <w:rFonts w:hint="default" w:ascii="Times New Roman" w:hAnsi="Times New Roman" w:cs="Times New Roman"/>
                      <w:bCs/>
                      <w:color w:val="000000" w:themeColor="text1"/>
                      <w:szCs w:val="21"/>
                      <w:lang w:eastAsia="zh-CN"/>
                      <w14:textFill>
                        <w14:solidFill>
                          <w14:schemeClr w14:val="tx1"/>
                        </w14:solidFill>
                      </w14:textFill>
                    </w:rPr>
                    <w:t>涉及</w:t>
                  </w:r>
                  <w:r>
                    <w:rPr>
                      <w:rFonts w:hint="default" w:ascii="Times New Roman" w:hAnsi="Times New Roman" w:eastAsia="宋体" w:cs="Times New Roman"/>
                      <w:bCs/>
                      <w:color w:val="000000" w:themeColor="text1"/>
                      <w:szCs w:val="21"/>
                      <w:lang w:val="en-US" w:eastAsia="zh-CN"/>
                      <w14:textFill>
                        <w14:solidFill>
                          <w14:schemeClr w14:val="tx1"/>
                        </w14:solidFill>
                      </w14:textFill>
                    </w:rPr>
                    <w:t>金沙江干流、长江一级支流。</w:t>
                  </w:r>
                </w:p>
              </w:tc>
              <w:tc>
                <w:tcPr>
                  <w:tcW w:w="450" w:type="pct"/>
                  <w:vAlign w:val="center"/>
                </w:tcPr>
                <w:p w14:paraId="5975C146">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r>
            <w:tr w14:paraId="17740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222007D7">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禁止在金沙江干流、长江一级支流、水生生物保护区和长江流域禁捕水域开展天然渔业资源生产性捕捞。</w:t>
                  </w:r>
                </w:p>
              </w:tc>
              <w:tc>
                <w:tcPr>
                  <w:tcW w:w="2008" w:type="pct"/>
                  <w:vAlign w:val="center"/>
                </w:tcPr>
                <w:p w14:paraId="591AC09C">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eastAsia="zh-CN"/>
                      <w14:textFill>
                        <w14:solidFill>
                          <w14:schemeClr w14:val="tx1"/>
                        </w14:solidFill>
                      </w14:textFill>
                    </w:rPr>
                    <w:t>本项目</w:t>
                  </w:r>
                  <w:r>
                    <w:rPr>
                      <w:rFonts w:hint="default" w:ascii="Times New Roman" w:hAnsi="Times New Roman" w:cs="Times New Roman"/>
                      <w:bCs/>
                      <w:color w:val="000000" w:themeColor="text1"/>
                      <w:szCs w:val="21"/>
                      <w14:textFill>
                        <w14:solidFill>
                          <w14:schemeClr w14:val="tx1"/>
                        </w14:solidFill>
                      </w14:textFill>
                    </w:rPr>
                    <w:t>不</w:t>
                  </w:r>
                  <w:r>
                    <w:rPr>
                      <w:rFonts w:hint="default" w:ascii="Times New Roman" w:hAnsi="Times New Roman" w:cs="Times New Roman"/>
                      <w:bCs/>
                      <w:color w:val="000000" w:themeColor="text1"/>
                      <w:szCs w:val="21"/>
                      <w:lang w:eastAsia="zh-CN"/>
                      <w14:textFill>
                        <w14:solidFill>
                          <w14:schemeClr w14:val="tx1"/>
                        </w14:solidFill>
                      </w14:textFill>
                    </w:rPr>
                    <w:t>涉及</w:t>
                  </w:r>
                  <w:r>
                    <w:rPr>
                      <w:rFonts w:hint="default" w:ascii="Times New Roman" w:hAnsi="Times New Roman" w:eastAsia="宋体" w:cs="Times New Roman"/>
                      <w:bCs/>
                      <w:color w:val="000000" w:themeColor="text1"/>
                      <w:szCs w:val="21"/>
                      <w:lang w:val="en-US" w:eastAsia="zh-CN"/>
                      <w14:textFill>
                        <w14:solidFill>
                          <w14:schemeClr w14:val="tx1"/>
                        </w14:solidFill>
                      </w14:textFill>
                    </w:rPr>
                    <w:t>金沙江干流、长江一级支流。</w:t>
                  </w:r>
                </w:p>
              </w:tc>
              <w:tc>
                <w:tcPr>
                  <w:tcW w:w="450" w:type="pct"/>
                  <w:vAlign w:val="center"/>
                </w:tcPr>
                <w:p w14:paraId="63B91CFB">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r>
            <w:tr w14:paraId="47666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79526A1E">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2008" w:type="pct"/>
                  <w:vAlign w:val="center"/>
                </w:tcPr>
                <w:p w14:paraId="1FB43676">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本项目位于玉溪市红塔区研和街道可官社区可官一组</w:t>
                  </w:r>
                  <w:r>
                    <w:rPr>
                      <w:rFonts w:hint="default" w:ascii="Times New Roman" w:hAnsi="Times New Roman" w:cs="Times New Roman"/>
                      <w:bCs/>
                      <w:color w:val="000000" w:themeColor="text1"/>
                      <w:szCs w:val="21"/>
                      <w:lang w:val="en-US" w:eastAsia="zh-CN"/>
                      <w14:textFill>
                        <w14:solidFill>
                          <w14:schemeClr w14:val="tx1"/>
                        </w14:solidFill>
                      </w14:textFill>
                    </w:rPr>
                    <w:t>，</w:t>
                  </w:r>
                  <w:r>
                    <w:rPr>
                      <w:rFonts w:hint="default" w:ascii="Times New Roman" w:hAnsi="Times New Roman" w:cs="Times New Roman"/>
                      <w:bCs/>
                      <w:color w:val="000000" w:themeColor="text1"/>
                      <w:szCs w:val="21"/>
                      <w:lang w:eastAsia="zh-CN"/>
                      <w14:textFill>
                        <w14:solidFill>
                          <w14:schemeClr w14:val="tx1"/>
                        </w14:solidFill>
                      </w14:textFill>
                    </w:rPr>
                    <w:t>本项目</w:t>
                  </w:r>
                  <w:r>
                    <w:rPr>
                      <w:rFonts w:hint="default" w:ascii="Times New Roman" w:hAnsi="Times New Roman" w:cs="Times New Roman"/>
                      <w:bCs/>
                      <w:color w:val="000000" w:themeColor="text1"/>
                      <w:szCs w:val="21"/>
                      <w14:textFill>
                        <w14:solidFill>
                          <w14:schemeClr w14:val="tx1"/>
                        </w14:solidFill>
                      </w14:textFill>
                    </w:rPr>
                    <w:t>不</w:t>
                  </w:r>
                  <w:r>
                    <w:rPr>
                      <w:rFonts w:hint="default" w:ascii="Times New Roman" w:hAnsi="Times New Roman" w:cs="Times New Roman"/>
                      <w:bCs/>
                      <w:color w:val="000000" w:themeColor="text1"/>
                      <w:szCs w:val="21"/>
                      <w:lang w:eastAsia="zh-CN"/>
                      <w14:textFill>
                        <w14:solidFill>
                          <w14:schemeClr w14:val="tx1"/>
                        </w14:solidFill>
                      </w14:textFill>
                    </w:rPr>
                    <w:t>涉及</w:t>
                  </w:r>
                  <w:r>
                    <w:rPr>
                      <w:rFonts w:hint="default" w:ascii="Times New Roman" w:hAnsi="Times New Roman" w:eastAsia="宋体" w:cs="Times New Roman"/>
                      <w:bCs/>
                      <w:color w:val="000000" w:themeColor="text1"/>
                      <w:szCs w:val="21"/>
                      <w:lang w:val="en-US" w:eastAsia="zh-CN"/>
                      <w14:textFill>
                        <w14:solidFill>
                          <w14:schemeClr w14:val="tx1"/>
                        </w14:solidFill>
                      </w14:textFill>
                    </w:rPr>
                    <w:t>金沙江干流、长江一级支流。</w:t>
                  </w:r>
                </w:p>
              </w:tc>
              <w:tc>
                <w:tcPr>
                  <w:tcW w:w="450" w:type="pct"/>
                  <w:vAlign w:val="center"/>
                </w:tcPr>
                <w:p w14:paraId="793FBA0D">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r>
            <w:tr w14:paraId="3B24D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6AC00F1C">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禁止在合规园区外新建、扩建钢铁、石化、化工、焦化、建材、有色、制浆造纸行业中的高污染项目。</w:t>
                  </w:r>
                </w:p>
              </w:tc>
              <w:tc>
                <w:tcPr>
                  <w:tcW w:w="2008" w:type="pct"/>
                  <w:vAlign w:val="center"/>
                </w:tcPr>
                <w:p w14:paraId="5237FB69">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本项目</w:t>
                  </w:r>
                  <w:r>
                    <w:rPr>
                      <w:rFonts w:hint="default" w:ascii="Times New Roman" w:hAnsi="Times New Roman" w:cs="Times New Roman"/>
                      <w:bCs/>
                      <w:color w:val="000000" w:themeColor="text1"/>
                      <w:szCs w:val="21"/>
                      <w:lang w:eastAsia="zh-CN"/>
                      <w14:textFill>
                        <w14:solidFill>
                          <w14:schemeClr w14:val="tx1"/>
                        </w14:solidFill>
                      </w14:textFill>
                    </w:rPr>
                    <w:t>为</w:t>
                  </w:r>
                  <w:r>
                    <w:rPr>
                      <w:rFonts w:hint="eastAsia" w:ascii="Times New Roman" w:hAnsi="Times New Roman" w:cs="Times New Roman"/>
                      <w:bCs/>
                      <w:color w:val="000000" w:themeColor="text1"/>
                      <w:szCs w:val="21"/>
                      <w:lang w:eastAsia="zh-CN"/>
                      <w14:textFill>
                        <w14:solidFill>
                          <w14:schemeClr w14:val="tx1"/>
                        </w14:solidFill>
                      </w14:textFill>
                    </w:rPr>
                    <w:t>液化石油气钢瓶</w:t>
                  </w:r>
                  <w:r>
                    <w:rPr>
                      <w:rFonts w:hint="default" w:ascii="Times New Roman" w:hAnsi="Times New Roman" w:cs="Times New Roman"/>
                      <w:bCs/>
                      <w:color w:val="000000" w:themeColor="text1"/>
                      <w:szCs w:val="21"/>
                      <w:lang w:eastAsia="zh-CN"/>
                      <w14:textFill>
                        <w14:solidFill>
                          <w14:schemeClr w14:val="tx1"/>
                        </w14:solidFill>
                      </w14:textFill>
                    </w:rPr>
                    <w:t>检测项目，</w:t>
                  </w:r>
                  <w:r>
                    <w:rPr>
                      <w:rFonts w:hint="default" w:ascii="Times New Roman" w:hAnsi="Times New Roman" w:cs="Times New Roman"/>
                      <w:bCs/>
                      <w:color w:val="000000" w:themeColor="text1"/>
                      <w:szCs w:val="21"/>
                      <w:lang w:val="en-US" w:eastAsia="zh-CN"/>
                      <w14:textFill>
                        <w14:solidFill>
                          <w14:schemeClr w14:val="tx1"/>
                        </w14:solidFill>
                      </w14:textFill>
                    </w:rPr>
                    <w:t>不属于</w:t>
                  </w:r>
                  <w:r>
                    <w:rPr>
                      <w:rFonts w:hint="default" w:ascii="Times New Roman" w:hAnsi="Times New Roman" w:eastAsia="宋体" w:cs="Times New Roman"/>
                      <w:bCs/>
                      <w:color w:val="000000" w:themeColor="text1"/>
                      <w:szCs w:val="21"/>
                      <w:lang w:val="en-US" w:eastAsia="zh-CN"/>
                      <w14:textFill>
                        <w14:solidFill>
                          <w14:schemeClr w14:val="tx1"/>
                        </w14:solidFill>
                      </w14:textFill>
                    </w:rPr>
                    <w:t>高污染项目</w:t>
                  </w:r>
                </w:p>
              </w:tc>
              <w:tc>
                <w:tcPr>
                  <w:tcW w:w="450" w:type="pct"/>
                  <w:vAlign w:val="center"/>
                </w:tcPr>
                <w:p w14:paraId="6ED1F26F">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符合</w:t>
                  </w:r>
                </w:p>
              </w:tc>
            </w:tr>
            <w:tr w14:paraId="558F7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541" w:type="pct"/>
                  <w:vAlign w:val="center"/>
                </w:tcPr>
                <w:p w14:paraId="0266E252">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禁止新建、扩建不符合国家石化、现代煤化工等产业布局规划的项目。禁止列入《云南省城镇人口密集区危险化学品生产企业搬迁改造名单》的搬迁改造企业在原址新建、扩建危险化学品生产项目</w:t>
                  </w:r>
                </w:p>
              </w:tc>
              <w:tc>
                <w:tcPr>
                  <w:tcW w:w="2008" w:type="pct"/>
                  <w:vAlign w:val="center"/>
                </w:tcPr>
                <w:p w14:paraId="352DD675">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本项目</w:t>
                  </w:r>
                  <w:r>
                    <w:rPr>
                      <w:rFonts w:hint="default" w:ascii="Times New Roman" w:hAnsi="Times New Roman" w:cs="Times New Roman"/>
                      <w:bCs/>
                      <w:color w:val="000000" w:themeColor="text1"/>
                      <w:szCs w:val="21"/>
                      <w:lang w:eastAsia="zh-CN"/>
                      <w14:textFill>
                        <w14:solidFill>
                          <w14:schemeClr w14:val="tx1"/>
                        </w14:solidFill>
                      </w14:textFill>
                    </w:rPr>
                    <w:t>为</w:t>
                  </w:r>
                  <w:r>
                    <w:rPr>
                      <w:rFonts w:hint="eastAsia" w:ascii="Times New Roman" w:hAnsi="Times New Roman" w:cs="Times New Roman"/>
                      <w:bCs/>
                      <w:color w:val="000000" w:themeColor="text1"/>
                      <w:szCs w:val="21"/>
                      <w:lang w:eastAsia="zh-CN"/>
                      <w14:textFill>
                        <w14:solidFill>
                          <w14:schemeClr w14:val="tx1"/>
                        </w14:solidFill>
                      </w14:textFill>
                    </w:rPr>
                    <w:t>液化石油气钢瓶</w:t>
                  </w:r>
                  <w:r>
                    <w:rPr>
                      <w:rFonts w:hint="default" w:ascii="Times New Roman" w:hAnsi="Times New Roman" w:cs="Times New Roman"/>
                      <w:bCs/>
                      <w:color w:val="000000" w:themeColor="text1"/>
                      <w:szCs w:val="21"/>
                      <w:lang w:eastAsia="zh-CN"/>
                      <w14:textFill>
                        <w14:solidFill>
                          <w14:schemeClr w14:val="tx1"/>
                        </w14:solidFill>
                      </w14:textFill>
                    </w:rPr>
                    <w:t>检测项目，不涉及</w:t>
                  </w:r>
                  <w:r>
                    <w:rPr>
                      <w:rFonts w:hint="default" w:ascii="Times New Roman" w:hAnsi="Times New Roman" w:eastAsia="宋体" w:cs="Times New Roman"/>
                      <w:bCs/>
                      <w:color w:val="000000" w:themeColor="text1"/>
                      <w:szCs w:val="21"/>
                      <w:lang w:val="en-US" w:eastAsia="zh-CN"/>
                      <w14:textFill>
                        <w14:solidFill>
                          <w14:schemeClr w14:val="tx1"/>
                        </w14:solidFill>
                      </w14:textFill>
                    </w:rPr>
                    <w:t>不符合国家石化、现代煤化工等产业布局规划的项目</w:t>
                  </w:r>
                </w:p>
              </w:tc>
              <w:tc>
                <w:tcPr>
                  <w:tcW w:w="450" w:type="pct"/>
                  <w:vAlign w:val="center"/>
                </w:tcPr>
                <w:p w14:paraId="78342DBC">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符合</w:t>
                  </w:r>
                </w:p>
              </w:tc>
            </w:tr>
            <w:tr w14:paraId="5760D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1" w:type="pct"/>
                  <w:vAlign w:val="center"/>
                </w:tcPr>
                <w:p w14:paraId="0AD9C625">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2008" w:type="pct"/>
                  <w:vAlign w:val="center"/>
                </w:tcPr>
                <w:p w14:paraId="3A31831A">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本项目为</w:t>
                  </w:r>
                  <w:r>
                    <w:rPr>
                      <w:rFonts w:hint="eastAsia" w:ascii="Times New Roman" w:hAnsi="Times New Roman" w:cs="Times New Roman"/>
                      <w:bCs/>
                      <w:color w:val="000000" w:themeColor="text1"/>
                      <w:szCs w:val="21"/>
                      <w:lang w:eastAsia="zh-CN"/>
                      <w14:textFill>
                        <w14:solidFill>
                          <w14:schemeClr w14:val="tx1"/>
                        </w14:solidFill>
                      </w14:textFill>
                    </w:rPr>
                    <w:t>液化石油气钢瓶</w:t>
                  </w:r>
                  <w:r>
                    <w:rPr>
                      <w:rFonts w:hint="default" w:ascii="Times New Roman" w:hAnsi="Times New Roman" w:cs="Times New Roman"/>
                      <w:bCs/>
                      <w:color w:val="000000" w:themeColor="text1"/>
                      <w:szCs w:val="21"/>
                      <w:lang w:eastAsia="zh-CN"/>
                      <w14:textFill>
                        <w14:solidFill>
                          <w14:schemeClr w14:val="tx1"/>
                        </w14:solidFill>
                      </w14:textFill>
                    </w:rPr>
                    <w:t>检测项目</w:t>
                  </w:r>
                  <w:r>
                    <w:rPr>
                      <w:rFonts w:hint="default" w:ascii="Times New Roman" w:hAnsi="Times New Roman" w:eastAsia="宋体" w:cs="Times New Roman"/>
                      <w:color w:val="000000" w:themeColor="text1"/>
                      <w:szCs w:val="21"/>
                      <w14:textFill>
                        <w14:solidFill>
                          <w14:schemeClr w14:val="tx1"/>
                        </w14:solidFill>
                      </w14:textFill>
                    </w:rPr>
                    <w:t>，不属于法律法规和相关政策明令禁止的落后产能项目。不属于国家产能置换要求的严重过剩产能行业的项目，不属于高耗能高排放项目</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不</w:t>
                  </w:r>
                  <w:r>
                    <w:rPr>
                      <w:rFonts w:hint="default" w:ascii="Times New Roman" w:hAnsi="Times New Roman" w:cs="Times New Roman"/>
                      <w:color w:val="000000" w:themeColor="text1"/>
                      <w:szCs w:val="21"/>
                      <w:lang w:eastAsia="zh-CN"/>
                      <w14:textFill>
                        <w14:solidFill>
                          <w14:schemeClr w14:val="tx1"/>
                        </w14:solidFill>
                      </w14:textFill>
                    </w:rPr>
                    <w:t>涉及</w:t>
                  </w:r>
                  <w:r>
                    <w:rPr>
                      <w:rFonts w:hint="default" w:ascii="Times New Roman" w:hAnsi="Times New Roman" w:eastAsia="宋体" w:cs="Times New Roman"/>
                      <w:color w:val="000000" w:themeColor="text1"/>
                      <w:szCs w:val="21"/>
                      <w14:textFill>
                        <w14:solidFill>
                          <w14:schemeClr w14:val="tx1"/>
                        </w14:solidFill>
                      </w14:textFill>
                    </w:rPr>
                    <w:t>高毒高残留以及对环境影响大的农药原药生产装置</w:t>
                  </w:r>
                  <w:r>
                    <w:rPr>
                      <w:rFonts w:hint="default" w:ascii="Times New Roman" w:hAnsi="Times New Roman" w:cs="Times New Roman"/>
                      <w:color w:val="000000" w:themeColor="text1"/>
                      <w:szCs w:val="21"/>
                      <w:lang w:eastAsia="zh-CN"/>
                      <w14:textFill>
                        <w14:solidFill>
                          <w14:schemeClr w14:val="tx1"/>
                        </w14:solidFill>
                      </w14:textFill>
                    </w:rPr>
                    <w:t>。</w:t>
                  </w:r>
                </w:p>
              </w:tc>
              <w:tc>
                <w:tcPr>
                  <w:tcW w:w="450" w:type="pct"/>
                  <w:vAlign w:val="center"/>
                </w:tcPr>
                <w:p w14:paraId="7CC249BF">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符合</w:t>
                  </w:r>
                </w:p>
              </w:tc>
            </w:tr>
          </w:tbl>
          <w:p w14:paraId="369BFBBC">
            <w:pPr>
              <w:pStyle w:val="44"/>
              <w:pageBreakBefore w:val="0"/>
              <w:kinsoku/>
              <w:overflowPunct/>
              <w:topLinePunct w:val="0"/>
              <w:bidi w:val="0"/>
              <w:ind w:left="0" w:leftChars="0" w:right="0" w:firstLine="480"/>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6</w:t>
            </w:r>
            <w:r>
              <w:rPr>
                <w:rFonts w:hint="default" w:ascii="Times New Roman" w:hAnsi="Times New Roman" w:eastAsia="宋体" w:cs="Times New Roman"/>
                <w:b/>
                <w:bCs/>
                <w:color w:val="000000" w:themeColor="text1"/>
                <w:lang w:val="en-US" w:eastAsia="zh-CN"/>
                <w14:textFill>
                  <w14:solidFill>
                    <w14:schemeClr w14:val="tx1"/>
                  </w14:solidFill>
                </w14:textFill>
              </w:rPr>
              <w:t>、与《工业炉窑大气污染综合治理方案》（环大气[2019]56号）的符合性分析</w:t>
            </w:r>
          </w:p>
          <w:p w14:paraId="7C6BC56A">
            <w:pPr>
              <w:pStyle w:val="44"/>
              <w:keepNext w:val="0"/>
              <w:keepLines w:val="0"/>
              <w:pageBreakBefore w:val="0"/>
              <w:widowControl w:val="0"/>
              <w:kinsoku/>
              <w:wordWrap w:val="0"/>
              <w:overflowPunct/>
              <w:topLinePunct w:val="0"/>
              <w:autoSpaceDE/>
              <w:autoSpaceDN/>
              <w:bidi w:val="0"/>
              <w:adjustRightInd/>
              <w:snapToGrid/>
              <w:ind w:left="0" w:leftChars="0" w:right="0" w:firstLine="480"/>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根据生态环境部、国家发展和改革委员会、工业和信息化部、财政部于2019年7月9日联合发布关于《工业炉窑大气污染综合治理方案》（环大气〔2019〕56号）的通知，本项目与该方案符合性详见表。</w:t>
            </w:r>
          </w:p>
          <w:p w14:paraId="2151BEC7">
            <w:pPr>
              <w:pStyle w:val="44"/>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表</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1-6与《工业炉窑大气污染综合治理方案》符合性分析</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3105"/>
              <w:gridCol w:w="2814"/>
              <w:gridCol w:w="572"/>
            </w:tblGrid>
            <w:tr w14:paraId="59F9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76" w:type="pct"/>
                  <w:gridSpan w:val="2"/>
                  <w:vAlign w:val="center"/>
                </w:tcPr>
                <w:p w14:paraId="259F4770">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eastAsia="zh-CN"/>
                      <w14:textFill>
                        <w14:solidFill>
                          <w14:schemeClr w14:val="tx1"/>
                        </w14:solidFill>
                      </w14:textFill>
                    </w:rPr>
                    <w:t>方案要求</w:t>
                  </w:r>
                </w:p>
              </w:tc>
              <w:tc>
                <w:tcPr>
                  <w:tcW w:w="1931" w:type="pct"/>
                  <w:vAlign w:val="center"/>
                </w:tcPr>
                <w:p w14:paraId="16C22A62">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eastAsia="zh-CN"/>
                      <w14:textFill>
                        <w14:solidFill>
                          <w14:schemeClr w14:val="tx1"/>
                        </w14:solidFill>
                      </w14:textFill>
                    </w:rPr>
                    <w:t>本项目保护情况</w:t>
                  </w:r>
                </w:p>
              </w:tc>
              <w:tc>
                <w:tcPr>
                  <w:tcW w:w="392" w:type="pct"/>
                  <w:vAlign w:val="center"/>
                </w:tcPr>
                <w:p w14:paraId="790AB09E">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eastAsia="zh-CN"/>
                      <w14:textFill>
                        <w14:solidFill>
                          <w14:schemeClr w14:val="tx1"/>
                        </w14:solidFill>
                      </w14:textFill>
                    </w:rPr>
                    <w:t>符合性</w:t>
                  </w:r>
                </w:p>
              </w:tc>
            </w:tr>
            <w:tr w14:paraId="72FDD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Merge w:val="restart"/>
                  <w:vAlign w:val="center"/>
                </w:tcPr>
                <w:p w14:paraId="7D6D7A43">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加大产业结构调整力度。严格建设项目环境准入。</w:t>
                  </w:r>
                </w:p>
                <w:p w14:paraId="49B15DE6">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p>
              </w:tc>
              <w:tc>
                <w:tcPr>
                  <w:tcW w:w="2130" w:type="pct"/>
                  <w:vAlign w:val="center"/>
                </w:tcPr>
                <w:p w14:paraId="2C4A17CC">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新建涉工业炉窑的建设项目，原则上要入园区，配套建设高效环保治理设施</w:t>
                  </w:r>
                </w:p>
              </w:tc>
              <w:tc>
                <w:tcPr>
                  <w:tcW w:w="1931" w:type="pct"/>
                  <w:vAlign w:val="center"/>
                </w:tcPr>
                <w:p w14:paraId="1C5C5D8E">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本项目位于玉溪市红塔区研和街道可官社区可官一组，属于云南红塔产业园区研和片区地块三。</w:t>
                  </w:r>
                </w:p>
                <w:p w14:paraId="4672ECBC">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本项目已配套设置高效环保治理设施，根据《排放源统计调查产排污核算方法和系数手册》（公告2021年第24号）“旋风+布袋+喷淋”</w:t>
                  </w:r>
                  <w:r>
                    <w:rPr>
                      <w:rFonts w:hint="eastAsia" w:cs="Times New Roman"/>
                      <w:bCs/>
                      <w:color w:val="000000" w:themeColor="text1"/>
                      <w:szCs w:val="21"/>
                      <w:lang w:val="en-US" w:eastAsia="zh-CN"/>
                      <w14:textFill>
                        <w14:solidFill>
                          <w14:schemeClr w14:val="tx1"/>
                        </w14:solidFill>
                      </w14:textFill>
                    </w:rPr>
                    <w:t>设施</w:t>
                  </w:r>
                  <w:r>
                    <w:rPr>
                      <w:rFonts w:hint="default" w:ascii="Times New Roman" w:hAnsi="Times New Roman" w:eastAsia="宋体" w:cs="Times New Roman"/>
                      <w:bCs/>
                      <w:color w:val="000000" w:themeColor="text1"/>
                      <w:szCs w:val="21"/>
                      <w:lang w:val="en-US" w:eastAsia="zh-CN"/>
                      <w14:textFill>
                        <w14:solidFill>
                          <w14:schemeClr w14:val="tx1"/>
                        </w14:solidFill>
                      </w14:textFill>
                    </w:rPr>
                    <w:t>颗粒物治理效率99.7%，二氧化硫80%；</w:t>
                  </w:r>
                  <w:r>
                    <w:rPr>
                      <w:rFonts w:hint="eastAsia" w:cs="Times New Roman"/>
                      <w:bCs/>
                      <w:color w:val="000000" w:themeColor="text1"/>
                      <w:szCs w:val="21"/>
                      <w:lang w:val="en-US" w:eastAsia="zh-CN"/>
                      <w14:textFill>
                        <w14:solidFill>
                          <w14:schemeClr w14:val="tx1"/>
                        </w14:solidFill>
                      </w14:textFill>
                    </w:rPr>
                    <w:t>非甲烷总烃</w:t>
                  </w:r>
                  <w:r>
                    <w:rPr>
                      <w:rFonts w:hint="default" w:ascii="Times New Roman" w:hAnsi="Times New Roman" w:eastAsia="宋体" w:cs="Times New Roman"/>
                      <w:bCs/>
                      <w:color w:val="000000" w:themeColor="text1"/>
                      <w:szCs w:val="21"/>
                      <w:lang w:val="en-US" w:eastAsia="zh-CN"/>
                      <w14:textFill>
                        <w14:solidFill>
                          <w14:schemeClr w14:val="tx1"/>
                        </w14:solidFill>
                      </w14:textFill>
                    </w:rPr>
                    <w:t>引入焚烧炉进行热力焚烧</w:t>
                  </w:r>
                  <w:r>
                    <w:rPr>
                      <w:rFonts w:hint="eastAsia" w:cs="Times New Roman"/>
                      <w:bCs/>
                      <w:color w:val="000000" w:themeColor="text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Cs w:val="21"/>
                      <w:lang w:val="en-US" w:eastAsia="zh-CN"/>
                      <w14:textFill>
                        <w14:solidFill>
                          <w14:schemeClr w14:val="tx1"/>
                        </w14:solidFill>
                      </w14:textFill>
                    </w:rPr>
                    <w:t>非甲烷总烃治理效率85%</w:t>
                  </w:r>
                  <w:r>
                    <w:rPr>
                      <w:rFonts w:hint="eastAsia" w:cs="Times New Roman"/>
                      <w:bCs/>
                      <w:color w:val="000000" w:themeColor="text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Cs w:val="21"/>
                      <w:lang w:val="en-US" w:eastAsia="zh-CN"/>
                      <w14:textFill>
                        <w14:solidFill>
                          <w14:schemeClr w14:val="tx1"/>
                        </w14:solidFill>
                      </w14:textFill>
                    </w:rPr>
                    <w:t>脉冲滤筒除尘器颗粒物治理效率95%。</w:t>
                  </w:r>
                </w:p>
              </w:tc>
              <w:tc>
                <w:tcPr>
                  <w:tcW w:w="392" w:type="pct"/>
                  <w:vAlign w:val="center"/>
                </w:tcPr>
                <w:p w14:paraId="0E31936B">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符合</w:t>
                  </w:r>
                </w:p>
              </w:tc>
            </w:tr>
            <w:tr w14:paraId="501C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Merge w:val="continue"/>
                  <w:vAlign w:val="center"/>
                </w:tcPr>
                <w:p w14:paraId="5A920B32">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p>
              </w:tc>
              <w:tc>
                <w:tcPr>
                  <w:tcW w:w="2130" w:type="pct"/>
                  <w:vAlign w:val="center"/>
                </w:tcPr>
                <w:p w14:paraId="2CBE2DE3">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w:t>
                  </w:r>
                </w:p>
              </w:tc>
              <w:tc>
                <w:tcPr>
                  <w:tcW w:w="1931" w:type="pct"/>
                  <w:vAlign w:val="center"/>
                </w:tcPr>
                <w:p w14:paraId="4AB25686">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本项目不属于重点控制区域范畴。</w:t>
                  </w:r>
                  <w:r>
                    <w:rPr>
                      <w:rFonts w:hint="default" w:ascii="Times New Roman" w:hAnsi="Times New Roman" w:cs="Times New Roman"/>
                      <w:bCs/>
                      <w:color w:val="000000" w:themeColor="text1"/>
                      <w:szCs w:val="21"/>
                      <w:lang w:val="en-US" w:eastAsia="zh-CN"/>
                      <w14:textFill>
                        <w14:solidFill>
                          <w14:schemeClr w14:val="tx1"/>
                        </w14:solidFill>
                      </w14:textFill>
                    </w:rPr>
                    <w:t>本项目不属于</w:t>
                  </w:r>
                  <w:r>
                    <w:rPr>
                      <w:rFonts w:hint="default" w:ascii="Times New Roman" w:hAnsi="Times New Roman" w:eastAsia="宋体" w:cs="Times New Roman"/>
                      <w:bCs/>
                      <w:color w:val="000000" w:themeColor="text1"/>
                      <w:szCs w:val="21"/>
                      <w:lang w:val="en-US" w:eastAsia="zh-CN"/>
                      <w14:textFill>
                        <w14:solidFill>
                          <w14:schemeClr w14:val="tx1"/>
                        </w14:solidFill>
                      </w14:textFill>
                    </w:rPr>
                    <w:t>钢铁、焦化、电解铝、铸造、水泥和平板玻璃</w:t>
                  </w:r>
                  <w:r>
                    <w:rPr>
                      <w:rFonts w:hint="default" w:ascii="Times New Roman" w:hAnsi="Times New Roman" w:cs="Times New Roman"/>
                      <w:bCs/>
                      <w:color w:val="000000" w:themeColor="text1"/>
                      <w:szCs w:val="21"/>
                      <w:lang w:val="en-US" w:eastAsia="zh-CN"/>
                      <w14:textFill>
                        <w14:solidFill>
                          <w14:schemeClr w14:val="tx1"/>
                        </w14:solidFill>
                      </w14:textFill>
                    </w:rPr>
                    <w:t>行业，本项目</w:t>
                  </w:r>
                  <w:r>
                    <w:rPr>
                      <w:rFonts w:hint="default" w:ascii="Times New Roman" w:hAnsi="Times New Roman" w:eastAsia="宋体" w:cs="Times New Roman"/>
                      <w:bCs/>
                      <w:color w:val="000000" w:themeColor="text1"/>
                      <w:szCs w:val="21"/>
                      <w:lang w:val="en-US" w:eastAsia="zh-CN"/>
                      <w14:textFill>
                        <w14:solidFill>
                          <w14:schemeClr w14:val="tx1"/>
                        </w14:solidFill>
                      </w14:textFill>
                    </w:rPr>
                    <w:t>不涉及煤气发生炉。</w:t>
                  </w:r>
                </w:p>
              </w:tc>
              <w:tc>
                <w:tcPr>
                  <w:tcW w:w="392" w:type="pct"/>
                  <w:vAlign w:val="center"/>
                </w:tcPr>
                <w:p w14:paraId="4155053C">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符合</w:t>
                  </w:r>
                </w:p>
              </w:tc>
            </w:tr>
            <w:tr w14:paraId="2BE30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14:paraId="3B3FA052">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加大落后产能和不达标工业炉窑淘汰力度。</w:t>
                  </w:r>
                </w:p>
                <w:p w14:paraId="2F9288C2">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p>
              </w:tc>
              <w:tc>
                <w:tcPr>
                  <w:tcW w:w="2130" w:type="pct"/>
                  <w:vAlign w:val="center"/>
                </w:tcPr>
                <w:p w14:paraId="245EE136">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分行业清理《产业结构调整指导目录》淘汰类工业炉窑。天津、河北、山西、江苏、山东等地要按时完成各地已出台的钢铁、焦化、化工等行业产业结构调整任务。</w:t>
                  </w:r>
                </w:p>
                <w:p w14:paraId="761ADFCA">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鼓励各地制定更加严格的环保标准，进一步促进产业结构调整。</w:t>
                  </w:r>
                </w:p>
                <w:p w14:paraId="60F7193A">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对热效率低下、敞开未封闭，装备简易落后、自动化程度低，无组织排放突出，以及无治理设施或治理设施工艺落后等严重污染环境的工业炉窑，依法责令停业关闭</w:t>
                  </w:r>
                </w:p>
              </w:tc>
              <w:tc>
                <w:tcPr>
                  <w:tcW w:w="1931" w:type="pct"/>
                  <w:vAlign w:val="center"/>
                </w:tcPr>
                <w:p w14:paraId="7729600B">
                  <w:pPr>
                    <w:pStyle w:val="124"/>
                    <w:pageBreakBefore w:val="0"/>
                    <w:kinsoku/>
                    <w:overflowPunct/>
                    <w:topLinePunct w:val="0"/>
                    <w:bidi w:val="0"/>
                    <w:ind w:left="0" w:leftChars="0" w:right="0" w:rightChars="0" w:firstLine="0" w:firstLineChars="0"/>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项目焚烧炉使用燃料为</w:t>
                  </w:r>
                  <w:r>
                    <w:rPr>
                      <w:rFonts w:hint="default" w:ascii="Times New Roman" w:hAnsi="Times New Roman" w:cs="Times New Roman"/>
                      <w:bCs/>
                      <w:color w:val="000000" w:themeColor="text1"/>
                      <w:szCs w:val="21"/>
                      <w:lang w:val="en-US" w:eastAsia="zh-CN"/>
                      <w14:textFill>
                        <w14:solidFill>
                          <w14:schemeClr w14:val="tx1"/>
                        </w14:solidFill>
                      </w14:textFill>
                    </w:rPr>
                    <w:t>生物质颗粒</w:t>
                  </w:r>
                  <w:r>
                    <w:rPr>
                      <w:rFonts w:hint="default" w:ascii="Times New Roman" w:hAnsi="Times New Roman" w:eastAsia="宋体" w:cs="Times New Roman"/>
                      <w:bCs/>
                      <w:color w:val="000000" w:themeColor="text1"/>
                      <w:szCs w:val="21"/>
                      <w:lang w:val="en-US" w:eastAsia="zh-CN"/>
                      <w14:textFill>
                        <w14:solidFill>
                          <w14:schemeClr w14:val="tx1"/>
                        </w14:solidFill>
                      </w14:textFill>
                    </w:rPr>
                    <w:t>，不涉及《产业结构调整指导目录》淘汰类工业炉窑。</w:t>
                  </w:r>
                </w:p>
                <w:p w14:paraId="174B769E">
                  <w:pPr>
                    <w:keepNext w:val="0"/>
                    <w:pageBreakBefore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本项目生产设备均布设于生产车间内，废气产生环节均配套设置了相应的治理设施，不属于</w:t>
                  </w:r>
                  <w:r>
                    <w:rPr>
                      <w:rFonts w:hint="default" w:ascii="Times New Roman" w:hAnsi="Times New Roman" w:eastAsia="宋体" w:cs="Times New Roman"/>
                      <w:bCs/>
                      <w:color w:val="000000" w:themeColor="text1"/>
                      <w:szCs w:val="21"/>
                      <w:lang w:val="en-US" w:eastAsia="zh-CN"/>
                      <w14:textFill>
                        <w14:solidFill>
                          <w14:schemeClr w14:val="tx1"/>
                        </w14:solidFill>
                      </w14:textFill>
                    </w:rPr>
                    <w:t>严重污染环境的工业炉窑。</w:t>
                  </w:r>
                </w:p>
                <w:p w14:paraId="2A55BDB9">
                  <w:pPr>
                    <w:keepNext w:val="0"/>
                    <w:pageBreakBefore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bCs/>
                      <w:color w:val="000000" w:themeColor="text1"/>
                      <w:szCs w:val="21"/>
                      <w:lang w:val="en-US" w:eastAsia="zh-CN"/>
                      <w14:textFill>
                        <w14:solidFill>
                          <w14:schemeClr w14:val="tx1"/>
                        </w14:solidFill>
                      </w14:textFill>
                    </w:rPr>
                  </w:pPr>
                </w:p>
              </w:tc>
              <w:tc>
                <w:tcPr>
                  <w:tcW w:w="392" w:type="pct"/>
                  <w:vAlign w:val="center"/>
                </w:tcPr>
                <w:p w14:paraId="59A3E834">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符合</w:t>
                  </w:r>
                </w:p>
              </w:tc>
            </w:tr>
            <w:tr w14:paraId="2A50E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14:paraId="27F99BEA">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加快燃料清洁低碳化替代。</w:t>
                  </w:r>
                </w:p>
                <w:p w14:paraId="74BCF801">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p>
              </w:tc>
              <w:tc>
                <w:tcPr>
                  <w:tcW w:w="2130" w:type="pct"/>
                  <w:vAlign w:val="center"/>
                </w:tcPr>
                <w:p w14:paraId="7F522EAB">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对以煤、石油焦、渣油、重油等为燃料的工业炉窑，加快使用清洁低碳能源以及利用工厂余热、电厂热力等进行替代。重点区域禁止掺烧高硫石油焦（硫含量大于3%）。玻璃行业全面禁止掺烧高硫石油焦</w:t>
                  </w:r>
                </w:p>
              </w:tc>
              <w:tc>
                <w:tcPr>
                  <w:tcW w:w="1931" w:type="pct"/>
                  <w:vAlign w:val="center"/>
                </w:tcPr>
                <w:p w14:paraId="1FBA12EC">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项目使用液化石油</w:t>
                  </w:r>
                  <w:r>
                    <w:rPr>
                      <w:rFonts w:hint="default" w:ascii="Times New Roman" w:hAnsi="Times New Roman" w:cs="Times New Roman"/>
                      <w:bCs/>
                      <w:color w:val="000000" w:themeColor="text1"/>
                      <w:szCs w:val="21"/>
                      <w:lang w:val="en-US" w:eastAsia="zh-CN"/>
                      <w14:textFill>
                        <w14:solidFill>
                          <w14:schemeClr w14:val="tx1"/>
                        </w14:solidFill>
                      </w14:textFill>
                    </w:rPr>
                    <w:t>气、生物质颗粒</w:t>
                  </w:r>
                  <w:r>
                    <w:rPr>
                      <w:rFonts w:hint="default" w:ascii="Times New Roman" w:hAnsi="Times New Roman" w:eastAsia="宋体" w:cs="Times New Roman"/>
                      <w:bCs/>
                      <w:color w:val="000000" w:themeColor="text1"/>
                      <w:szCs w:val="21"/>
                      <w:lang w:val="en-US" w:eastAsia="zh-CN"/>
                      <w14:textFill>
                        <w14:solidFill>
                          <w14:schemeClr w14:val="tx1"/>
                        </w14:solidFill>
                      </w14:textFill>
                    </w:rPr>
                    <w:t>作为燃料，项目生产不使用煤、石油焦、渣油、重油等为燃料，项目不属于玻璃行业。</w:t>
                  </w:r>
                </w:p>
              </w:tc>
              <w:tc>
                <w:tcPr>
                  <w:tcW w:w="392" w:type="pct"/>
                  <w:vAlign w:val="center"/>
                </w:tcPr>
                <w:p w14:paraId="224A9569">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符合</w:t>
                  </w:r>
                </w:p>
              </w:tc>
            </w:tr>
            <w:tr w14:paraId="3C777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14:paraId="41A876D9">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加快淘汰燃煤工业炉窑。</w:t>
                  </w:r>
                </w:p>
                <w:p w14:paraId="3976CB7B">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p>
              </w:tc>
              <w:tc>
                <w:tcPr>
                  <w:tcW w:w="2130" w:type="pct"/>
                  <w:vAlign w:val="center"/>
                </w:tcPr>
                <w:p w14:paraId="16BFC285">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重点区域取缔燃煤热风炉，基本淘汰热电联产供热管网覆盖范围内的燃煤加热、烘干炉（窑）。加快推动铸造（10吨/小时及以下）、岩棉等行业冲天炉改为电炉</w:t>
                  </w:r>
                </w:p>
              </w:tc>
              <w:tc>
                <w:tcPr>
                  <w:tcW w:w="1931" w:type="pct"/>
                  <w:vAlign w:val="center"/>
                </w:tcPr>
                <w:p w14:paraId="70379221">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项目使用液化石油</w:t>
                  </w:r>
                  <w:r>
                    <w:rPr>
                      <w:rFonts w:hint="default" w:ascii="Times New Roman" w:hAnsi="Times New Roman" w:cs="Times New Roman"/>
                      <w:bCs/>
                      <w:color w:val="000000" w:themeColor="text1"/>
                      <w:szCs w:val="21"/>
                      <w:lang w:val="en-US" w:eastAsia="zh-CN"/>
                      <w14:textFill>
                        <w14:solidFill>
                          <w14:schemeClr w14:val="tx1"/>
                        </w14:solidFill>
                      </w14:textFill>
                    </w:rPr>
                    <w:t>气、生物质颗粒</w:t>
                  </w:r>
                  <w:r>
                    <w:rPr>
                      <w:rFonts w:hint="default" w:ascii="Times New Roman" w:hAnsi="Times New Roman" w:eastAsia="宋体" w:cs="Times New Roman"/>
                      <w:bCs/>
                      <w:color w:val="000000" w:themeColor="text1"/>
                      <w:szCs w:val="21"/>
                      <w:lang w:val="en-US" w:eastAsia="zh-CN"/>
                      <w14:textFill>
                        <w14:solidFill>
                          <w14:schemeClr w14:val="tx1"/>
                        </w14:solidFill>
                      </w14:textFill>
                    </w:rPr>
                    <w:t>作为燃料，不使用燃煤。</w:t>
                  </w:r>
                </w:p>
              </w:tc>
              <w:tc>
                <w:tcPr>
                  <w:tcW w:w="392" w:type="pct"/>
                  <w:vAlign w:val="center"/>
                </w:tcPr>
                <w:p w14:paraId="6B999282">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符合</w:t>
                  </w:r>
                </w:p>
              </w:tc>
            </w:tr>
            <w:tr w14:paraId="1B8AE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vAlign w:val="center"/>
                </w:tcPr>
                <w:p w14:paraId="22DC2FD2">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实施污染深度治理。推进工业炉窑全面达标排放。</w:t>
                  </w:r>
                </w:p>
                <w:p w14:paraId="5CD69D4D">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p>
              </w:tc>
              <w:tc>
                <w:tcPr>
                  <w:tcW w:w="2130" w:type="pct"/>
                  <w:vAlign w:val="center"/>
                </w:tcPr>
                <w:p w14:paraId="0D02DF95">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已有行业排放标准的工业炉窑，严格执行行业排放标准相关规定，配套建设高效脱硫脱硝除尘设施，确保稳定达标排放。已制定更严格地方排放标准的，按地方标准执行。重点区域钢铁、水泥、焦化、石化、化工、有色等行业，二氧化硫、氮氧化物、颗粒物、挥发性有机物（VOCs）排放全面执行大气污染物特别排放限值。已核发排污许可证的，应严格执行许可要求</w:t>
                  </w:r>
                </w:p>
                <w:p w14:paraId="69F4DF27">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p>
              </w:tc>
              <w:tc>
                <w:tcPr>
                  <w:tcW w:w="1931" w:type="pct"/>
                  <w:vAlign w:val="center"/>
                </w:tcPr>
                <w:p w14:paraId="76EC3272">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本项目严格执行相关标准要求，本项目已配套设置高效环保治理设施，根据《排放源统计调查产排污核算方法和系数手册》（公告2021年第24号）“旋风+布袋+喷淋”</w:t>
                  </w:r>
                  <w:r>
                    <w:rPr>
                      <w:rFonts w:hint="eastAsia" w:cs="Times New Roman"/>
                      <w:bCs/>
                      <w:color w:val="000000" w:themeColor="text1"/>
                      <w:szCs w:val="21"/>
                      <w:lang w:val="en-US" w:eastAsia="zh-CN"/>
                      <w14:textFill>
                        <w14:solidFill>
                          <w14:schemeClr w14:val="tx1"/>
                        </w14:solidFill>
                      </w14:textFill>
                    </w:rPr>
                    <w:t>设施</w:t>
                  </w:r>
                  <w:r>
                    <w:rPr>
                      <w:rFonts w:hint="default" w:ascii="Times New Roman" w:hAnsi="Times New Roman" w:eastAsia="宋体" w:cs="Times New Roman"/>
                      <w:bCs/>
                      <w:color w:val="000000" w:themeColor="text1"/>
                      <w:szCs w:val="21"/>
                      <w:lang w:val="en-US" w:eastAsia="zh-CN"/>
                      <w14:textFill>
                        <w14:solidFill>
                          <w14:schemeClr w14:val="tx1"/>
                        </w14:solidFill>
                      </w14:textFill>
                    </w:rPr>
                    <w:t>颗粒物治理效率99.7%，二氧化硫80%；</w:t>
                  </w:r>
                  <w:r>
                    <w:rPr>
                      <w:rFonts w:hint="eastAsia" w:cs="Times New Roman"/>
                      <w:bCs/>
                      <w:color w:val="000000" w:themeColor="text1"/>
                      <w:szCs w:val="21"/>
                      <w:lang w:val="en-US" w:eastAsia="zh-CN"/>
                      <w14:textFill>
                        <w14:solidFill>
                          <w14:schemeClr w14:val="tx1"/>
                        </w14:solidFill>
                      </w14:textFill>
                    </w:rPr>
                    <w:t>非甲烷总烃</w:t>
                  </w:r>
                  <w:r>
                    <w:rPr>
                      <w:rFonts w:hint="default" w:ascii="Times New Roman" w:hAnsi="Times New Roman" w:eastAsia="宋体" w:cs="Times New Roman"/>
                      <w:bCs/>
                      <w:color w:val="000000" w:themeColor="text1"/>
                      <w:szCs w:val="21"/>
                      <w:lang w:val="en-US" w:eastAsia="zh-CN"/>
                      <w14:textFill>
                        <w14:solidFill>
                          <w14:schemeClr w14:val="tx1"/>
                        </w14:solidFill>
                      </w14:textFill>
                    </w:rPr>
                    <w:t>引入焚烧炉进行热力焚烧</w:t>
                  </w:r>
                  <w:r>
                    <w:rPr>
                      <w:rFonts w:hint="eastAsia" w:cs="Times New Roman"/>
                      <w:bCs/>
                      <w:color w:val="000000" w:themeColor="text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Cs w:val="21"/>
                      <w:lang w:val="en-US" w:eastAsia="zh-CN"/>
                      <w14:textFill>
                        <w14:solidFill>
                          <w14:schemeClr w14:val="tx1"/>
                        </w14:solidFill>
                      </w14:textFill>
                    </w:rPr>
                    <w:t>非甲烷总烃治理效率85%</w:t>
                  </w:r>
                  <w:r>
                    <w:rPr>
                      <w:rFonts w:hint="eastAsia" w:cs="Times New Roman"/>
                      <w:bCs/>
                      <w:color w:val="000000" w:themeColor="text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Cs w:val="21"/>
                      <w:lang w:val="en-US" w:eastAsia="zh-CN"/>
                      <w14:textFill>
                        <w14:solidFill>
                          <w14:schemeClr w14:val="tx1"/>
                        </w14:solidFill>
                      </w14:textFill>
                    </w:rPr>
                    <w:t>脉冲滤筒除尘器颗粒物治理效率95%。</w:t>
                  </w:r>
                </w:p>
              </w:tc>
              <w:tc>
                <w:tcPr>
                  <w:tcW w:w="392" w:type="pct"/>
                  <w:vAlign w:val="center"/>
                </w:tcPr>
                <w:p w14:paraId="27DF736F">
                  <w:pPr>
                    <w:pageBreakBefore w:val="0"/>
                    <w:kinsoku/>
                    <w:overflowPunct/>
                    <w:topLinePunct w:val="0"/>
                    <w:bidi w:val="0"/>
                    <w:ind w:left="0" w:leftChars="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符合</w:t>
                  </w:r>
                </w:p>
              </w:tc>
            </w:tr>
          </w:tbl>
          <w:p w14:paraId="4C49CC7D">
            <w:pPr>
              <w:pStyle w:val="32"/>
              <w:spacing w:line="360" w:lineRule="auto"/>
              <w:ind w:firstLine="482"/>
              <w:jc w:val="left"/>
              <w:textAlignment w:val="center"/>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7</w:t>
            </w:r>
            <w:r>
              <w:rPr>
                <w:rFonts w:hint="default" w:ascii="Times New Roman" w:hAnsi="Times New Roman" w:cs="Times New Roman"/>
                <w:b/>
                <w:bCs/>
                <w:color w:val="000000" w:themeColor="text1"/>
                <w:sz w:val="24"/>
                <w14:textFill>
                  <w14:solidFill>
                    <w14:schemeClr w14:val="tx1"/>
                  </w14:solidFill>
                </w14:textFill>
              </w:rPr>
              <w:t>、与《玉溪市“十四五”生态建设和环境保护规划（2021-2025年）》符合性分析</w:t>
            </w:r>
          </w:p>
          <w:p w14:paraId="2F828832">
            <w:pPr>
              <w:tabs>
                <w:tab w:val="left" w:pos="4830"/>
              </w:tabs>
              <w:jc w:val="center"/>
              <w:rPr>
                <w:rFonts w:hint="default" w:ascii="Times New Roman" w:hAnsi="Times New Roman" w:cs="Times New Roman"/>
                <w:b/>
                <w:bCs/>
                <w:color w:val="000000" w:themeColor="text1"/>
                <w:sz w:val="22"/>
                <w:szCs w:val="20"/>
                <w14:textFill>
                  <w14:solidFill>
                    <w14:schemeClr w14:val="tx1"/>
                  </w14:solidFill>
                </w14:textFill>
              </w:rPr>
            </w:pPr>
            <w:r>
              <w:rPr>
                <w:rFonts w:hint="default" w:ascii="Times New Roman" w:hAnsi="Times New Roman" w:cs="Times New Roman"/>
                <w:b/>
                <w:bCs/>
                <w:color w:val="000000" w:themeColor="text1"/>
                <w:sz w:val="22"/>
                <w:szCs w:val="20"/>
                <w14:textFill>
                  <w14:solidFill>
                    <w14:schemeClr w14:val="tx1"/>
                  </w14:solidFill>
                </w14:textFill>
              </w:rPr>
              <w:t>表1-</w:t>
            </w:r>
            <w:r>
              <w:rPr>
                <w:rFonts w:hint="default" w:ascii="Times New Roman" w:hAnsi="Times New Roman" w:cs="Times New Roman"/>
                <w:b/>
                <w:bCs/>
                <w:color w:val="000000" w:themeColor="text1"/>
                <w:sz w:val="22"/>
                <w:szCs w:val="20"/>
                <w:lang w:val="en-US" w:eastAsia="zh-CN"/>
                <w14:textFill>
                  <w14:solidFill>
                    <w14:schemeClr w14:val="tx1"/>
                  </w14:solidFill>
                </w14:textFill>
              </w:rPr>
              <w:t>7</w:t>
            </w:r>
            <w:r>
              <w:rPr>
                <w:rFonts w:hint="default" w:ascii="Times New Roman" w:hAnsi="Times New Roman" w:cs="Times New Roman"/>
                <w:b/>
                <w:bCs/>
                <w:color w:val="000000" w:themeColor="text1"/>
                <w:sz w:val="22"/>
                <w:szCs w:val="20"/>
                <w14:textFill>
                  <w14:solidFill>
                    <w14:schemeClr w14:val="tx1"/>
                  </w14:solidFill>
                </w14:textFill>
              </w:rPr>
              <w:t>项目与《玉溪市“十四五”生态建设和环境保护规划（2021-2025年）》符合性分析一览表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0"/>
              <w:gridCol w:w="2325"/>
              <w:gridCol w:w="701"/>
            </w:tblGrid>
            <w:tr w14:paraId="3DCF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923" w:type="pct"/>
                  <w:vAlign w:val="center"/>
                </w:tcPr>
                <w:p w14:paraId="691DC01D">
                  <w:pPr>
                    <w:tabs>
                      <w:tab w:val="left" w:pos="4830"/>
                    </w:tabs>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法律规定保护要求</w:t>
                  </w:r>
                </w:p>
              </w:tc>
              <w:tc>
                <w:tcPr>
                  <w:tcW w:w="1595" w:type="pct"/>
                  <w:vAlign w:val="center"/>
                </w:tcPr>
                <w:p w14:paraId="2CAD5CF9">
                  <w:pPr>
                    <w:tabs>
                      <w:tab w:val="left" w:pos="4830"/>
                    </w:tabs>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本项目情况</w:t>
                  </w:r>
                </w:p>
              </w:tc>
              <w:tc>
                <w:tcPr>
                  <w:tcW w:w="481" w:type="pct"/>
                  <w:vAlign w:val="center"/>
                </w:tcPr>
                <w:p w14:paraId="795FA171">
                  <w:pPr>
                    <w:tabs>
                      <w:tab w:val="left" w:pos="4830"/>
                    </w:tabs>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符合性</w:t>
                  </w:r>
                </w:p>
              </w:tc>
            </w:tr>
            <w:tr w14:paraId="6D68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3" w:type="pct"/>
                  <w:vAlign w:val="center"/>
                </w:tcPr>
                <w:p w14:paraId="0108DE2E">
                  <w:pPr>
                    <w:tabs>
                      <w:tab w:val="left" w:pos="4830"/>
                    </w:tab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一、加快构建现代化产业体系。</w:t>
                  </w:r>
                </w:p>
                <w:p w14:paraId="5F25D912">
                  <w:pPr>
                    <w:tabs>
                      <w:tab w:val="left" w:pos="4830"/>
                    </w:tab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lang w:val="en-US" w:eastAsia="zh-CN"/>
                      <w14:textFill>
                        <w14:solidFill>
                          <w14:schemeClr w14:val="tx1"/>
                        </w14:solidFill>
                      </w14:textFill>
                    </w:rPr>
                    <w:t>（二）矿冶产业</w:t>
                  </w:r>
                </w:p>
                <w:p w14:paraId="34B9CE28">
                  <w:pPr>
                    <w:tabs>
                      <w:tab w:val="left" w:pos="4830"/>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落实碳达峰、碳中和决策部署，严格实行能源消费强度和总量双控，加快节能降碳工艺革新，推进矿冶产业向开放型、创新型和绿色化、信息化、高端化发展。以产业兼并重组、淘汰落后产能和技术升级改造为抓手，推动矿山、冶炼、加工全链条发展，加快钢铁行业转型升级，建成现代化“绿色钢城”。优化发展化工产业，严格控制黄磷产能规模，鼓励发展黄磷深加工和磷酸精细加工为主的精细化工产业，延伸产业链，提高资源综合利用水平和环境综合治理能力。</w:t>
                  </w:r>
                </w:p>
              </w:tc>
              <w:tc>
                <w:tcPr>
                  <w:tcW w:w="1595" w:type="pct"/>
                  <w:vAlign w:val="center"/>
                </w:tcPr>
                <w:p w14:paraId="472EAC7B">
                  <w:pPr>
                    <w:tabs>
                      <w:tab w:val="left" w:pos="4830"/>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本项目为</w:t>
                  </w:r>
                  <w:r>
                    <w:rPr>
                      <w:rFonts w:hint="eastAsia" w:ascii="Times New Roman" w:hAnsi="Times New Roman" w:cs="Times New Roman"/>
                      <w:color w:val="000000" w:themeColor="text1"/>
                      <w:szCs w:val="21"/>
                      <w:lang w:eastAsia="zh-CN"/>
                      <w14:textFill>
                        <w14:solidFill>
                          <w14:schemeClr w14:val="tx1"/>
                        </w14:solidFill>
                      </w14:textFill>
                    </w:rPr>
                    <w:t>液化石油气钢瓶</w:t>
                  </w:r>
                  <w:r>
                    <w:rPr>
                      <w:rFonts w:hint="default" w:ascii="Times New Roman" w:hAnsi="Times New Roman" w:eastAsia="宋体" w:cs="Times New Roman"/>
                      <w:color w:val="000000" w:themeColor="text1"/>
                      <w:szCs w:val="21"/>
                      <w:lang w:eastAsia="zh-CN"/>
                      <w14:textFill>
                        <w14:solidFill>
                          <w14:schemeClr w14:val="tx1"/>
                        </w14:solidFill>
                      </w14:textFill>
                    </w:rPr>
                    <w:t>检测</w:t>
                  </w:r>
                  <w:r>
                    <w:rPr>
                      <w:rFonts w:hint="default" w:ascii="Times New Roman" w:hAnsi="Times New Roman" w:eastAsia="宋体" w:cs="Times New Roman"/>
                      <w:color w:val="000000" w:themeColor="text1"/>
                      <w:szCs w:val="21"/>
                      <w14:textFill>
                        <w14:solidFill>
                          <w14:schemeClr w14:val="tx1"/>
                        </w14:solidFill>
                      </w14:textFill>
                    </w:rPr>
                    <w:t>项目</w:t>
                  </w:r>
                  <w:r>
                    <w:rPr>
                      <w:rFonts w:hint="default" w:ascii="Times New Roman" w:hAnsi="Times New Roman" w:cs="Times New Roman"/>
                      <w:bCs/>
                      <w:color w:val="000000" w:themeColor="text1"/>
                      <w:szCs w:val="21"/>
                      <w14:textFill>
                        <w14:solidFill>
                          <w14:schemeClr w14:val="tx1"/>
                        </w14:solidFill>
                      </w14:textFill>
                    </w:rPr>
                    <w:t>，</w:t>
                  </w:r>
                  <w:r>
                    <w:rPr>
                      <w:rFonts w:hint="default" w:ascii="Times New Roman" w:hAnsi="Times New Roman" w:cs="Times New Roman"/>
                      <w:bCs/>
                      <w:color w:val="000000" w:themeColor="text1"/>
                      <w:szCs w:val="21"/>
                      <w:lang w:eastAsia="zh-CN"/>
                      <w14:textFill>
                        <w14:solidFill>
                          <w14:schemeClr w14:val="tx1"/>
                        </w14:solidFill>
                      </w14:textFill>
                    </w:rPr>
                    <w:t>废旧</w:t>
                  </w:r>
                  <w:r>
                    <w:rPr>
                      <w:rFonts w:hint="eastAsia" w:ascii="Times New Roman" w:hAnsi="Times New Roman" w:cs="Times New Roman"/>
                      <w:bCs/>
                      <w:color w:val="000000" w:themeColor="text1"/>
                      <w:szCs w:val="21"/>
                      <w:lang w:eastAsia="zh-CN"/>
                      <w14:textFill>
                        <w14:solidFill>
                          <w14:schemeClr w14:val="tx1"/>
                        </w14:solidFill>
                      </w14:textFill>
                    </w:rPr>
                    <w:t>液化石油气钢瓶</w:t>
                  </w:r>
                  <w:r>
                    <w:rPr>
                      <w:rFonts w:hint="default" w:ascii="Times New Roman" w:hAnsi="Times New Roman" w:cs="Times New Roman"/>
                      <w:bCs/>
                      <w:color w:val="000000" w:themeColor="text1"/>
                      <w:szCs w:val="21"/>
                      <w:lang w:eastAsia="zh-CN"/>
                      <w14:textFill>
                        <w14:solidFill>
                          <w14:schemeClr w14:val="tx1"/>
                        </w14:solidFill>
                      </w14:textFill>
                    </w:rPr>
                    <w:t>破碎后外售周边钢铁企业，为钢铁企业下游产业，能够为</w:t>
                  </w:r>
                  <w:r>
                    <w:rPr>
                      <w:rFonts w:hint="default" w:ascii="Times New Roman" w:hAnsi="Times New Roman" w:eastAsia="宋体" w:cs="Times New Roman"/>
                      <w:color w:val="000000" w:themeColor="text1"/>
                      <w:szCs w:val="21"/>
                      <w:lang w:val="en-US" w:eastAsia="zh-CN"/>
                      <w14:textFill>
                        <w14:solidFill>
                          <w14:schemeClr w14:val="tx1"/>
                        </w14:solidFill>
                      </w14:textFill>
                    </w:rPr>
                    <w:t>建成现代化“绿色钢城”添砖加瓦。</w:t>
                  </w:r>
                </w:p>
              </w:tc>
              <w:tc>
                <w:tcPr>
                  <w:tcW w:w="481" w:type="pct"/>
                  <w:vAlign w:val="center"/>
                </w:tcPr>
                <w:p w14:paraId="67672831">
                  <w:pPr>
                    <w:tabs>
                      <w:tab w:val="left" w:pos="4830"/>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3D49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3" w:type="pct"/>
                  <w:vAlign w:val="center"/>
                </w:tcPr>
                <w:p w14:paraId="03AD8899">
                  <w:pPr>
                    <w:tabs>
                      <w:tab w:val="left" w:pos="4830"/>
                    </w:tabs>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二、严控产业准入门槛</w:t>
                  </w:r>
                </w:p>
                <w:p w14:paraId="4941CAFA">
                  <w:pPr>
                    <w:tabs>
                      <w:tab w:val="left" w:pos="4830"/>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调整优化产业结构，推进产业绿色发展。加快完成生态保护红线、环境质量底线、资源利用上线、环境准入清单编制工作，明确禁止和限制发展的行业、生产工艺和产业目录。修订完善高耗能、高污染和资源型行业准入条件，制订更严格的产业准入门槛</w:t>
                  </w:r>
                </w:p>
              </w:tc>
              <w:tc>
                <w:tcPr>
                  <w:tcW w:w="1595" w:type="pct"/>
                  <w:vAlign w:val="center"/>
                </w:tcPr>
                <w:p w14:paraId="40A8859D">
                  <w:pPr>
                    <w:tabs>
                      <w:tab w:val="left" w:pos="4830"/>
                    </w:tabs>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本项目位于玉溪市红塔区研和街道可官社区可官一组，属于云南红塔产业园区研和片区地块三，符合用地规划。</w:t>
                  </w:r>
                  <w:r>
                    <w:rPr>
                      <w:rFonts w:hint="default" w:ascii="Times New Roman" w:hAnsi="Times New Roman" w:eastAsia="宋体" w:cs="Times New Roman"/>
                      <w:bCs/>
                      <w:color w:val="000000" w:themeColor="text1"/>
                      <w:szCs w:val="21"/>
                      <w:lang w:eastAsia="zh-CN"/>
                      <w14:textFill>
                        <w14:solidFill>
                          <w14:schemeClr w14:val="tx1"/>
                        </w14:solidFill>
                      </w14:textFill>
                    </w:rPr>
                    <w:t>本项目为</w:t>
                  </w:r>
                  <w:r>
                    <w:rPr>
                      <w:rFonts w:hint="eastAsia" w:ascii="Times New Roman" w:hAnsi="Times New Roman" w:cs="Times New Roman"/>
                      <w:bCs/>
                      <w:color w:val="000000" w:themeColor="text1"/>
                      <w:szCs w:val="21"/>
                      <w:lang w:eastAsia="zh-CN"/>
                      <w14:textFill>
                        <w14:solidFill>
                          <w14:schemeClr w14:val="tx1"/>
                        </w14:solidFill>
                      </w14:textFill>
                    </w:rPr>
                    <w:t>液化石油气钢瓶</w:t>
                  </w:r>
                  <w:r>
                    <w:rPr>
                      <w:rFonts w:hint="default" w:ascii="Times New Roman" w:hAnsi="Times New Roman" w:eastAsia="宋体" w:cs="Times New Roman"/>
                      <w:bCs/>
                      <w:color w:val="000000" w:themeColor="text1"/>
                      <w:szCs w:val="21"/>
                      <w:lang w:eastAsia="zh-CN"/>
                      <w14:textFill>
                        <w14:solidFill>
                          <w14:schemeClr w14:val="tx1"/>
                        </w14:solidFill>
                      </w14:textFill>
                    </w:rPr>
                    <w:t>检测项目，</w:t>
                  </w:r>
                  <w:r>
                    <w:rPr>
                      <w:rFonts w:hint="default" w:ascii="Times New Roman" w:hAnsi="Times New Roman" w:eastAsia="宋体" w:cs="Times New Roman"/>
                      <w:bCs/>
                      <w:color w:val="000000" w:themeColor="text1"/>
                      <w:szCs w:val="21"/>
                      <w:lang w:val="en-US" w:eastAsia="zh-CN"/>
                      <w14:textFill>
                        <w14:solidFill>
                          <w14:schemeClr w14:val="tx1"/>
                        </w14:solidFill>
                      </w14:textFill>
                    </w:rPr>
                    <w:t>符合园区总体规划及产业定位和布局。</w:t>
                  </w:r>
                </w:p>
              </w:tc>
              <w:tc>
                <w:tcPr>
                  <w:tcW w:w="481" w:type="pct"/>
                  <w:vAlign w:val="center"/>
                </w:tcPr>
                <w:p w14:paraId="108AB9EF">
                  <w:pPr>
                    <w:tabs>
                      <w:tab w:val="left" w:pos="4830"/>
                    </w:tabs>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eastAsia="zh-CN"/>
                      <w14:textFill>
                        <w14:solidFill>
                          <w14:schemeClr w14:val="tx1"/>
                        </w14:solidFill>
                      </w14:textFill>
                    </w:rPr>
                    <w:t>符合</w:t>
                  </w:r>
                </w:p>
              </w:tc>
            </w:tr>
            <w:tr w14:paraId="03EBC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3" w:type="pct"/>
                  <w:vAlign w:val="center"/>
                </w:tcPr>
                <w:p w14:paraId="315A65A5">
                  <w:pPr>
                    <w:tabs>
                      <w:tab w:val="left" w:pos="4830"/>
                    </w:tabs>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三、淘汰落后产能</w:t>
                  </w:r>
                </w:p>
                <w:p w14:paraId="1D49B51C">
                  <w:pPr>
                    <w:tabs>
                      <w:tab w:val="left" w:pos="4830"/>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认真落实产业政策，严格环境影响评价，坚决遏制高耗能高排放项目盲目发展，加快淘汰落后产能，推动产业结构优化升级。严格执行质量、环保、能耗、安全等法规标准，加大钢铁、水泥熟料等行业落后产能淘汰和过剩产能压减力度。推进建材行业绿色发展，鼓励行业产能整合，严格落实水泥行业产能置换政策，到2025年，全市现有日产2000吨以下的新型干法水泥生产线全部淘汰。淘汰磷化工生产工艺落后、污染严重、不具备安全生产条件的落后产能，提高磷化工产业聚集度。建设高浓度磷复肥生产基地，发展高浓度磷复肥。</w:t>
                  </w:r>
                </w:p>
              </w:tc>
              <w:tc>
                <w:tcPr>
                  <w:tcW w:w="1595" w:type="pct"/>
                  <w:vAlign w:val="center"/>
                </w:tcPr>
                <w:p w14:paraId="0D7A9D1C">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eastAsia="zh-CN"/>
                      <w14:textFill>
                        <w14:solidFill>
                          <w14:schemeClr w14:val="tx1"/>
                        </w14:solidFill>
                      </w14:textFill>
                    </w:rPr>
                    <w:t>本</w:t>
                  </w:r>
                  <w:r>
                    <w:rPr>
                      <w:rFonts w:hint="default" w:ascii="Times New Roman" w:hAnsi="Times New Roman" w:cs="Times New Roman"/>
                      <w:bCs/>
                      <w:color w:val="000000" w:themeColor="text1"/>
                      <w:szCs w:val="21"/>
                      <w14:textFill>
                        <w14:solidFill>
                          <w14:schemeClr w14:val="tx1"/>
                        </w14:solidFill>
                      </w14:textFill>
                    </w:rPr>
                    <w:t>项目为</w:t>
                  </w:r>
                  <w:r>
                    <w:rPr>
                      <w:rFonts w:hint="eastAsia" w:ascii="Times New Roman" w:hAnsi="Times New Roman" w:cs="Times New Roman"/>
                      <w:bCs/>
                      <w:color w:val="000000" w:themeColor="text1"/>
                      <w:szCs w:val="21"/>
                      <w:lang w:eastAsia="zh-CN"/>
                      <w14:textFill>
                        <w14:solidFill>
                          <w14:schemeClr w14:val="tx1"/>
                        </w14:solidFill>
                      </w14:textFill>
                    </w:rPr>
                    <w:t>液化石油气钢瓶</w:t>
                  </w:r>
                  <w:r>
                    <w:rPr>
                      <w:rFonts w:hint="default" w:ascii="Times New Roman" w:hAnsi="Times New Roman" w:cs="Times New Roman"/>
                      <w:bCs/>
                      <w:color w:val="000000" w:themeColor="text1"/>
                      <w:szCs w:val="21"/>
                      <w:lang w:eastAsia="zh-CN"/>
                      <w14:textFill>
                        <w14:solidFill>
                          <w14:schemeClr w14:val="tx1"/>
                        </w14:solidFill>
                      </w14:textFill>
                    </w:rPr>
                    <w:t>检测项目，</w:t>
                  </w:r>
                  <w:r>
                    <w:rPr>
                      <w:rFonts w:hint="default" w:ascii="Times New Roman" w:hAnsi="Times New Roman" w:cs="Times New Roman"/>
                      <w:color w:val="000000" w:themeColor="text1"/>
                      <w:szCs w:val="21"/>
                      <w14:textFill>
                        <w14:solidFill>
                          <w14:schemeClr w14:val="tx1"/>
                        </w14:solidFill>
                      </w14:textFill>
                    </w:rPr>
                    <w:t>本项目为不属于法律法规和相关政策明令禁止的落后产能项目。不属于国家产能置换要求的严重过剩产能行业的项目，不属于高耗能高排放项目。</w:t>
                  </w:r>
                </w:p>
              </w:tc>
              <w:tc>
                <w:tcPr>
                  <w:tcW w:w="481" w:type="pct"/>
                  <w:vAlign w:val="center"/>
                </w:tcPr>
                <w:p w14:paraId="2A5DFC7E">
                  <w:pPr>
                    <w:tabs>
                      <w:tab w:val="left" w:pos="4830"/>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bl>
          <w:p w14:paraId="4A2632CC">
            <w:pPr>
              <w:pStyle w:val="32"/>
              <w:spacing w:line="360" w:lineRule="auto"/>
              <w:ind w:firstLine="482"/>
              <w:jc w:val="left"/>
              <w:textAlignment w:val="center"/>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8</w:t>
            </w:r>
            <w:r>
              <w:rPr>
                <w:rFonts w:hint="default" w:ascii="Times New Roman" w:hAnsi="Times New Roman" w:cs="Times New Roman"/>
                <w:b/>
                <w:bCs/>
                <w:color w:val="000000" w:themeColor="text1"/>
                <w:sz w:val="24"/>
                <w14:textFill>
                  <w14:solidFill>
                    <w14:schemeClr w14:val="tx1"/>
                  </w14:solidFill>
                </w14:textFill>
              </w:rPr>
              <w:t>、与《云南省关于深入打好污染防治攻坚战的实施方案》符合性分析</w:t>
            </w:r>
          </w:p>
          <w:p w14:paraId="57FB0488">
            <w:pPr>
              <w:tabs>
                <w:tab w:val="left" w:pos="4830"/>
              </w:tabs>
              <w:jc w:val="center"/>
              <w:rPr>
                <w:rFonts w:hint="default" w:ascii="Times New Roman" w:hAnsi="Times New Roman" w:cs="Times New Roman"/>
                <w:b/>
                <w:bCs/>
                <w:color w:val="000000" w:themeColor="text1"/>
                <w:sz w:val="21"/>
                <w:szCs w:val="18"/>
                <w14:textFill>
                  <w14:solidFill>
                    <w14:schemeClr w14:val="tx1"/>
                  </w14:solidFill>
                </w14:textFill>
              </w:rPr>
            </w:pPr>
          </w:p>
          <w:p w14:paraId="519469FF">
            <w:pPr>
              <w:tabs>
                <w:tab w:val="left" w:pos="4830"/>
              </w:tabs>
              <w:jc w:val="center"/>
              <w:rPr>
                <w:rFonts w:hint="default" w:ascii="Times New Roman" w:hAnsi="Times New Roman" w:cs="Times New Roman"/>
                <w:b/>
                <w:bCs/>
                <w:color w:val="000000" w:themeColor="text1"/>
                <w:sz w:val="21"/>
                <w:szCs w:val="18"/>
                <w14:textFill>
                  <w14:solidFill>
                    <w14:schemeClr w14:val="tx1"/>
                  </w14:solidFill>
                </w14:textFill>
              </w:rPr>
            </w:pPr>
            <w:r>
              <w:rPr>
                <w:rFonts w:hint="default" w:ascii="Times New Roman" w:hAnsi="Times New Roman" w:cs="Times New Roman"/>
                <w:b/>
                <w:bCs/>
                <w:color w:val="000000" w:themeColor="text1"/>
                <w:sz w:val="21"/>
                <w:szCs w:val="18"/>
                <w14:textFill>
                  <w14:solidFill>
                    <w14:schemeClr w14:val="tx1"/>
                  </w14:solidFill>
                </w14:textFill>
              </w:rPr>
              <w:t>表1-</w:t>
            </w:r>
            <w:r>
              <w:rPr>
                <w:rFonts w:hint="default" w:ascii="Times New Roman" w:hAnsi="Times New Roman" w:cs="Times New Roman"/>
                <w:b/>
                <w:bCs/>
                <w:color w:val="000000" w:themeColor="text1"/>
                <w:sz w:val="21"/>
                <w:szCs w:val="18"/>
                <w:lang w:val="en-US" w:eastAsia="zh-CN"/>
                <w14:textFill>
                  <w14:solidFill>
                    <w14:schemeClr w14:val="tx1"/>
                  </w14:solidFill>
                </w14:textFill>
              </w:rPr>
              <w:t>8</w:t>
            </w:r>
            <w:r>
              <w:rPr>
                <w:rFonts w:hint="default" w:ascii="Times New Roman" w:hAnsi="Times New Roman" w:cs="Times New Roman"/>
                <w:b/>
                <w:bCs/>
                <w:color w:val="000000" w:themeColor="text1"/>
                <w:sz w:val="21"/>
                <w:szCs w:val="18"/>
                <w14:textFill>
                  <w14:solidFill>
                    <w14:schemeClr w14:val="tx1"/>
                  </w14:solidFill>
                </w14:textFill>
              </w:rPr>
              <w:t>项目与《云南省关于深入打好污染防治攻坚战的实施方案》符合性分析</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367"/>
              <w:gridCol w:w="2415"/>
              <w:gridCol w:w="784"/>
            </w:tblGrid>
            <w:tr w14:paraId="3B2F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804" w:type="pct"/>
                  <w:gridSpan w:val="2"/>
                  <w:vAlign w:val="center"/>
                </w:tcPr>
                <w:p w14:paraId="146C3BBB">
                  <w:pPr>
                    <w:tabs>
                      <w:tab w:val="left" w:pos="4830"/>
                    </w:tabs>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法规要求</w:t>
                  </w:r>
                </w:p>
              </w:tc>
              <w:tc>
                <w:tcPr>
                  <w:tcW w:w="1657" w:type="pct"/>
                  <w:vAlign w:val="center"/>
                </w:tcPr>
                <w:p w14:paraId="4FD9E6F5">
                  <w:pPr>
                    <w:tabs>
                      <w:tab w:val="left" w:pos="4830"/>
                    </w:tabs>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本项目保护情况</w:t>
                  </w:r>
                </w:p>
              </w:tc>
              <w:tc>
                <w:tcPr>
                  <w:tcW w:w="538" w:type="pct"/>
                  <w:vAlign w:val="center"/>
                </w:tcPr>
                <w:p w14:paraId="16A3E854">
                  <w:pPr>
                    <w:tabs>
                      <w:tab w:val="left" w:pos="4830"/>
                    </w:tabs>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符合性</w:t>
                  </w:r>
                </w:p>
              </w:tc>
            </w:tr>
            <w:tr w14:paraId="0BF78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pct"/>
                  <w:vMerge w:val="restart"/>
                  <w:vAlign w:val="center"/>
                </w:tcPr>
                <w:p w14:paraId="615F005E">
                  <w:pPr>
                    <w:tabs>
                      <w:tab w:val="left" w:pos="4830"/>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shd w:val="clear" w:color="auto" w:fill="FFFFFF"/>
                      <w14:textFill>
                        <w14:solidFill>
                          <w14:schemeClr w14:val="tx1"/>
                        </w14:solidFill>
                      </w14:textFill>
                    </w:rPr>
                    <w:t>加快推动绿色高质量发展</w:t>
                  </w:r>
                </w:p>
              </w:tc>
              <w:tc>
                <w:tcPr>
                  <w:tcW w:w="2310" w:type="pct"/>
                  <w:vAlign w:val="center"/>
                </w:tcPr>
                <w:p w14:paraId="7B463C01">
                  <w:pPr>
                    <w:tabs>
                      <w:tab w:val="left" w:pos="4830"/>
                    </w:tabs>
                    <w:jc w:val="center"/>
                    <w:rPr>
                      <w:rFonts w:hint="default" w:ascii="Times New Roman" w:hAnsi="Times New Roman" w:cs="Times New Roman"/>
                      <w:b/>
                      <w:bCs/>
                      <w:color w:val="000000" w:themeColor="text1"/>
                      <w:szCs w:val="21"/>
                      <w:shd w:val="clear" w:color="auto" w:fill="FFFFFF"/>
                      <w14:textFill>
                        <w14:solidFill>
                          <w14:schemeClr w14:val="tx1"/>
                        </w14:solidFill>
                      </w14:textFill>
                    </w:rPr>
                  </w:pPr>
                  <w:r>
                    <w:rPr>
                      <w:rFonts w:hint="default" w:ascii="Times New Roman" w:hAnsi="Times New Roman" w:cs="Times New Roman"/>
                      <w:color w:val="000000" w:themeColor="text1"/>
                      <w:szCs w:val="21"/>
                      <w:shd w:val="clear" w:color="auto" w:fill="FFFFFF"/>
                      <w14:textFill>
                        <w14:solidFill>
                          <w14:schemeClr w14:val="tx1"/>
                        </w14:solidFill>
                      </w14:textFill>
                    </w:rPr>
                    <w:t>推进清洁生产和能源资源节约高效利用。引导重点行业深入实施清洁生产改造。大力推行绿色制造，加快构建资源循环利用体系。强化能源和水资源“双控”，提高利用效率。实施节水行动，推进县域节水型社会达标建设。</w:t>
                  </w:r>
                </w:p>
              </w:tc>
              <w:tc>
                <w:tcPr>
                  <w:tcW w:w="1657" w:type="pct"/>
                  <w:vAlign w:val="center"/>
                </w:tcPr>
                <w:p w14:paraId="18CFB72E">
                  <w:pPr>
                    <w:keepLines/>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本项目通过水资源循环使用，提供利用效率。</w:t>
                  </w:r>
                </w:p>
                <w:p w14:paraId="4C1393DA">
                  <w:pPr>
                    <w:keepLines/>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本项目生产过程中</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水压试验、气密试验用水</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循环使用，不外排；喷淋塔定期补充新鲜水，循环使用，废液每年更换一次，废液经收集后暂存于危废暂存间，定期交由有危废资质的单位进行处置。</w:t>
                  </w:r>
                </w:p>
                <w:p w14:paraId="7C9E7898">
                  <w:pPr>
                    <w:keepLines/>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项目收集的液化气残液用于烘干固化炉作为燃料使用，提高能源利源效率。</w:t>
                  </w:r>
                </w:p>
              </w:tc>
              <w:tc>
                <w:tcPr>
                  <w:tcW w:w="538" w:type="pct"/>
                  <w:vAlign w:val="center"/>
                </w:tcPr>
                <w:p w14:paraId="7CC1FF71">
                  <w:pPr>
                    <w:tabs>
                      <w:tab w:val="left" w:pos="4830"/>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46FC7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pct"/>
                  <w:vMerge w:val="continue"/>
                  <w:vAlign w:val="center"/>
                </w:tcPr>
                <w:p w14:paraId="12F599FE">
                  <w:pPr>
                    <w:tabs>
                      <w:tab w:val="left" w:pos="4830"/>
                    </w:tabs>
                    <w:jc w:val="center"/>
                    <w:rPr>
                      <w:rFonts w:hint="default" w:ascii="Times New Roman" w:hAnsi="Times New Roman" w:cs="Times New Roman"/>
                      <w:color w:val="000000" w:themeColor="text1"/>
                      <w:szCs w:val="21"/>
                      <w:shd w:val="clear" w:color="auto" w:fill="FFFFFF"/>
                      <w14:textFill>
                        <w14:solidFill>
                          <w14:schemeClr w14:val="tx1"/>
                        </w14:solidFill>
                      </w14:textFill>
                    </w:rPr>
                  </w:pPr>
                </w:p>
              </w:tc>
              <w:tc>
                <w:tcPr>
                  <w:tcW w:w="2310" w:type="pct"/>
                  <w:vAlign w:val="center"/>
                </w:tcPr>
                <w:p w14:paraId="00AB9E68">
                  <w:pPr>
                    <w:tabs>
                      <w:tab w:val="left" w:pos="4830"/>
                    </w:tabs>
                    <w:jc w:val="center"/>
                    <w:rPr>
                      <w:rFonts w:hint="default" w:ascii="Times New Roman" w:hAnsi="Times New Roman" w:cs="Times New Roman"/>
                      <w:b/>
                      <w:bCs/>
                      <w:color w:val="000000" w:themeColor="text1"/>
                      <w:szCs w:val="21"/>
                      <w:shd w:val="clear" w:color="auto" w:fill="FFFFFF"/>
                      <w14:textFill>
                        <w14:solidFill>
                          <w14:schemeClr w14:val="tx1"/>
                        </w14:solidFill>
                      </w14:textFill>
                    </w:rPr>
                  </w:pPr>
                  <w:r>
                    <w:rPr>
                      <w:rFonts w:hint="default" w:ascii="Times New Roman" w:hAnsi="Times New Roman" w:cs="Times New Roman"/>
                      <w:color w:val="000000" w:themeColor="text1"/>
                      <w:szCs w:val="21"/>
                      <w:shd w:val="clear" w:color="auto" w:fill="FFFFFF"/>
                      <w14:textFill>
                        <w14:solidFill>
                          <w14:schemeClr w14:val="tx1"/>
                        </w14:solidFill>
                      </w14:textFill>
                    </w:rPr>
                    <w:t>加强生态环境分区管控。优化“三线一单”生态环境分区管控格局，细化落实分区管控要求，加强成果运用。严格规划环评审查和项目环评准入，健全以环评制度为主体的源头预防体系。</w:t>
                  </w:r>
                </w:p>
              </w:tc>
              <w:tc>
                <w:tcPr>
                  <w:tcW w:w="1657" w:type="pct"/>
                  <w:vAlign w:val="center"/>
                </w:tcPr>
                <w:p w14:paraId="5ACD1011">
                  <w:pPr>
                    <w:tabs>
                      <w:tab w:val="left" w:pos="4830"/>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本项目为</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液化石油气钢瓶</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检测项目，本项目建设地点属于云南红塔产业园区研和片区地块三，</w:t>
                  </w:r>
                  <w:r>
                    <w:rPr>
                      <w:rFonts w:hint="default" w:ascii="Times New Roman" w:hAnsi="Times New Roman" w:eastAsia="宋体" w:cs="Times New Roman"/>
                      <w:color w:val="000000" w:themeColor="text1"/>
                      <w:szCs w:val="21"/>
                      <w:lang w:val="en-US" w:eastAsia="zh-CN"/>
                      <w14:textFill>
                        <w14:solidFill>
                          <w14:schemeClr w14:val="tx1"/>
                        </w14:solidFill>
                      </w14:textFill>
                    </w:rPr>
                    <w:t>不涉及生态保护红线、不涉及基本农田、生态环境敏感区。根据分析，本项目符合《玉溪市生态环境局关于印发玉溪市生态环境分区管控动态更新调整方案（2023年）的通知》（玉市环〔2024〕40号）的要求。</w:t>
                  </w:r>
                </w:p>
              </w:tc>
              <w:tc>
                <w:tcPr>
                  <w:tcW w:w="538" w:type="pct"/>
                  <w:vAlign w:val="center"/>
                </w:tcPr>
                <w:p w14:paraId="321B4E73">
                  <w:pPr>
                    <w:tabs>
                      <w:tab w:val="left" w:pos="4830"/>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符合</w:t>
                  </w:r>
                </w:p>
              </w:tc>
            </w:tr>
            <w:tr w14:paraId="36360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pct"/>
                  <w:vMerge w:val="restart"/>
                  <w:vAlign w:val="center"/>
                </w:tcPr>
                <w:p w14:paraId="20D39AD5">
                  <w:pPr>
                    <w:tabs>
                      <w:tab w:val="left" w:pos="4830"/>
                    </w:tabs>
                    <w:jc w:val="center"/>
                    <w:rPr>
                      <w:rFonts w:hint="default" w:ascii="Times New Roman" w:hAnsi="Times New Roman" w:cs="Times New Roman"/>
                      <w:color w:val="000000" w:themeColor="text1"/>
                      <w:szCs w:val="21"/>
                      <w:shd w:val="clear" w:color="auto" w:fill="FFFFFF"/>
                      <w14:textFill>
                        <w14:solidFill>
                          <w14:schemeClr w14:val="tx1"/>
                        </w14:solidFill>
                      </w14:textFill>
                    </w:rPr>
                  </w:pPr>
                  <w:r>
                    <w:rPr>
                      <w:rFonts w:hint="default" w:ascii="Times New Roman" w:hAnsi="Times New Roman" w:cs="Times New Roman"/>
                      <w:color w:val="000000" w:themeColor="text1"/>
                      <w:szCs w:val="21"/>
                      <w:shd w:val="clear" w:color="auto" w:fill="FFFFFF"/>
                      <w14:textFill>
                        <w14:solidFill>
                          <w14:schemeClr w14:val="tx1"/>
                        </w14:solidFill>
                      </w14:textFill>
                    </w:rPr>
                    <w:t>深入打好蓝天保卫战</w:t>
                  </w:r>
                </w:p>
              </w:tc>
              <w:tc>
                <w:tcPr>
                  <w:tcW w:w="2310" w:type="pct"/>
                  <w:vAlign w:val="center"/>
                </w:tcPr>
                <w:p w14:paraId="293F5448">
                  <w:pPr>
                    <w:tabs>
                      <w:tab w:val="left" w:pos="4830"/>
                    </w:tabs>
                    <w:jc w:val="center"/>
                    <w:rPr>
                      <w:rFonts w:hint="default" w:ascii="Times New Roman" w:hAnsi="Times New Roman" w:cs="Times New Roman"/>
                      <w:b/>
                      <w:bCs/>
                      <w:color w:val="000000" w:themeColor="text1"/>
                      <w:szCs w:val="21"/>
                      <w:shd w:val="clear" w:color="auto" w:fill="FFFFFF"/>
                      <w14:textFill>
                        <w14:solidFill>
                          <w14:schemeClr w14:val="tx1"/>
                        </w14:solidFill>
                      </w14:textFill>
                    </w:rPr>
                  </w:pPr>
                  <w:r>
                    <w:rPr>
                      <w:rFonts w:hint="default" w:ascii="Times New Roman" w:hAnsi="Times New Roman" w:cs="Times New Roman"/>
                      <w:b/>
                      <w:bCs/>
                      <w:color w:val="000000" w:themeColor="text1"/>
                      <w:szCs w:val="21"/>
                      <w:shd w:val="clear" w:color="auto" w:fill="FFFFFF"/>
                      <w14:textFill>
                        <w14:solidFill>
                          <w14:schemeClr w14:val="tx1"/>
                        </w14:solidFill>
                      </w14:textFill>
                    </w:rPr>
                    <w:t>深入打好建筑施工工地扬尘污染治理攻坚战。</w:t>
                  </w:r>
                  <w:r>
                    <w:rPr>
                      <w:rFonts w:hint="default" w:ascii="Times New Roman" w:hAnsi="Times New Roman" w:cs="Times New Roman"/>
                      <w:color w:val="000000" w:themeColor="text1"/>
                      <w:szCs w:val="21"/>
                      <w:shd w:val="clear" w:color="auto" w:fill="FFFFFF"/>
                      <w14:textFill>
                        <w14:solidFill>
                          <w14:schemeClr w14:val="tx1"/>
                        </w14:solidFill>
                      </w14:textFill>
                    </w:rPr>
                    <w:t>全面推行绿色施工，落实施工工地“六个百分之百”工作要求，开展全市建筑施工工地扬尘专项治理。加强建筑渣土运输管理。强化施工、裸露地面等扬尘管控。</w:t>
                  </w:r>
                </w:p>
              </w:tc>
              <w:tc>
                <w:tcPr>
                  <w:tcW w:w="1657" w:type="pct"/>
                  <w:vAlign w:val="center"/>
                </w:tcPr>
                <w:p w14:paraId="2E3A80A5">
                  <w:pPr>
                    <w:tabs>
                      <w:tab w:val="left" w:pos="4830"/>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本项目利用现有厂房进行建设，本环评建议建设单位建设过程中落实</w:t>
                  </w:r>
                  <w:r>
                    <w:rPr>
                      <w:rFonts w:hint="default" w:ascii="Times New Roman" w:hAnsi="Times New Roman" w:cs="Times New Roman"/>
                      <w:color w:val="000000" w:themeColor="text1"/>
                      <w:szCs w:val="21"/>
                      <w:shd w:val="clear" w:color="auto" w:fill="FFFFFF"/>
                      <w14:textFill>
                        <w14:solidFill>
                          <w14:schemeClr w14:val="tx1"/>
                        </w14:solidFill>
                      </w14:textFill>
                    </w:rPr>
                    <w:t>施工工地“六个百分之百”工作要求，采取本环评提出的施工期环境保护措施。</w:t>
                  </w:r>
                </w:p>
              </w:tc>
              <w:tc>
                <w:tcPr>
                  <w:tcW w:w="538" w:type="pct"/>
                  <w:vAlign w:val="center"/>
                </w:tcPr>
                <w:p w14:paraId="433C1CC0">
                  <w:pPr>
                    <w:tabs>
                      <w:tab w:val="left" w:pos="4830"/>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4311D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pct"/>
                  <w:vMerge w:val="continue"/>
                  <w:vAlign w:val="center"/>
                </w:tcPr>
                <w:p w14:paraId="74054BA2">
                  <w:pPr>
                    <w:tabs>
                      <w:tab w:val="left" w:pos="4830"/>
                    </w:tabs>
                    <w:jc w:val="center"/>
                    <w:rPr>
                      <w:rFonts w:hint="default" w:ascii="Times New Roman" w:hAnsi="Times New Roman" w:cs="Times New Roman"/>
                      <w:color w:val="000000" w:themeColor="text1"/>
                      <w:szCs w:val="21"/>
                      <w:shd w:val="clear" w:color="auto" w:fill="FFFFFF"/>
                      <w14:textFill>
                        <w14:solidFill>
                          <w14:schemeClr w14:val="tx1"/>
                        </w14:solidFill>
                      </w14:textFill>
                    </w:rPr>
                  </w:pPr>
                </w:p>
              </w:tc>
              <w:tc>
                <w:tcPr>
                  <w:tcW w:w="2310" w:type="pct"/>
                  <w:vAlign w:val="center"/>
                </w:tcPr>
                <w:p w14:paraId="14DA4212">
                  <w:pPr>
                    <w:tabs>
                      <w:tab w:val="left" w:pos="4830"/>
                    </w:tabs>
                    <w:jc w:val="center"/>
                    <w:rPr>
                      <w:rFonts w:hint="default" w:ascii="Times New Roman" w:hAnsi="Times New Roman" w:cs="Times New Roman"/>
                      <w:b/>
                      <w:bCs/>
                      <w:color w:val="000000" w:themeColor="text1"/>
                      <w:szCs w:val="21"/>
                      <w:shd w:val="clear" w:color="auto" w:fill="FFFFFF"/>
                      <w14:textFill>
                        <w14:solidFill>
                          <w14:schemeClr w14:val="tx1"/>
                        </w14:solidFill>
                      </w14:textFill>
                    </w:rPr>
                  </w:pPr>
                  <w:r>
                    <w:rPr>
                      <w:rFonts w:hint="default" w:ascii="Times New Roman" w:hAnsi="Times New Roman" w:cs="Times New Roman"/>
                      <w:b/>
                      <w:bCs/>
                      <w:color w:val="000000" w:themeColor="text1"/>
                      <w:szCs w:val="21"/>
                      <w:shd w:val="clear" w:color="auto" w:fill="FFFFFF"/>
                      <w14:textFill>
                        <w14:solidFill>
                          <w14:schemeClr w14:val="tx1"/>
                        </w14:solidFill>
                      </w14:textFill>
                    </w:rPr>
                    <w:t>改善区域大气和声环境质量。</w:t>
                  </w:r>
                  <w:r>
                    <w:rPr>
                      <w:rFonts w:hint="default" w:ascii="Times New Roman" w:hAnsi="Times New Roman" w:cs="Times New Roman"/>
                      <w:color w:val="000000" w:themeColor="text1"/>
                      <w:szCs w:val="21"/>
                      <w:shd w:val="clear" w:color="auto" w:fill="FFFFFF"/>
                      <w14:textFill>
                        <w14:solidFill>
                          <w14:schemeClr w14:val="tx1"/>
                        </w14:solidFill>
                      </w14:textFill>
                    </w:rPr>
                    <w:t>强化大气污染协同治理，持续开展春夏季攻坚行动，推进细颗粒物和臭氧协同控制。落实大气污染联防联控机制。加大餐饮油烟污染、恶臭异味治理力度，强化秸秆综合利用和禁烧管控。实施噪声污染防治行动，创造安静的生活环境。</w:t>
                  </w:r>
                </w:p>
              </w:tc>
              <w:tc>
                <w:tcPr>
                  <w:tcW w:w="1657" w:type="pct"/>
                  <w:vAlign w:val="center"/>
                </w:tcPr>
                <w:p w14:paraId="75E0A74C">
                  <w:pPr>
                    <w:tabs>
                      <w:tab w:val="left" w:pos="4830"/>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项目均采取了相应的废气治理措施</w:t>
                  </w:r>
                  <w:r>
                    <w:rPr>
                      <w:rFonts w:hint="default" w:ascii="Times New Roman" w:hAnsi="Times New Roman" w:eastAsia="宋体" w:cs="Times New Roman"/>
                      <w:color w:val="000000" w:themeColor="text1"/>
                      <w:szCs w:val="21"/>
                      <w14:textFill>
                        <w14:solidFill>
                          <w14:schemeClr w14:val="tx1"/>
                        </w14:solidFill>
                      </w14:textFill>
                    </w:rPr>
                    <w:t>，经采取本环评提供的污染防治措施以后对周边影响不大</w:t>
                  </w:r>
                  <w:r>
                    <w:rPr>
                      <w:rFonts w:hint="default" w:ascii="Times New Roman" w:hAnsi="Times New Roman" w:eastAsia="宋体" w:cs="Times New Roman"/>
                      <w:color w:val="000000" w:themeColor="text1"/>
                      <w:szCs w:val="21"/>
                      <w:lang w:eastAsia="zh-CN"/>
                      <w14:textFill>
                        <w14:solidFill>
                          <w14:schemeClr w14:val="tx1"/>
                        </w14:solidFill>
                      </w14:textFill>
                    </w:rPr>
                    <w:t>。</w:t>
                  </w:r>
                </w:p>
                <w:p w14:paraId="5E1D2982">
                  <w:pPr>
                    <w:tabs>
                      <w:tab w:val="left" w:pos="4830"/>
                    </w:tabs>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通过预测分析，</w:t>
                  </w:r>
                  <w:r>
                    <w:rPr>
                      <w:rFonts w:hint="default" w:ascii="Times New Roman" w:hAnsi="Times New Roman" w:eastAsia="宋体" w:cs="Times New Roman"/>
                      <w:color w:val="000000" w:themeColor="text1"/>
                      <w:szCs w:val="21"/>
                      <w14:textFill>
                        <w14:solidFill>
                          <w14:schemeClr w14:val="tx1"/>
                        </w14:solidFill>
                      </w14:textFill>
                    </w:rPr>
                    <w:t>本项目厂界昼间均能达到《工业企业厂界环境噪声排放标准》（GB12348-2008）中</w:t>
                  </w:r>
                  <w:r>
                    <w:rPr>
                      <w:rFonts w:hint="default" w:ascii="Times New Roman" w:hAnsi="Times New Roman" w:eastAsia="宋体" w:cs="Times New Roman"/>
                      <w:color w:val="000000" w:themeColor="text1"/>
                      <w:szCs w:val="21"/>
                      <w:lang w:val="en-US" w:eastAsia="zh-CN"/>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类标准限值要求</w:t>
                  </w:r>
                  <w:r>
                    <w:rPr>
                      <w:rFonts w:hint="default" w:ascii="Times New Roman" w:hAnsi="Times New Roman" w:eastAsia="宋体" w:cs="Times New Roman"/>
                      <w:color w:val="000000" w:themeColor="text1"/>
                      <w:szCs w:val="21"/>
                      <w:lang w:eastAsia="zh-CN"/>
                      <w14:textFill>
                        <w14:solidFill>
                          <w14:schemeClr w14:val="tx1"/>
                        </w14:solidFill>
                      </w14:textFill>
                    </w:rPr>
                    <w:t>。</w:t>
                  </w:r>
                </w:p>
              </w:tc>
              <w:tc>
                <w:tcPr>
                  <w:tcW w:w="538" w:type="pct"/>
                  <w:vAlign w:val="center"/>
                </w:tcPr>
                <w:p w14:paraId="1E93FB93">
                  <w:pPr>
                    <w:tabs>
                      <w:tab w:val="left" w:pos="4830"/>
                    </w:tabs>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符合</w:t>
                  </w:r>
                </w:p>
              </w:tc>
            </w:tr>
            <w:tr w14:paraId="15C03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pct"/>
                  <w:vAlign w:val="center"/>
                </w:tcPr>
                <w:p w14:paraId="13107F68">
                  <w:pPr>
                    <w:tabs>
                      <w:tab w:val="left" w:pos="4830"/>
                    </w:tabs>
                    <w:jc w:val="center"/>
                    <w:rPr>
                      <w:rFonts w:hint="default" w:ascii="Times New Roman" w:hAnsi="Times New Roman" w:cs="Times New Roman"/>
                      <w:color w:val="000000" w:themeColor="text1"/>
                      <w:szCs w:val="21"/>
                      <w:shd w:val="clear" w:color="auto" w:fill="FFFFFF"/>
                      <w14:textFill>
                        <w14:solidFill>
                          <w14:schemeClr w14:val="tx1"/>
                        </w14:solidFill>
                      </w14:textFill>
                    </w:rPr>
                  </w:pPr>
                  <w:r>
                    <w:rPr>
                      <w:rFonts w:hint="default" w:ascii="Times New Roman" w:hAnsi="Times New Roman" w:cs="Times New Roman"/>
                      <w:color w:val="000000" w:themeColor="text1"/>
                      <w:szCs w:val="21"/>
                      <w:shd w:val="clear" w:color="auto" w:fill="FFFFFF"/>
                      <w14:textFill>
                        <w14:solidFill>
                          <w14:schemeClr w14:val="tx1"/>
                        </w14:solidFill>
                      </w14:textFill>
                    </w:rPr>
                    <w:t>深入打好碧水保卫战</w:t>
                  </w:r>
                </w:p>
              </w:tc>
              <w:tc>
                <w:tcPr>
                  <w:tcW w:w="2310" w:type="pct"/>
                  <w:vAlign w:val="center"/>
                </w:tcPr>
                <w:p w14:paraId="39C26FBB">
                  <w:pPr>
                    <w:tabs>
                      <w:tab w:val="left" w:pos="4830"/>
                    </w:tabs>
                    <w:jc w:val="center"/>
                    <w:rPr>
                      <w:rFonts w:hint="default" w:ascii="Times New Roman" w:hAnsi="Times New Roman" w:cs="Times New Roman"/>
                      <w:b/>
                      <w:bCs/>
                      <w:color w:val="000000" w:themeColor="text1"/>
                      <w:szCs w:val="21"/>
                      <w:shd w:val="clear" w:color="auto" w:fill="FFFFFF"/>
                      <w14:textFill>
                        <w14:solidFill>
                          <w14:schemeClr w14:val="tx1"/>
                        </w14:solidFill>
                      </w14:textFill>
                    </w:rPr>
                  </w:pPr>
                  <w:r>
                    <w:rPr>
                      <w:rFonts w:hint="default" w:ascii="Times New Roman" w:hAnsi="Times New Roman" w:cs="Times New Roman"/>
                      <w:b/>
                      <w:bCs/>
                      <w:color w:val="000000" w:themeColor="text1"/>
                      <w:szCs w:val="21"/>
                      <w:shd w:val="clear" w:color="auto" w:fill="FFFFFF"/>
                      <w14:textFill>
                        <w14:solidFill>
                          <w14:schemeClr w14:val="tx1"/>
                        </w14:solidFill>
                      </w14:textFill>
                    </w:rPr>
                    <w:t>深入打好珠江流域（玉溪段）保护治理攻坚战。</w:t>
                  </w:r>
                  <w:r>
                    <w:rPr>
                      <w:rFonts w:hint="default" w:ascii="Times New Roman" w:hAnsi="Times New Roman" w:cs="Times New Roman"/>
                      <w:color w:val="000000" w:themeColor="text1"/>
                      <w:szCs w:val="21"/>
                      <w:shd w:val="clear" w:color="auto" w:fill="FFFFFF"/>
                      <w14:textFill>
                        <w14:solidFill>
                          <w14:schemeClr w14:val="tx1"/>
                        </w14:solidFill>
                      </w14:textFill>
                    </w:rPr>
                    <w:t>加大南盘江干流等流域水生态环境综合治理力度，开展沿河城镇、农村生活污水治理，加大农业面源污染治理力度，执行最严格水资源管理制度，保障珠江流域（玉溪段）生态流量。持续开展工业园区污染治理、“三磷”和重金属行业排查整治。</w:t>
                  </w:r>
                </w:p>
              </w:tc>
              <w:tc>
                <w:tcPr>
                  <w:tcW w:w="2415" w:type="dxa"/>
                  <w:vAlign w:val="center"/>
                </w:tcPr>
                <w:p w14:paraId="7A118032">
                  <w:pPr>
                    <w:keepLines/>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本项目的建设不会降低和改变周边水环境质量现状。</w:t>
                  </w:r>
                </w:p>
                <w:p w14:paraId="5F79AD84">
                  <w:pPr>
                    <w:keepNext w:val="0"/>
                    <w:keepLines/>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废水采取了相应的处置措施，满足相关标准要求。生产过程中水压试验、气密试验用水循环使用，不外排；喷淋塔定期补充新鲜水，循环使用，废液每年更换一次，定期交由有危废资质的单位进行处置。项目无生产废水外排。</w:t>
                  </w:r>
                </w:p>
                <w:p w14:paraId="2B58A86A">
                  <w:pPr>
                    <w:keepLines/>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本项目生活污水经化粪池收集后进入一体化生活污水处理设施，经处理达绿化标准后进入收集池，回用于绿化，不外排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38" w:type="pct"/>
                  <w:vAlign w:val="center"/>
                </w:tcPr>
                <w:p w14:paraId="119E7F76">
                  <w:pPr>
                    <w:tabs>
                      <w:tab w:val="left" w:pos="4830"/>
                    </w:tabs>
                    <w:jc w:val="center"/>
                    <w:rPr>
                      <w:rFonts w:hint="default" w:ascii="Times New Roman" w:hAnsi="Times New Roman" w:cs="Times New Roman"/>
                      <w:color w:val="000000" w:themeColor="text1"/>
                      <w:szCs w:val="21"/>
                      <w14:textFill>
                        <w14:solidFill>
                          <w14:schemeClr w14:val="tx1"/>
                        </w14:solidFill>
                      </w14:textFill>
                    </w:rPr>
                  </w:pPr>
                </w:p>
              </w:tc>
            </w:tr>
            <w:tr w14:paraId="232EF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pct"/>
                  <w:vMerge w:val="restart"/>
                  <w:vAlign w:val="center"/>
                </w:tcPr>
                <w:p w14:paraId="21BE5CA0">
                  <w:pPr>
                    <w:tabs>
                      <w:tab w:val="left" w:pos="4830"/>
                    </w:tabs>
                    <w:jc w:val="center"/>
                    <w:rPr>
                      <w:rFonts w:hint="default" w:ascii="Times New Roman" w:hAnsi="Times New Roman" w:cs="Times New Roman"/>
                      <w:color w:val="000000" w:themeColor="text1"/>
                      <w:szCs w:val="21"/>
                      <w:shd w:val="clear" w:color="auto" w:fill="FFFFFF"/>
                      <w14:textFill>
                        <w14:solidFill>
                          <w14:schemeClr w14:val="tx1"/>
                        </w14:solidFill>
                      </w14:textFill>
                    </w:rPr>
                  </w:pPr>
                  <w:r>
                    <w:rPr>
                      <w:rFonts w:hint="default" w:ascii="Times New Roman" w:hAnsi="Times New Roman" w:cs="Times New Roman"/>
                      <w:color w:val="000000" w:themeColor="text1"/>
                      <w:szCs w:val="21"/>
                      <w:shd w:val="clear" w:color="auto" w:fill="FFFFFF"/>
                      <w14:textFill>
                        <w14:solidFill>
                          <w14:schemeClr w14:val="tx1"/>
                        </w14:solidFill>
                      </w14:textFill>
                    </w:rPr>
                    <w:t>深入打好净土保卫战</w:t>
                  </w:r>
                </w:p>
              </w:tc>
              <w:tc>
                <w:tcPr>
                  <w:tcW w:w="2310" w:type="pct"/>
                  <w:vAlign w:val="center"/>
                </w:tcPr>
                <w:p w14:paraId="0DD3C6E3">
                  <w:pPr>
                    <w:tabs>
                      <w:tab w:val="left" w:pos="4830"/>
                    </w:tabs>
                    <w:jc w:val="center"/>
                    <w:rPr>
                      <w:rFonts w:hint="default" w:ascii="Times New Roman" w:hAnsi="Times New Roman" w:cs="Times New Roman"/>
                      <w:b/>
                      <w:bCs/>
                      <w:color w:val="000000" w:themeColor="text1"/>
                      <w:szCs w:val="21"/>
                      <w:shd w:val="clear" w:color="auto" w:fill="FFFFFF"/>
                      <w14:textFill>
                        <w14:solidFill>
                          <w14:schemeClr w14:val="tx1"/>
                        </w14:solidFill>
                      </w14:textFill>
                    </w:rPr>
                  </w:pPr>
                  <w:r>
                    <w:rPr>
                      <w:rFonts w:hint="default" w:ascii="Times New Roman" w:hAnsi="Times New Roman" w:cs="Times New Roman"/>
                      <w:b/>
                      <w:bCs/>
                      <w:color w:val="000000" w:themeColor="text1"/>
                      <w:szCs w:val="21"/>
                      <w:shd w:val="clear" w:color="auto" w:fill="FFFFFF"/>
                      <w14:textFill>
                        <w14:solidFill>
                          <w14:schemeClr w14:val="tx1"/>
                        </w14:solidFill>
                      </w14:textFill>
                    </w:rPr>
                    <w:t>有效管控建设用地土壤污染风险。</w:t>
                  </w:r>
                  <w:r>
                    <w:rPr>
                      <w:rFonts w:hint="default" w:ascii="Times New Roman" w:hAnsi="Times New Roman" w:cs="Times New Roman"/>
                      <w:color w:val="000000" w:themeColor="text1"/>
                      <w:szCs w:val="21"/>
                      <w:shd w:val="clear" w:color="auto" w:fill="FFFFFF"/>
                      <w14:textFill>
                        <w14:solidFill>
                          <w14:schemeClr w14:val="tx1"/>
                        </w14:solidFill>
                      </w14:textFill>
                    </w:rPr>
                    <w:t>严格建设用地土壤污染风险管控和修复名录内地块的准入管理。落实土壤污染状况调查和风险评估要求，从严管控化工等行业重度污染地块的规划用途。</w:t>
                  </w:r>
                </w:p>
              </w:tc>
              <w:tc>
                <w:tcPr>
                  <w:tcW w:w="1657" w:type="pct"/>
                  <w:vAlign w:val="center"/>
                </w:tcPr>
                <w:p w14:paraId="3D56E0F5">
                  <w:pPr>
                    <w:tabs>
                      <w:tab w:val="left" w:pos="4830"/>
                    </w:tabs>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根据现场调查，目前</w:t>
                  </w:r>
                  <w:r>
                    <w:rPr>
                      <w:rFonts w:hint="default" w:ascii="Times New Roman" w:hAnsi="Times New Roman" w:cs="Times New Roman"/>
                      <w:color w:val="000000" w:themeColor="text1"/>
                      <w:kern w:val="0"/>
                      <w:szCs w:val="21"/>
                      <w:lang w:eastAsia="zh-CN"/>
                      <w14:textFill>
                        <w14:solidFill>
                          <w14:schemeClr w14:val="tx1"/>
                        </w14:solidFill>
                      </w14:textFill>
                    </w:rPr>
                    <w:t>项目区范围内地面均已硬化，</w:t>
                  </w:r>
                  <w:r>
                    <w:rPr>
                      <w:rFonts w:hint="default" w:ascii="Times New Roman" w:hAnsi="Times New Roman" w:cs="Times New Roman"/>
                      <w:color w:val="000000" w:themeColor="text1"/>
                      <w:kern w:val="0"/>
                      <w:szCs w:val="21"/>
                      <w14:textFill>
                        <w14:solidFill>
                          <w14:schemeClr w14:val="tx1"/>
                        </w14:solidFill>
                      </w14:textFill>
                    </w:rPr>
                    <w:t>能够满足一般防渗区相关防渗措施要求</w:t>
                  </w:r>
                  <w:r>
                    <w:rPr>
                      <w:rFonts w:hint="default" w:ascii="Times New Roman" w:hAnsi="Times New Roman" w:cs="Times New Roman"/>
                      <w:color w:val="000000" w:themeColor="text1"/>
                      <w:kern w:val="0"/>
                      <w:szCs w:val="21"/>
                      <w:lang w:eastAsia="zh-CN"/>
                      <w14:textFill>
                        <w14:solidFill>
                          <w14:schemeClr w14:val="tx1"/>
                        </w14:solidFill>
                      </w14:textFill>
                    </w:rPr>
                    <w:t>；危险废物暂存要求为重点防渗区，</w:t>
                  </w:r>
                  <w:r>
                    <w:rPr>
                      <w:rFonts w:hint="default" w:ascii="Times New Roman" w:hAnsi="Times New Roman" w:cs="Times New Roman"/>
                      <w:color w:val="000000" w:themeColor="text1"/>
                      <w:lang w:val="en-US" w:eastAsia="zh-CN"/>
                      <w14:textFill>
                        <w14:solidFill>
                          <w14:schemeClr w14:val="tx1"/>
                        </w14:solidFill>
                      </w14:textFill>
                    </w:rPr>
                    <w:t>按照重点防渗区防渗技术要求建造</w:t>
                  </w:r>
                  <w:r>
                    <w:rPr>
                      <w:rFonts w:hint="default" w:ascii="Times New Roman" w:hAnsi="Times New Roman" w:cs="Times New Roman"/>
                      <w:color w:val="000000" w:themeColor="text1"/>
                      <w:kern w:val="0"/>
                      <w:szCs w:val="21"/>
                      <w:lang w:eastAsia="zh-CN"/>
                      <w14:textFill>
                        <w14:solidFill>
                          <w14:schemeClr w14:val="tx1"/>
                        </w14:solidFill>
                      </w14:textFill>
                    </w:rPr>
                    <w:t>。</w:t>
                  </w:r>
                </w:p>
              </w:tc>
              <w:tc>
                <w:tcPr>
                  <w:tcW w:w="538" w:type="pct"/>
                  <w:vAlign w:val="center"/>
                </w:tcPr>
                <w:p w14:paraId="20ACC642">
                  <w:pPr>
                    <w:tabs>
                      <w:tab w:val="left" w:pos="4830"/>
                    </w:tabs>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符合</w:t>
                  </w:r>
                </w:p>
              </w:tc>
            </w:tr>
            <w:tr w14:paraId="4BE3C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pct"/>
                  <w:vMerge w:val="continue"/>
                  <w:vAlign w:val="center"/>
                </w:tcPr>
                <w:p w14:paraId="6CCFBD4A">
                  <w:pPr>
                    <w:tabs>
                      <w:tab w:val="left" w:pos="4830"/>
                    </w:tabs>
                    <w:jc w:val="center"/>
                    <w:rPr>
                      <w:rFonts w:hint="default" w:ascii="Times New Roman" w:hAnsi="Times New Roman" w:cs="Times New Roman"/>
                      <w:b/>
                      <w:bCs/>
                      <w:color w:val="000000" w:themeColor="text1"/>
                      <w:szCs w:val="21"/>
                      <w:shd w:val="clear" w:color="auto" w:fill="FFFFFF"/>
                      <w14:textFill>
                        <w14:solidFill>
                          <w14:schemeClr w14:val="tx1"/>
                        </w14:solidFill>
                      </w14:textFill>
                    </w:rPr>
                  </w:pPr>
                </w:p>
              </w:tc>
              <w:tc>
                <w:tcPr>
                  <w:tcW w:w="2310" w:type="pct"/>
                  <w:vAlign w:val="center"/>
                </w:tcPr>
                <w:p w14:paraId="17E5544E">
                  <w:pPr>
                    <w:tabs>
                      <w:tab w:val="left" w:pos="4830"/>
                    </w:tabs>
                    <w:jc w:val="center"/>
                    <w:rPr>
                      <w:rFonts w:hint="default" w:ascii="Times New Roman" w:hAnsi="Times New Roman" w:cs="Times New Roman"/>
                      <w:b/>
                      <w:bCs/>
                      <w:color w:val="000000" w:themeColor="text1"/>
                      <w:szCs w:val="21"/>
                      <w:shd w:val="clear" w:color="auto" w:fill="FFFFFF"/>
                      <w14:textFill>
                        <w14:solidFill>
                          <w14:schemeClr w14:val="tx1"/>
                        </w14:solidFill>
                      </w14:textFill>
                    </w:rPr>
                  </w:pPr>
                  <w:r>
                    <w:rPr>
                      <w:rFonts w:hint="default" w:ascii="Times New Roman" w:hAnsi="Times New Roman" w:cs="Times New Roman"/>
                      <w:b/>
                      <w:bCs/>
                      <w:color w:val="000000" w:themeColor="text1"/>
                      <w:szCs w:val="21"/>
                      <w:shd w:val="clear" w:color="auto" w:fill="FFFFFF"/>
                      <w14:textFill>
                        <w14:solidFill>
                          <w14:schemeClr w14:val="tx1"/>
                        </w14:solidFill>
                      </w14:textFill>
                    </w:rPr>
                    <w:t>稳步推进“无废城市”建设</w:t>
                  </w:r>
                  <w:r>
                    <w:rPr>
                      <w:rFonts w:hint="default" w:ascii="Times New Roman" w:hAnsi="Times New Roman" w:cs="Times New Roman"/>
                      <w:color w:val="000000" w:themeColor="text1"/>
                      <w:szCs w:val="21"/>
                      <w:shd w:val="clear" w:color="auto" w:fill="FFFFFF"/>
                      <w14:textFill>
                        <w14:solidFill>
                          <w14:schemeClr w14:val="tx1"/>
                        </w14:solidFill>
                      </w14:textFill>
                    </w:rPr>
                    <w:t>。稳步推进玉溪市“无废城市”建设，推进城市固体废物精细化管理。积极推进无废学校、社区、企业等“无废细胞”建设。</w:t>
                  </w:r>
                </w:p>
              </w:tc>
              <w:tc>
                <w:tcPr>
                  <w:tcW w:w="1657" w:type="pct"/>
                  <w:vAlign w:val="center"/>
                </w:tcPr>
                <w:p w14:paraId="23773B34">
                  <w:pPr>
                    <w:tabs>
                      <w:tab w:val="left" w:pos="4830"/>
                    </w:tab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本项目施工期、运行期产生的固体废物均能得到合理处置。</w:t>
                  </w:r>
                </w:p>
              </w:tc>
              <w:tc>
                <w:tcPr>
                  <w:tcW w:w="538" w:type="pct"/>
                  <w:vAlign w:val="center"/>
                </w:tcPr>
                <w:p w14:paraId="1C453502">
                  <w:pPr>
                    <w:tabs>
                      <w:tab w:val="left" w:pos="4830"/>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bl>
          <w:p w14:paraId="098EAC87">
            <w:pPr>
              <w:pStyle w:val="44"/>
              <w:pageBreakBefore w:val="0"/>
              <w:kinsoku/>
              <w:overflowPunct/>
              <w:topLinePunct w:val="0"/>
              <w:bidi w:val="0"/>
              <w:ind w:left="0" w:leftChars="0" w:right="0"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9</w:t>
            </w:r>
            <w:r>
              <w:rPr>
                <w:rFonts w:hint="default" w:ascii="Times New Roman" w:hAnsi="Times New Roman" w:cs="Times New Roman"/>
                <w:b/>
                <w:bCs/>
                <w:color w:val="000000" w:themeColor="text1"/>
                <w14:textFill>
                  <w14:solidFill>
                    <w14:schemeClr w14:val="tx1"/>
                  </w14:solidFill>
                </w14:textFill>
              </w:rPr>
              <w:t>、项目与《云南省生态环境厅关于印发云南省重点行业挥发性有机物综合治理实施方案的通知》（云环通</w:t>
            </w: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2019</w:t>
            </w: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125号）相符性分析</w:t>
            </w:r>
          </w:p>
          <w:p w14:paraId="3B6E18F5">
            <w:pPr>
              <w:pStyle w:val="44"/>
              <w:pageBreakBefore w:val="0"/>
              <w:kinsoku/>
              <w:overflowPunct/>
              <w:topLinePunct w:val="0"/>
              <w:bidi w:val="0"/>
              <w:ind w:left="0" w:leftChars="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项目与《云南省重点行业挥发性有机物综合治理实施方案》的相符性分析见表。</w:t>
            </w:r>
          </w:p>
          <w:p w14:paraId="101713EB">
            <w:pPr>
              <w:pStyle w:val="45"/>
              <w:pageBreakBefore w:val="0"/>
              <w:kinsoku/>
              <w:overflowPunct/>
              <w:topLinePunct w:val="0"/>
              <w:bidi w:val="0"/>
              <w:spacing w:before="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表1-</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项目与（云环通</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2019</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125号）的相符性分析</w:t>
            </w:r>
          </w:p>
          <w:tbl>
            <w:tblPr>
              <w:tblStyle w:val="33"/>
              <w:tblW w:w="4998" w:type="pct"/>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3947"/>
              <w:gridCol w:w="2677"/>
              <w:gridCol w:w="663"/>
            </w:tblGrid>
            <w:tr w14:paraId="1A9FF8A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08" w:type="pct"/>
                  <w:tcBorders>
                    <w:tl2br w:val="nil"/>
                    <w:tr2bl w:val="nil"/>
                  </w:tcBorders>
                  <w:vAlign w:val="center"/>
                </w:tcPr>
                <w:p w14:paraId="586E33B3">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《云南省重点行业挥发性有机物综合治理实施方案》</w:t>
                  </w:r>
                </w:p>
              </w:tc>
              <w:tc>
                <w:tcPr>
                  <w:tcW w:w="1836" w:type="pct"/>
                  <w:tcBorders>
                    <w:tl2br w:val="nil"/>
                    <w:tr2bl w:val="nil"/>
                  </w:tcBorders>
                  <w:vAlign w:val="center"/>
                </w:tcPr>
                <w:p w14:paraId="0E53328D">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p>
              </w:tc>
              <w:tc>
                <w:tcPr>
                  <w:tcW w:w="454" w:type="pct"/>
                  <w:tcBorders>
                    <w:tl2br w:val="nil"/>
                    <w:tr2bl w:val="nil"/>
                  </w:tcBorders>
                  <w:vAlign w:val="center"/>
                </w:tcPr>
                <w:p w14:paraId="5A49DE05">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相符性</w:t>
                  </w:r>
                </w:p>
              </w:tc>
            </w:tr>
            <w:tr w14:paraId="2171639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08" w:type="pct"/>
                  <w:tcBorders>
                    <w:tl2br w:val="nil"/>
                    <w:tr2bl w:val="nil"/>
                  </w:tcBorders>
                  <w:vAlign w:val="center"/>
                </w:tcPr>
                <w:p w14:paraId="269A6C00">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836" w:type="pct"/>
                  <w:tcBorders>
                    <w:tl2br w:val="nil"/>
                    <w:tr2bl w:val="nil"/>
                  </w:tcBorders>
                  <w:vAlign w:val="center"/>
                </w:tcPr>
                <w:p w14:paraId="368FD0A3">
                  <w:pPr>
                    <w:pStyle w:val="124"/>
                    <w:pageBreakBefore w:val="0"/>
                    <w:kinsoku/>
                    <w:overflowPunct/>
                    <w:topLinePunct w:val="0"/>
                    <w:bidi w:val="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本项目原料区、生产区、成品区均布设于彩钢瓦生产车间内，无组织废气通过车间通风，对周边环境影响不大。本环评要求</w:t>
                  </w:r>
                  <w:r>
                    <w:rPr>
                      <w:rFonts w:hint="default" w:ascii="Times New Roman" w:hAnsi="Times New Roman" w:eastAsia="宋体" w:cs="Times New Roman"/>
                      <w:color w:val="000000" w:themeColor="text1"/>
                      <w:lang w:val="en-US" w:eastAsia="zh-CN"/>
                      <w14:textFill>
                        <w14:solidFill>
                          <w14:schemeClr w14:val="tx1"/>
                        </w14:solidFill>
                      </w14:textFill>
                    </w:rPr>
                    <w:t>建设单位加强员工生产过程的规范操作，尽量避免气体的泄漏，以降低污染物排放。</w:t>
                  </w:r>
                </w:p>
              </w:tc>
              <w:tc>
                <w:tcPr>
                  <w:tcW w:w="454" w:type="pct"/>
                  <w:tcBorders>
                    <w:tl2br w:val="nil"/>
                    <w:tr2bl w:val="nil"/>
                  </w:tcBorders>
                  <w:vAlign w:val="center"/>
                </w:tcPr>
                <w:p w14:paraId="69A03996">
                  <w:pPr>
                    <w:pStyle w:val="124"/>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14:paraId="7917CBD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08" w:type="pct"/>
                  <w:tcBorders>
                    <w:tl2br w:val="nil"/>
                    <w:tr2bl w:val="nil"/>
                  </w:tcBorders>
                  <w:vAlign w:val="center"/>
                </w:tcPr>
                <w:p w14:paraId="3A3FB0AF">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1836" w:type="pct"/>
                  <w:tcBorders>
                    <w:tl2br w:val="nil"/>
                    <w:tr2bl w:val="nil"/>
                  </w:tcBorders>
                  <w:vAlign w:val="center"/>
                </w:tcPr>
                <w:p w14:paraId="39C4C434">
                  <w:pPr>
                    <w:pStyle w:val="124"/>
                    <w:pageBreakBefore w:val="0"/>
                    <w:kinsoku/>
                    <w:overflowPunct/>
                    <w:topLinePunct w:val="0"/>
                    <w:bidi w:val="0"/>
                    <w:ind w:left="0" w:leftChars="0" w:right="0" w:rightChars="0" w:firstLine="0" w:firstLineChars="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本项目已配套设置相应废气治理设施，焚烧炉为密闭焚烧炉，属于“</w:t>
                  </w:r>
                  <w:r>
                    <w:rPr>
                      <w:rFonts w:hint="default" w:ascii="Times New Roman" w:hAnsi="Times New Roman" w:cs="Times New Roman"/>
                      <w:color w:val="000000" w:themeColor="text1"/>
                      <w14:textFill>
                        <w14:solidFill>
                          <w14:schemeClr w14:val="tx1"/>
                        </w14:solidFill>
                      </w14:textFill>
                    </w:rPr>
                    <w:t>采用全密闭集气罩或密闭空间的</w:t>
                  </w:r>
                  <w:r>
                    <w:rPr>
                      <w:rFonts w:hint="default" w:ascii="Times New Roman" w:hAnsi="Times New Roman" w:cs="Times New Roman"/>
                      <w:color w:val="000000" w:themeColor="text1"/>
                      <w:lang w:eastAsia="zh-CN"/>
                      <w14:textFill>
                        <w14:solidFill>
                          <w14:schemeClr w14:val="tx1"/>
                        </w14:solidFill>
                      </w14:textFill>
                    </w:rPr>
                    <w:t>”，满足相关要求。</w:t>
                  </w:r>
                </w:p>
                <w:p w14:paraId="09994481">
                  <w:pPr>
                    <w:pStyle w:val="124"/>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lang w:eastAsia="zh-CN"/>
                      <w14:textFill>
                        <w14:solidFill>
                          <w14:schemeClr w14:val="tx1"/>
                        </w14:solidFill>
                      </w14:textFill>
                    </w:rPr>
                  </w:pPr>
                </w:p>
              </w:tc>
              <w:tc>
                <w:tcPr>
                  <w:tcW w:w="454" w:type="pct"/>
                  <w:tcBorders>
                    <w:tl2br w:val="nil"/>
                    <w:tr2bl w:val="nil"/>
                  </w:tcBorders>
                  <w:vAlign w:val="center"/>
                </w:tcPr>
                <w:p w14:paraId="01EB98A8">
                  <w:pPr>
                    <w:pStyle w:val="124"/>
                    <w:pageBreakBefore w:val="0"/>
                    <w:kinsoku/>
                    <w:overflowPunct/>
                    <w:topLinePunct w:val="0"/>
                    <w:bidi w:val="0"/>
                    <w:ind w:left="0" w:leftChars="0" w:right="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符合</w:t>
                  </w:r>
                </w:p>
              </w:tc>
            </w:tr>
          </w:tbl>
          <w:p w14:paraId="17549712">
            <w:pPr>
              <w:pStyle w:val="44"/>
              <w:pageBreakBefore w:val="0"/>
              <w:kinsoku/>
              <w:overflowPunct/>
              <w:topLinePunct w:val="0"/>
              <w:bidi w:val="0"/>
              <w:ind w:left="0" w:leftChars="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综上所述，项目与《云南省生态环境厅关于印发云南省重点行业挥发性有机物综合治理实施方案的通知》（云环通</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2019</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125号）相符。</w:t>
            </w:r>
          </w:p>
          <w:p w14:paraId="3A1631AF">
            <w:pPr>
              <w:pStyle w:val="44"/>
              <w:pageBreakBefore w:val="0"/>
              <w:kinsoku/>
              <w:overflowPunct/>
              <w:topLinePunct w:val="0"/>
              <w:bidi w:val="0"/>
              <w:ind w:left="0" w:leftChars="0" w:right="0"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10、</w:t>
            </w:r>
            <w:r>
              <w:rPr>
                <w:rFonts w:hint="default" w:ascii="Times New Roman" w:hAnsi="Times New Roman" w:cs="Times New Roman"/>
                <w:b/>
                <w:bCs/>
                <w:color w:val="000000" w:themeColor="text1"/>
                <w14:textFill>
                  <w14:solidFill>
                    <w14:schemeClr w14:val="tx1"/>
                  </w14:solidFill>
                </w14:textFill>
              </w:rPr>
              <w:t>项目与《关于印发〈2020年挥发性有机物治理攻坚方案〉的通知》（环大气</w:t>
            </w: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2020</w:t>
            </w: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33号）符合性分析</w:t>
            </w:r>
          </w:p>
          <w:p w14:paraId="5006FEC3">
            <w:pPr>
              <w:pStyle w:val="45"/>
              <w:pageBreakBefore w:val="0"/>
              <w:kinsoku/>
              <w:overflowPunct/>
              <w:topLinePunct w:val="0"/>
              <w:bidi w:val="0"/>
              <w:spacing w:before="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表1-</w:t>
            </w:r>
            <w:r>
              <w:rPr>
                <w:rFonts w:hint="default" w:ascii="Times New Roman" w:hAnsi="Times New Roman" w:cs="Times New Roman"/>
                <w:color w:val="000000" w:themeColor="text1"/>
                <w:lang w:val="en-US" w:eastAsia="zh-CN"/>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项目与《2020年挥发性有机物治理攻坚方案》符合性分析</w:t>
            </w:r>
          </w:p>
          <w:tbl>
            <w:tblPr>
              <w:tblStyle w:val="34"/>
              <w:tblW w:w="7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4"/>
              <w:gridCol w:w="2168"/>
              <w:gridCol w:w="684"/>
            </w:tblGrid>
            <w:tr w14:paraId="3BC2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4" w:type="dxa"/>
                  <w:vAlign w:val="center"/>
                </w:tcPr>
                <w:p w14:paraId="066F4920">
                  <w:pPr>
                    <w:pStyle w:val="124"/>
                    <w:pageBreakBefore w:val="0"/>
                    <w:kinsoku/>
                    <w:overflowPunct/>
                    <w:topLinePunct w:val="0"/>
                    <w:bidi w:val="0"/>
                    <w:ind w:left="0" w:leftChars="0" w:right="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方案要求</w:t>
                  </w:r>
                </w:p>
              </w:tc>
              <w:tc>
                <w:tcPr>
                  <w:tcW w:w="2168" w:type="dxa"/>
                  <w:vAlign w:val="center"/>
                </w:tcPr>
                <w:p w14:paraId="02AA342E">
                  <w:pPr>
                    <w:pStyle w:val="124"/>
                    <w:pageBreakBefore w:val="0"/>
                    <w:kinsoku/>
                    <w:overflowPunct/>
                    <w:topLinePunct w:val="0"/>
                    <w:bidi w:val="0"/>
                    <w:ind w:left="0" w:leftChars="0" w:right="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项目情况</w:t>
                  </w:r>
                </w:p>
              </w:tc>
              <w:tc>
                <w:tcPr>
                  <w:tcW w:w="684" w:type="dxa"/>
                  <w:vAlign w:val="center"/>
                </w:tcPr>
                <w:p w14:paraId="5A74C9D7">
                  <w:pPr>
                    <w:pStyle w:val="124"/>
                    <w:pageBreakBefore w:val="0"/>
                    <w:kinsoku/>
                    <w:overflowPunct/>
                    <w:topLinePunct w:val="0"/>
                    <w:bidi w:val="0"/>
                    <w:ind w:left="0" w:leftChars="0" w:right="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符合性</w:t>
                  </w:r>
                </w:p>
              </w:tc>
            </w:tr>
            <w:tr w14:paraId="16AB7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4" w:type="dxa"/>
                  <w:vAlign w:val="center"/>
                </w:tcPr>
                <w:p w14:paraId="40C07CF6">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按照“应收尽收”的原则提升废气收集率。推动取消废气排放系统旁路，因安全生产等原因必须保留的，应将保留旁路清单报当地生态环境部门，旁路在非紧急情况下保持关闭，并通过铅封、安装自动监控设施、流量计等方式加强监管，开启后应及时向当地生态环境部门报告，做好台账记录。</w:t>
                  </w:r>
                </w:p>
                <w:p w14:paraId="4506ABF6">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将无组织排放转变为有组织排放进行控制，优先采用密闭设备、在密闭空间中操作或采用全密闭集气罩收集方式；对于采用局部集气罩的，应根据废气排放特点合理选择收集点位，距集气罩开口面最远处的VOCs无组织排放位置，控制风速不低于0.3米/秒，达不到要求的通过更换大功率风机、增设烟道风机、增加垂帘等方式及时改造；加强生产车间密闭管理，在符合安全生产、职业卫生相关规定前提下，采用自动卷帘门、密闭性好的塑钢门窗等，在非必要时保持关闭。按照与生产设备“同启同停”的原则提升治理设施运行率。</w:t>
                  </w:r>
                </w:p>
                <w:p w14:paraId="1FEDD1D6">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根据处理工艺要求，在处理设施达到正常运行条件后方可启动生产设备，在生产设备停止、残留VOCs废气收集处理完毕后，方可停运处理设施。</w:t>
                  </w:r>
                </w:p>
                <w:p w14:paraId="3BC9A38B">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VOCs废气处理系统发生故障或检修时，对应生产工艺设备应停止运行，待检修完毕后同步投入使用；因安全等因素生产工艺设备不能停止或不能及时停止运行的，应设置废气应急处理设施或采取其他替代措施。</w:t>
                  </w:r>
                </w:p>
                <w:p w14:paraId="58C23283">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按照“适宜高效”的原则提高治理设施去除率，不得稀释排放。</w:t>
                  </w:r>
                </w:p>
                <w:p w14:paraId="3757D83E">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企业新建治污设施或对现有治污设施实施改造，应依据排放废气特征、VOCs组分及浓度、生产工况等，合理选择治理技术，对治理难度大、单一处理工艺难以认定达标的，要采用多种技术的组合工艺。</w:t>
                  </w:r>
                </w:p>
              </w:tc>
              <w:tc>
                <w:tcPr>
                  <w:tcW w:w="2168" w:type="dxa"/>
                  <w:vAlign w:val="center"/>
                </w:tcPr>
                <w:p w14:paraId="588E3802">
                  <w:pPr>
                    <w:pStyle w:val="124"/>
                    <w:pageBreakBefore w:val="0"/>
                    <w:kinsoku/>
                    <w:overflowPunct/>
                    <w:topLinePunct w:val="0"/>
                    <w:bidi w:val="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本项目原料区、生产区、成品区均布设于彩钢瓦生产车间内，无组织废气通过车间通风，对周边环境影响不大。本环评要求</w:t>
                  </w:r>
                  <w:r>
                    <w:rPr>
                      <w:rFonts w:hint="default" w:ascii="Times New Roman" w:hAnsi="Times New Roman" w:eastAsia="宋体" w:cs="Times New Roman"/>
                      <w:color w:val="000000" w:themeColor="text1"/>
                      <w:lang w:val="en-US" w:eastAsia="zh-CN"/>
                      <w14:textFill>
                        <w14:solidFill>
                          <w14:schemeClr w14:val="tx1"/>
                        </w14:solidFill>
                      </w14:textFill>
                    </w:rPr>
                    <w:t>建设单位加强员工生产过程的规范操作，尽量避免气体的泄漏，以降低污染物排放。</w:t>
                  </w:r>
                </w:p>
                <w:p w14:paraId="4A70A81B">
                  <w:pPr>
                    <w:pStyle w:val="124"/>
                    <w:pageBreakBefore w:val="0"/>
                    <w:kinsoku/>
                    <w:overflowPunct/>
                    <w:topLinePunct w:val="0"/>
                    <w:bidi w:val="0"/>
                    <w:ind w:left="0" w:leftChars="0" w:right="0" w:rightChars="0" w:firstLine="0" w:firstLineChars="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本项目已配套设置相应废气治理设施，焚烧炉为密闭焚烧炉，属于“</w:t>
                  </w:r>
                  <w:r>
                    <w:rPr>
                      <w:rFonts w:hint="default" w:ascii="Times New Roman" w:hAnsi="Times New Roman" w:cs="Times New Roman"/>
                      <w:color w:val="000000" w:themeColor="text1"/>
                      <w14:textFill>
                        <w14:solidFill>
                          <w14:schemeClr w14:val="tx1"/>
                        </w14:solidFill>
                      </w14:textFill>
                    </w:rPr>
                    <w:t>采用全密闭集气罩或密闭空间的</w:t>
                  </w:r>
                  <w:r>
                    <w:rPr>
                      <w:rFonts w:hint="default" w:ascii="Times New Roman" w:hAnsi="Times New Roman" w:cs="Times New Roman"/>
                      <w:color w:val="000000" w:themeColor="text1"/>
                      <w:lang w:eastAsia="zh-CN"/>
                      <w14:textFill>
                        <w14:solidFill>
                          <w14:schemeClr w14:val="tx1"/>
                        </w14:solidFill>
                      </w14:textFill>
                    </w:rPr>
                    <w:t>”，满足相关要求。</w:t>
                  </w:r>
                </w:p>
                <w:p w14:paraId="108D0B5D">
                  <w:pPr>
                    <w:keepNext w:val="0"/>
                    <w:pageBreakBefore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生产环节</w:t>
                  </w:r>
                  <w:r>
                    <w:rPr>
                      <w:rFonts w:hint="default" w:ascii="Times New Roman" w:hAnsi="Times New Roman" w:cs="Times New Roman"/>
                      <w:b w:val="0"/>
                      <w:bCs/>
                      <w:color w:val="000000" w:themeColor="text1"/>
                      <w:lang w:val="en-US" w:eastAsia="zh-CN"/>
                      <w14:textFill>
                        <w14:solidFill>
                          <w14:schemeClr w14:val="tx1"/>
                        </w14:solidFill>
                      </w14:textFill>
                    </w:rPr>
                    <w:t>焚烧炉燃烧废气</w:t>
                  </w:r>
                  <w:r>
                    <w:rPr>
                      <w:rFonts w:hint="default" w:ascii="Times New Roman" w:hAnsi="Times New Roman" w:cs="Times New Roman"/>
                      <w:b w:val="0"/>
                      <w:bCs/>
                      <w:color w:val="000000" w:themeColor="text1"/>
                      <w:kern w:val="24"/>
                      <w:lang w:val="en-US" w:eastAsia="zh-CN"/>
                      <w14:textFill>
                        <w14:solidFill>
                          <w14:schemeClr w14:val="tx1"/>
                        </w14:solidFill>
                      </w14:textFill>
                    </w:rPr>
                    <w:t>经收集后进入一套“旋风+布袋+喷淋”设施处理后通过1根15m高排气筒DA001排放；</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抛丸除锈废气</w:t>
                  </w:r>
                  <w:r>
                    <w:rPr>
                      <w:rFonts w:hint="eastAsia" w:cs="Times New Roman"/>
                      <w:b w:val="0"/>
                      <w:bCs/>
                      <w:color w:val="000000" w:themeColor="text1"/>
                      <w:kern w:val="24"/>
                      <w:lang w:val="en-US" w:eastAsia="zh-CN"/>
                      <w14:textFill>
                        <w14:solidFill>
                          <w14:schemeClr w14:val="tx1"/>
                        </w14:solidFill>
                      </w14:textFill>
                    </w:rPr>
                    <w:t>、喷塑废气经各自设置的1套</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脉冲滤筒除尘器</w:t>
                  </w:r>
                  <w:r>
                    <w:rPr>
                      <w:rFonts w:hint="eastAsia" w:cs="Times New Roman"/>
                      <w:b w:val="0"/>
                      <w:bCs/>
                      <w:color w:val="000000" w:themeColor="text1"/>
                      <w:kern w:val="24"/>
                      <w:lang w:val="en-US" w:eastAsia="zh-CN"/>
                      <w14:textFill>
                        <w14:solidFill>
                          <w14:schemeClr w14:val="tx1"/>
                        </w14:solidFill>
                      </w14:textFill>
                    </w:rPr>
                    <w:t>（共2套）</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处理后并入排气筒DA00</w:t>
                  </w:r>
                  <w:r>
                    <w:rPr>
                      <w:rFonts w:hint="default" w:ascii="Times New Roman" w:hAnsi="Times New Roman" w:cs="Times New Roman"/>
                      <w:b w:val="0"/>
                      <w:bCs/>
                      <w:color w:val="000000" w:themeColor="text1"/>
                      <w:kern w:val="24"/>
                      <w:lang w:val="en-US" w:eastAsia="zh-CN"/>
                      <w14:textFill>
                        <w14:solidFill>
                          <w14:schemeClr w14:val="tx1"/>
                        </w14:solidFill>
                      </w14:textFill>
                    </w:rPr>
                    <w:t>2</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一同排放</w:t>
                  </w:r>
                  <w:r>
                    <w:rPr>
                      <w:rFonts w:hint="eastAsia" w:cs="Times New Roman"/>
                      <w:b w:val="0"/>
                      <w:bCs/>
                      <w:color w:val="000000" w:themeColor="text1"/>
                      <w:kern w:val="24"/>
                      <w:lang w:val="en-US" w:eastAsia="zh-CN"/>
                      <w14:textFill>
                        <w14:solidFill>
                          <w14:schemeClr w14:val="tx1"/>
                        </w14:solidFill>
                      </w14:textFill>
                    </w:rPr>
                    <w:t>；烘干固化废气引入焚烧炉通过热力焚烧后同焚烧废气进入废气处理系统处理后一同并入排气筒DA001一同排放</w:t>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满足相关要求</w:t>
                  </w:r>
                  <w:r>
                    <w:rPr>
                      <w:rFonts w:hint="default" w:ascii="Times New Roman" w:hAnsi="Times New Roman" w:cs="Times New Roman"/>
                      <w:color w:val="000000" w:themeColor="text1"/>
                      <w14:textFill>
                        <w14:solidFill>
                          <w14:schemeClr w14:val="tx1"/>
                        </w14:solidFill>
                      </w14:textFill>
                    </w:rPr>
                    <w:t>。</w:t>
                  </w:r>
                </w:p>
                <w:p w14:paraId="5B9269C8">
                  <w:pPr>
                    <w:keepNext w:val="0"/>
                    <w:pageBreakBefore w:val="0"/>
                    <w:kinsoku/>
                    <w:wordWrap/>
                    <w:overflowPunct/>
                    <w:topLinePunct w:val="0"/>
                    <w:autoSpaceDE/>
                    <w:autoSpaceDN/>
                    <w:bidi w:val="0"/>
                    <w:adjustRightInd/>
                    <w:snapToGrid/>
                    <w:spacing w:line="240" w:lineRule="auto"/>
                    <w:ind w:right="0"/>
                    <w:jc w:val="both"/>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本环评提出，若涉及</w:t>
                  </w:r>
                  <w:r>
                    <w:rPr>
                      <w:rFonts w:hint="default" w:ascii="Times New Roman" w:hAnsi="Times New Roman" w:cs="Times New Roman"/>
                      <w:color w:val="000000" w:themeColor="text1"/>
                      <w14:textFill>
                        <w14:solidFill>
                          <w14:schemeClr w14:val="tx1"/>
                        </w14:solidFill>
                      </w14:textFill>
                    </w:rPr>
                    <w:t>废气处理系统发生故障或检修时，对应生产工艺设备应停止运行，待检修完毕后同步投入使用</w:t>
                  </w:r>
                  <w:r>
                    <w:rPr>
                      <w:rFonts w:hint="default" w:ascii="Times New Roman" w:hAnsi="Times New Roman" w:cs="Times New Roman"/>
                      <w:color w:val="000000" w:themeColor="text1"/>
                      <w:lang w:eastAsia="zh-CN"/>
                      <w14:textFill>
                        <w14:solidFill>
                          <w14:schemeClr w14:val="tx1"/>
                        </w14:solidFill>
                      </w14:textFill>
                    </w:rPr>
                    <w:t>。</w:t>
                  </w:r>
                </w:p>
              </w:tc>
              <w:tc>
                <w:tcPr>
                  <w:tcW w:w="684" w:type="dxa"/>
                  <w:vAlign w:val="center"/>
                </w:tcPr>
                <w:p w14:paraId="20796207">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bl>
          <w:p w14:paraId="29FDBA0B">
            <w:pPr>
              <w:pStyle w:val="15"/>
              <w:pageBreakBefore w:val="0"/>
              <w:kinsoku/>
              <w:overflowPunct/>
              <w:topLinePunct w:val="0"/>
              <w:bidi w:val="0"/>
              <w:spacing w:line="360" w:lineRule="auto"/>
              <w:ind w:left="0" w:leftChars="0" w:right="0" w:firstLine="498" w:firstLineChars="200"/>
              <w:rPr>
                <w:rFonts w:hint="default" w:ascii="Times New Roman" w:hAnsi="Times New Roman" w:cs="Times New Roman"/>
                <w:color w:val="000000" w:themeColor="text1"/>
                <w:spacing w:val="4"/>
                <w:kern w:val="24"/>
                <w:sz w:val="24"/>
                <w:lang w:bidi="ar"/>
                <w14:textFill>
                  <w14:solidFill>
                    <w14:schemeClr w14:val="tx1"/>
                  </w14:solidFill>
                </w14:textFill>
              </w:rPr>
            </w:pPr>
            <w:r>
              <w:rPr>
                <w:rFonts w:hint="default" w:ascii="Times New Roman" w:hAnsi="Times New Roman" w:cs="Times New Roman"/>
                <w:b/>
                <w:bCs/>
                <w:color w:val="000000" w:themeColor="text1"/>
                <w:spacing w:val="4"/>
                <w:kern w:val="24"/>
                <w:sz w:val="24"/>
                <w:lang w:val="en-US" w:eastAsia="zh-CN" w:bidi="ar"/>
                <w14:textFill>
                  <w14:solidFill>
                    <w14:schemeClr w14:val="tx1"/>
                  </w14:solidFill>
                </w14:textFill>
              </w:rPr>
              <w:t>11</w:t>
            </w:r>
            <w:r>
              <w:rPr>
                <w:rFonts w:hint="default" w:ascii="Times New Roman" w:hAnsi="Times New Roman" w:cs="Times New Roman"/>
                <w:b/>
                <w:bCs/>
                <w:color w:val="000000" w:themeColor="text1"/>
                <w:spacing w:val="4"/>
                <w:kern w:val="24"/>
                <w:sz w:val="24"/>
                <w:lang w:bidi="ar"/>
                <w14:textFill>
                  <w14:solidFill>
                    <w14:schemeClr w14:val="tx1"/>
                  </w14:solidFill>
                </w14:textFill>
              </w:rPr>
              <w:t>、与《挥发性有机物污染防治技术政策》</w:t>
            </w:r>
            <w:r>
              <w:rPr>
                <w:rFonts w:hint="default" w:ascii="Times New Roman" w:hAnsi="Times New Roman" w:cs="Times New Roman"/>
                <w:b/>
                <w:bCs/>
                <w:color w:val="000000" w:themeColor="text1"/>
                <w:spacing w:val="4"/>
                <w:kern w:val="24"/>
                <w:sz w:val="24"/>
                <w:lang w:eastAsia="zh-CN" w:bidi="ar"/>
                <w14:textFill>
                  <w14:solidFill>
                    <w14:schemeClr w14:val="tx1"/>
                  </w14:solidFill>
                </w14:textFill>
              </w:rPr>
              <w:t>（生态环境部公告</w:t>
            </w:r>
            <w:r>
              <w:rPr>
                <w:rFonts w:hint="default" w:ascii="Times New Roman" w:hAnsi="Times New Roman" w:cs="Times New Roman"/>
                <w:b/>
                <w:bCs/>
                <w:color w:val="000000" w:themeColor="text1"/>
                <w:spacing w:val="4"/>
                <w:kern w:val="24"/>
                <w:sz w:val="24"/>
                <w:lang w:val="en-US" w:eastAsia="zh-CN" w:bidi="ar"/>
                <w14:textFill>
                  <w14:solidFill>
                    <w14:schemeClr w14:val="tx1"/>
                  </w14:solidFill>
                </w14:textFill>
              </w:rPr>
              <w:t>2013年第31号</w:t>
            </w:r>
            <w:r>
              <w:rPr>
                <w:rFonts w:hint="default" w:ascii="Times New Roman" w:hAnsi="Times New Roman" w:cs="Times New Roman"/>
                <w:b/>
                <w:bCs/>
                <w:color w:val="000000" w:themeColor="text1"/>
                <w:spacing w:val="4"/>
                <w:kern w:val="24"/>
                <w:sz w:val="24"/>
                <w:lang w:eastAsia="zh-CN" w:bidi="ar"/>
                <w14:textFill>
                  <w14:solidFill>
                    <w14:schemeClr w14:val="tx1"/>
                  </w14:solidFill>
                </w14:textFill>
              </w:rPr>
              <w:t>）</w:t>
            </w:r>
            <w:r>
              <w:rPr>
                <w:rFonts w:hint="default" w:ascii="Times New Roman" w:hAnsi="Times New Roman" w:cs="Times New Roman"/>
                <w:b/>
                <w:bCs/>
                <w:color w:val="000000" w:themeColor="text1"/>
                <w:spacing w:val="4"/>
                <w:kern w:val="24"/>
                <w:sz w:val="24"/>
                <w:lang w:bidi="ar"/>
                <w14:textFill>
                  <w14:solidFill>
                    <w14:schemeClr w14:val="tx1"/>
                  </w14:solidFill>
                </w14:textFill>
              </w:rPr>
              <w:t>符合性分析</w:t>
            </w:r>
          </w:p>
          <w:p w14:paraId="2FF6D77D">
            <w:pPr>
              <w:pStyle w:val="44"/>
              <w:pageBreakBefore w:val="0"/>
              <w:kinsoku/>
              <w:overflowPunct/>
              <w:topLinePunct w:val="0"/>
              <w:bidi w:val="0"/>
              <w:ind w:left="0" w:leftChars="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项目与《挥发性有机物污染防治技术政策》相符性分析见表1-9。</w:t>
            </w:r>
          </w:p>
          <w:p w14:paraId="51B594BC">
            <w:pPr>
              <w:pStyle w:val="45"/>
              <w:pageBreakBefore w:val="0"/>
              <w:kinsoku/>
              <w:overflowPunct/>
              <w:topLinePunct w:val="0"/>
              <w:bidi w:val="0"/>
              <w:spacing w:before="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表1-</w:t>
            </w:r>
            <w:r>
              <w:rPr>
                <w:rFonts w:hint="default" w:ascii="Times New Roman" w:hAnsi="Times New Roman" w:cs="Times New Roman"/>
                <w:color w:val="000000" w:themeColor="text1"/>
                <w:lang w:val="en-US" w:eastAsia="zh-CN"/>
                <w14:textFill>
                  <w14:solidFill>
                    <w14:schemeClr w14:val="tx1"/>
                  </w14:solidFill>
                </w14:textFill>
              </w:rPr>
              <w:t>11</w:t>
            </w:r>
            <w:r>
              <w:rPr>
                <w:rFonts w:hint="default" w:ascii="Times New Roman" w:hAnsi="Times New Roman" w:cs="Times New Roman"/>
                <w:color w:val="000000" w:themeColor="text1"/>
                <w14:textFill>
                  <w14:solidFill>
                    <w14:schemeClr w14:val="tx1"/>
                  </w14:solidFill>
                </w14:textFill>
              </w:rPr>
              <w:t>与《挥发性有机物污染防治技术政策》符合性分析</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324"/>
              <w:gridCol w:w="2873"/>
              <w:gridCol w:w="2991"/>
              <w:gridCol w:w="636"/>
            </w:tblGrid>
            <w:tr w14:paraId="7D07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Align w:val="center"/>
                </w:tcPr>
                <w:p w14:paraId="67995C99">
                  <w:pPr>
                    <w:pageBreakBefore w:val="0"/>
                    <w:kinsoku/>
                    <w:overflowPunct/>
                    <w:topLinePunct w:val="0"/>
                    <w:bidi w:val="0"/>
                    <w:ind w:left="0" w:leftChars="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序号</w:t>
                  </w:r>
                </w:p>
              </w:tc>
              <w:tc>
                <w:tcPr>
                  <w:tcW w:w="3197" w:type="dxa"/>
                  <w:gridSpan w:val="2"/>
                  <w:vAlign w:val="center"/>
                </w:tcPr>
                <w:p w14:paraId="605B1F6C">
                  <w:pPr>
                    <w:pageBreakBefore w:val="0"/>
                    <w:kinsoku/>
                    <w:overflowPunct/>
                    <w:topLinePunct w:val="0"/>
                    <w:bidi w:val="0"/>
                    <w:ind w:left="0" w:leftChars="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color w:val="000000" w:themeColor="text1"/>
                      <w:spacing w:val="4"/>
                      <w:kern w:val="24"/>
                      <w:szCs w:val="21"/>
                      <w:lang w:bidi="ar"/>
                      <w14:textFill>
                        <w14:solidFill>
                          <w14:schemeClr w14:val="tx1"/>
                        </w14:solidFill>
                      </w14:textFill>
                    </w:rPr>
                    <w:t>《挥发性有机物污染防治技术政策》相关内容如下</w:t>
                  </w:r>
                </w:p>
              </w:tc>
              <w:tc>
                <w:tcPr>
                  <w:tcW w:w="2991" w:type="dxa"/>
                  <w:vAlign w:val="center"/>
                </w:tcPr>
                <w:p w14:paraId="5FFBD73D">
                  <w:pPr>
                    <w:pageBreakBefore w:val="0"/>
                    <w:kinsoku/>
                    <w:overflowPunct/>
                    <w:topLinePunct w:val="0"/>
                    <w:bidi w:val="0"/>
                    <w:ind w:left="0" w:leftChars="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项目情况</w:t>
                  </w:r>
                </w:p>
              </w:tc>
              <w:tc>
                <w:tcPr>
                  <w:tcW w:w="636" w:type="dxa"/>
                  <w:vAlign w:val="center"/>
                </w:tcPr>
                <w:p w14:paraId="4EDADDB9">
                  <w:pPr>
                    <w:pageBreakBefore w:val="0"/>
                    <w:kinsoku/>
                    <w:overflowPunct/>
                    <w:topLinePunct w:val="0"/>
                    <w:bidi w:val="0"/>
                    <w:ind w:left="0" w:leftChars="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相符性</w:t>
                  </w:r>
                </w:p>
              </w:tc>
            </w:tr>
            <w:tr w14:paraId="20BA6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Align w:val="center"/>
                </w:tcPr>
                <w:p w14:paraId="162FEA07">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324" w:type="dxa"/>
                  <w:vMerge w:val="restart"/>
                  <w:vAlign w:val="center"/>
                </w:tcPr>
                <w:p w14:paraId="3C22B1E4">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源头和过程控制</w:t>
                  </w:r>
                </w:p>
              </w:tc>
              <w:tc>
                <w:tcPr>
                  <w:tcW w:w="2873" w:type="dxa"/>
                  <w:vAlign w:val="center"/>
                </w:tcPr>
                <w:p w14:paraId="4668CFFF">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鼓励使用通过环境标志产品认证的环保型涂料、油墨、胶粘剂和清洗剂。</w:t>
                  </w:r>
                </w:p>
              </w:tc>
              <w:tc>
                <w:tcPr>
                  <w:tcW w:w="2991" w:type="dxa"/>
                  <w:vAlign w:val="center"/>
                </w:tcPr>
                <w:p w14:paraId="1D0B6E48">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w:t>
                  </w:r>
                  <w:r>
                    <w:rPr>
                      <w:rFonts w:hint="default" w:ascii="Times New Roman" w:hAnsi="Times New Roman" w:cs="Times New Roman"/>
                      <w:color w:val="000000" w:themeColor="text1"/>
                      <w:szCs w:val="21"/>
                      <w:lang w:val="zh-CN"/>
                      <w14:textFill>
                        <w14:solidFill>
                          <w14:schemeClr w14:val="tx1"/>
                        </w14:solidFill>
                      </w14:textFill>
                    </w:rPr>
                    <w:t>环保型涂料、油墨。</w:t>
                  </w:r>
                </w:p>
              </w:tc>
              <w:tc>
                <w:tcPr>
                  <w:tcW w:w="636" w:type="dxa"/>
                  <w:vAlign w:val="center"/>
                </w:tcPr>
                <w:p w14:paraId="0AC243D2">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2EAA9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62" w:type="dxa"/>
                  <w:vAlign w:val="center"/>
                </w:tcPr>
                <w:p w14:paraId="0EDD6EBA">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324" w:type="dxa"/>
                  <w:vMerge w:val="continue"/>
                  <w:vAlign w:val="center"/>
                </w:tcPr>
                <w:p w14:paraId="79FE5535">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p>
              </w:tc>
              <w:tc>
                <w:tcPr>
                  <w:tcW w:w="2873" w:type="dxa"/>
                  <w:vAlign w:val="center"/>
                </w:tcPr>
                <w:p w14:paraId="7A79A63A">
                  <w:pPr>
                    <w:pageBreakBefore w:val="0"/>
                    <w:kinsoku/>
                    <w:overflowPunct/>
                    <w:topLinePunct w:val="0"/>
                    <w:bidi w:val="0"/>
                    <w:ind w:left="0" w:leftChars="0" w:right="0"/>
                    <w:jc w:val="center"/>
                    <w:rPr>
                      <w:rFonts w:hint="default" w:ascii="Times New Roman" w:hAnsi="Times New Roman" w:cs="Times New Roman"/>
                      <w:color w:val="000000" w:themeColor="text1"/>
                      <w:szCs w:val="21"/>
                      <w:lang w:val="zh-CN"/>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根据涂装工艺的不同，鼓励使用水性涂料、高固份涂料、粉末涂料、紫外光固化（UV）涂料等环保型涂料；推广采用静电喷涂、淋涂、辊涂、浸涂等效率较高的涂装工艺；应尽量避免无VoCs净化、回收措施的露天喷涂作业。</w:t>
                  </w:r>
                </w:p>
              </w:tc>
              <w:tc>
                <w:tcPr>
                  <w:tcW w:w="2991" w:type="dxa"/>
                  <w:vAlign w:val="center"/>
                </w:tcPr>
                <w:p w14:paraId="3B62F93F">
                  <w:pPr>
                    <w:keepNext w:val="0"/>
                    <w:pageBreakBefore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本项目使用</w:t>
                  </w:r>
                  <w:r>
                    <w:rPr>
                      <w:rFonts w:hint="default" w:ascii="Times New Roman" w:hAnsi="Times New Roman" w:eastAsia="宋体" w:cs="Times New Roman"/>
                      <w:color w:val="000000" w:themeColor="text1"/>
                      <w:lang w:val="en-US" w:eastAsia="zh-CN"/>
                      <w14:textFill>
                        <w14:solidFill>
                          <w14:schemeClr w14:val="tx1"/>
                        </w14:solidFill>
                      </w14:textFill>
                    </w:rPr>
                    <w:t>热固型粉末主要为环氧聚酯粉末，无溶剂；本项目采用静电喷涂工艺；本项目生产区、原料区、成品区均位于彩钢瓦生产车间内，未露天作业，满足相关要求。</w:t>
                  </w:r>
                </w:p>
              </w:tc>
              <w:tc>
                <w:tcPr>
                  <w:tcW w:w="636" w:type="dxa"/>
                  <w:vAlign w:val="center"/>
                </w:tcPr>
                <w:p w14:paraId="00404E4F">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5CBC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462" w:type="dxa"/>
                  <w:vAlign w:val="center"/>
                </w:tcPr>
                <w:p w14:paraId="75E7BEB1">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w:t>
                  </w:r>
                </w:p>
              </w:tc>
              <w:tc>
                <w:tcPr>
                  <w:tcW w:w="324" w:type="dxa"/>
                  <w:vMerge w:val="continue"/>
                  <w:vAlign w:val="center"/>
                </w:tcPr>
                <w:p w14:paraId="57828E5F">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p>
              </w:tc>
              <w:tc>
                <w:tcPr>
                  <w:tcW w:w="2873" w:type="dxa"/>
                  <w:vAlign w:val="center"/>
                </w:tcPr>
                <w:p w14:paraId="4CFDBE93">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淘汰以三氟三氯乙烷、甲基氯仿和四氯化碳为清洗剂或溶剂的生产工艺。清洗过程中产生的废溶剂宜密闭收集，有回收价值的废溶剂经处理后回用，其他废溶剂应妥善处置。</w:t>
                  </w:r>
                </w:p>
              </w:tc>
              <w:tc>
                <w:tcPr>
                  <w:tcW w:w="2991" w:type="dxa"/>
                  <w:vAlign w:val="center"/>
                </w:tcPr>
                <w:p w14:paraId="3899BD2F">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本项目不涉及</w:t>
                  </w:r>
                  <w:r>
                    <w:rPr>
                      <w:rFonts w:hint="default" w:ascii="Times New Roman" w:hAnsi="Times New Roman" w:cs="Times New Roman"/>
                      <w:color w:val="000000" w:themeColor="text1"/>
                      <w:szCs w:val="21"/>
                      <w:lang w:val="zh-CN"/>
                      <w14:textFill>
                        <w14:solidFill>
                          <w14:schemeClr w14:val="tx1"/>
                        </w14:solidFill>
                      </w14:textFill>
                    </w:rPr>
                    <w:t>以三氟三氯乙烷、甲基氯仿和四氯化碳为清洗剂或溶剂的生产工艺。</w:t>
                  </w:r>
                </w:p>
              </w:tc>
              <w:tc>
                <w:tcPr>
                  <w:tcW w:w="636" w:type="dxa"/>
                  <w:vAlign w:val="center"/>
                </w:tcPr>
                <w:p w14:paraId="19423B1F">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5583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62" w:type="dxa"/>
                  <w:vAlign w:val="center"/>
                </w:tcPr>
                <w:p w14:paraId="11B17359">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w:t>
                  </w:r>
                </w:p>
              </w:tc>
              <w:tc>
                <w:tcPr>
                  <w:tcW w:w="324" w:type="dxa"/>
                  <w:vMerge w:val="continue"/>
                  <w:vAlign w:val="center"/>
                </w:tcPr>
                <w:p w14:paraId="16A32490">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p>
              </w:tc>
              <w:tc>
                <w:tcPr>
                  <w:tcW w:w="2873" w:type="dxa"/>
                  <w:vAlign w:val="center"/>
                </w:tcPr>
                <w:p w14:paraId="41CF86DF">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含VOCs产品的使用过程中，应采取废气收集措施，提高废气收集效率，减少废气的无组织排放与逸散，并对收集后的废气进行回收或处理后达标排放。</w:t>
                  </w:r>
                </w:p>
              </w:tc>
              <w:tc>
                <w:tcPr>
                  <w:tcW w:w="2991" w:type="dxa"/>
                  <w:vMerge w:val="restart"/>
                  <w:vAlign w:val="center"/>
                </w:tcPr>
                <w:p w14:paraId="310A28FE">
                  <w:pPr>
                    <w:keepNext w:val="0"/>
                    <w:pageBreakBefore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生产环节</w:t>
                  </w:r>
                  <w:r>
                    <w:rPr>
                      <w:rFonts w:hint="default" w:ascii="Times New Roman" w:hAnsi="Times New Roman" w:cs="Times New Roman"/>
                      <w:b w:val="0"/>
                      <w:bCs/>
                      <w:color w:val="000000" w:themeColor="text1"/>
                      <w:lang w:val="en-US" w:eastAsia="zh-CN"/>
                      <w14:textFill>
                        <w14:solidFill>
                          <w14:schemeClr w14:val="tx1"/>
                        </w14:solidFill>
                      </w14:textFill>
                    </w:rPr>
                    <w:t>焚烧炉燃烧废气</w:t>
                  </w:r>
                  <w:r>
                    <w:rPr>
                      <w:rFonts w:hint="default" w:ascii="Times New Roman" w:hAnsi="Times New Roman" w:cs="Times New Roman"/>
                      <w:b w:val="0"/>
                      <w:bCs/>
                      <w:color w:val="000000" w:themeColor="text1"/>
                      <w:kern w:val="24"/>
                      <w:lang w:val="en-US" w:eastAsia="zh-CN"/>
                      <w14:textFill>
                        <w14:solidFill>
                          <w14:schemeClr w14:val="tx1"/>
                        </w14:solidFill>
                      </w14:textFill>
                    </w:rPr>
                    <w:t>经收集后进入一套“旋风+布袋+喷淋”设施处理后通过1根15m高排气筒DA001排放；</w:t>
                  </w:r>
                  <w:r>
                    <w:rPr>
                      <w:rFonts w:hint="eastAsia" w:cs="Times New Roman"/>
                      <w:b w:val="0"/>
                      <w:bCs/>
                      <w:color w:val="000000" w:themeColor="text1"/>
                      <w:kern w:val="24"/>
                      <w:lang w:val="en-US" w:eastAsia="zh-CN"/>
                      <w14:textFill>
                        <w14:solidFill>
                          <w14:schemeClr w14:val="tx1"/>
                        </w14:solidFill>
                      </w14:textFill>
                    </w:rPr>
                    <w:t>烘干固化废气引入焚烧炉通过热力焚烧后同焚烧废气进入废气处理系统处理后一同并入排气筒DA001一同排放</w:t>
                  </w:r>
                  <w:r>
                    <w:rPr>
                      <w:rFonts w:hint="default" w:ascii="Times New Roman" w:hAnsi="Times New Roman" w:cs="Times New Roman"/>
                      <w:b w:val="0"/>
                      <w:bCs/>
                      <w:color w:val="000000" w:themeColor="text1"/>
                      <w:kern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抛丸除锈废气、喷塑废气经各自设置的1套脉冲滤筒除尘器（共2套）处理后并入排气筒DA002一同排放</w:t>
                  </w:r>
                  <w:r>
                    <w:rPr>
                      <w:rFonts w:hint="default" w:ascii="Times New Roman" w:hAnsi="Times New Roman" w:cs="Times New Roman"/>
                      <w:color w:val="000000" w:themeColor="text1"/>
                      <w14:textFill>
                        <w14:solidFill>
                          <w14:schemeClr w14:val="tx1"/>
                        </w14:solidFill>
                      </w14:textFill>
                    </w:rPr>
                    <w:t>。</w:t>
                  </w:r>
                </w:p>
              </w:tc>
              <w:tc>
                <w:tcPr>
                  <w:tcW w:w="636" w:type="dxa"/>
                  <w:vAlign w:val="center"/>
                </w:tcPr>
                <w:p w14:paraId="2966012C">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30ED7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62" w:type="dxa"/>
                  <w:vAlign w:val="center"/>
                </w:tcPr>
                <w:p w14:paraId="1EC197D5">
                  <w:pPr>
                    <w:pageBreakBefore w:val="0"/>
                    <w:kinsoku/>
                    <w:overflowPunct/>
                    <w:topLinePunct w:val="0"/>
                    <w:bidi w:val="0"/>
                    <w:ind w:left="0" w:leftChars="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w:t>
                  </w:r>
                </w:p>
              </w:tc>
              <w:tc>
                <w:tcPr>
                  <w:tcW w:w="324" w:type="dxa"/>
                  <w:vMerge w:val="restart"/>
                  <w:vAlign w:val="center"/>
                </w:tcPr>
                <w:p w14:paraId="42E618B3">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末端治理与综合利用</w:t>
                  </w:r>
                </w:p>
              </w:tc>
              <w:tc>
                <w:tcPr>
                  <w:tcW w:w="2873" w:type="dxa"/>
                  <w:vAlign w:val="center"/>
                </w:tcPr>
                <w:p w14:paraId="15000A48">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在工业生产过程中鼓励VOCs的回收利用，并优先鼓励在生产系统内回用。</w:t>
                  </w:r>
                </w:p>
              </w:tc>
              <w:tc>
                <w:tcPr>
                  <w:tcW w:w="2991" w:type="dxa"/>
                  <w:vMerge w:val="continue"/>
                  <w:vAlign w:val="center"/>
                </w:tcPr>
                <w:p w14:paraId="11D0A657">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p>
              </w:tc>
              <w:tc>
                <w:tcPr>
                  <w:tcW w:w="636" w:type="dxa"/>
                  <w:vAlign w:val="center"/>
                </w:tcPr>
                <w:p w14:paraId="7787A12D">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5E336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62" w:type="dxa"/>
                  <w:vAlign w:val="center"/>
                </w:tcPr>
                <w:p w14:paraId="07C5D1C3">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w:t>
                  </w:r>
                </w:p>
              </w:tc>
              <w:tc>
                <w:tcPr>
                  <w:tcW w:w="324" w:type="dxa"/>
                  <w:vMerge w:val="continue"/>
                  <w:vAlign w:val="center"/>
                </w:tcPr>
                <w:p w14:paraId="7A17B3C8">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p>
              </w:tc>
              <w:tc>
                <w:tcPr>
                  <w:tcW w:w="2873" w:type="dxa"/>
                  <w:vAlign w:val="center"/>
                </w:tcPr>
                <w:p w14:paraId="77FC4BF2">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2991" w:type="dxa"/>
                  <w:vMerge w:val="continue"/>
                  <w:vAlign w:val="center"/>
                </w:tcPr>
                <w:p w14:paraId="1E637D85">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p>
              </w:tc>
              <w:tc>
                <w:tcPr>
                  <w:tcW w:w="636" w:type="dxa"/>
                  <w:vAlign w:val="center"/>
                </w:tcPr>
                <w:p w14:paraId="4690A0A8">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4343F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62" w:type="dxa"/>
                  <w:vAlign w:val="center"/>
                </w:tcPr>
                <w:p w14:paraId="14BCADB8">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w:t>
                  </w:r>
                </w:p>
              </w:tc>
              <w:tc>
                <w:tcPr>
                  <w:tcW w:w="324" w:type="dxa"/>
                  <w:vMerge w:val="continue"/>
                  <w:vAlign w:val="center"/>
                </w:tcPr>
                <w:p w14:paraId="4A43D996">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p>
              </w:tc>
              <w:tc>
                <w:tcPr>
                  <w:tcW w:w="2873" w:type="dxa"/>
                  <w:vAlign w:val="center"/>
                </w:tcPr>
                <w:p w14:paraId="27E0D1B4">
                  <w:pPr>
                    <w:pageBreakBefore w:val="0"/>
                    <w:kinsoku/>
                    <w:overflowPunct/>
                    <w:topLinePunct w:val="0"/>
                    <w:bidi w:val="0"/>
                    <w:ind w:left="0" w:leftChars="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含有有机卤素成分VOCs的废气，宜采用非焚烧技术处理。</w:t>
                  </w:r>
                </w:p>
              </w:tc>
              <w:tc>
                <w:tcPr>
                  <w:tcW w:w="2991" w:type="dxa"/>
                  <w:vAlign w:val="center"/>
                </w:tcPr>
                <w:p w14:paraId="0251E1CE">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本项目不涉及。</w:t>
                  </w:r>
                </w:p>
              </w:tc>
              <w:tc>
                <w:tcPr>
                  <w:tcW w:w="636" w:type="dxa"/>
                  <w:vAlign w:val="center"/>
                </w:tcPr>
                <w:p w14:paraId="5B47B306">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670B5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2" w:type="dxa"/>
                  <w:vAlign w:val="center"/>
                </w:tcPr>
                <w:p w14:paraId="421902A5">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c>
                <w:tcPr>
                  <w:tcW w:w="324" w:type="dxa"/>
                  <w:vMerge w:val="continue"/>
                  <w:vAlign w:val="center"/>
                </w:tcPr>
                <w:p w14:paraId="1E56D1DB">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p>
              </w:tc>
              <w:tc>
                <w:tcPr>
                  <w:tcW w:w="2873" w:type="dxa"/>
                  <w:vAlign w:val="center"/>
                </w:tcPr>
                <w:p w14:paraId="33176D5E">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恶臭气体污染源可采用生物技术、等离子体技术、吸附技术、吸收技术、紫外光高级氧化技术或组合技术等进行净化。净化后的恶臭气体除满足达标排放的要求外，还应采取高空排放等措施，避免产生扰民问题。</w:t>
                  </w:r>
                </w:p>
              </w:tc>
              <w:tc>
                <w:tcPr>
                  <w:tcW w:w="2991" w:type="dxa"/>
                  <w:vAlign w:val="center"/>
                </w:tcPr>
                <w:p w14:paraId="3B6D3BCB">
                  <w:pPr>
                    <w:keepNext w:val="0"/>
                    <w:pageBreakBefore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生产环节</w:t>
                  </w:r>
                  <w:r>
                    <w:rPr>
                      <w:rFonts w:hint="default" w:ascii="Times New Roman" w:hAnsi="Times New Roman" w:cs="Times New Roman"/>
                      <w:b w:val="0"/>
                      <w:bCs/>
                      <w:color w:val="000000" w:themeColor="text1"/>
                      <w:lang w:val="en-US" w:eastAsia="zh-CN"/>
                      <w14:textFill>
                        <w14:solidFill>
                          <w14:schemeClr w14:val="tx1"/>
                        </w14:solidFill>
                      </w14:textFill>
                    </w:rPr>
                    <w:t>焚烧炉燃烧废气</w:t>
                  </w:r>
                  <w:r>
                    <w:rPr>
                      <w:rFonts w:hint="default" w:ascii="Times New Roman" w:hAnsi="Times New Roman" w:cs="Times New Roman"/>
                      <w:b w:val="0"/>
                      <w:bCs/>
                      <w:color w:val="000000" w:themeColor="text1"/>
                      <w:kern w:val="24"/>
                      <w:lang w:val="en-US" w:eastAsia="zh-CN"/>
                      <w14:textFill>
                        <w14:solidFill>
                          <w14:schemeClr w14:val="tx1"/>
                        </w14:solidFill>
                      </w14:textFill>
                    </w:rPr>
                    <w:t>经收集后进入一套“旋风+布袋+喷淋”设施处理后通过1根15m高排气筒DA001排放；</w:t>
                  </w:r>
                  <w:r>
                    <w:rPr>
                      <w:rFonts w:hint="eastAsia" w:cs="Times New Roman"/>
                      <w:b w:val="0"/>
                      <w:bCs/>
                      <w:color w:val="000000" w:themeColor="text1"/>
                      <w:kern w:val="24"/>
                      <w:lang w:val="en-US" w:eastAsia="zh-CN"/>
                      <w14:textFill>
                        <w14:solidFill>
                          <w14:schemeClr w14:val="tx1"/>
                        </w14:solidFill>
                      </w14:textFill>
                    </w:rPr>
                    <w:t>烘干固化废气引入焚烧炉通过热力焚烧后同焚烧废气进入废气处理系统处理后一同并入排气筒DA001一同排放</w:t>
                  </w:r>
                  <w:r>
                    <w:rPr>
                      <w:rFonts w:hint="default" w:ascii="Times New Roman" w:hAnsi="Times New Roman" w:cs="Times New Roman"/>
                      <w:b w:val="0"/>
                      <w:bCs/>
                      <w:color w:val="000000" w:themeColor="text1"/>
                      <w:kern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抛丸除锈废气、喷塑废气经各自设置的1套脉冲滤筒除尘器（共2套）处理后并入排气筒DA002一同排放</w:t>
                  </w:r>
                  <w:r>
                    <w:rPr>
                      <w:rFonts w:hint="default" w:ascii="Times New Roman" w:hAnsi="Times New Roman" w:cs="Times New Roman"/>
                      <w:color w:val="000000" w:themeColor="text1"/>
                      <w:lang w:eastAsia="zh-CN"/>
                      <w14:textFill>
                        <w14:solidFill>
                          <w14:schemeClr w14:val="tx1"/>
                        </w14:solidFill>
                      </w14:textFill>
                    </w:rPr>
                    <w:t>，满足相关要求</w:t>
                  </w:r>
                  <w:r>
                    <w:rPr>
                      <w:rFonts w:hint="default" w:ascii="Times New Roman" w:hAnsi="Times New Roman" w:cs="Times New Roman"/>
                      <w:color w:val="000000" w:themeColor="text1"/>
                      <w14:textFill>
                        <w14:solidFill>
                          <w14:schemeClr w14:val="tx1"/>
                        </w14:solidFill>
                      </w14:textFill>
                    </w:rPr>
                    <w:t>。</w:t>
                  </w:r>
                </w:p>
              </w:tc>
              <w:tc>
                <w:tcPr>
                  <w:tcW w:w="636" w:type="dxa"/>
                  <w:vAlign w:val="center"/>
                </w:tcPr>
                <w:p w14:paraId="240E6DD1">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0A93F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62" w:type="dxa"/>
                  <w:vAlign w:val="center"/>
                </w:tcPr>
                <w:p w14:paraId="078730E1">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w:t>
                  </w:r>
                </w:p>
              </w:tc>
              <w:tc>
                <w:tcPr>
                  <w:tcW w:w="324" w:type="dxa"/>
                  <w:vMerge w:val="continue"/>
                  <w:vAlign w:val="center"/>
                </w:tcPr>
                <w:p w14:paraId="2A2E8EE9">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p>
              </w:tc>
              <w:tc>
                <w:tcPr>
                  <w:tcW w:w="2873" w:type="dxa"/>
                  <w:vAlign w:val="center"/>
                </w:tcPr>
                <w:p w14:paraId="60104E58">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对于不能再生的过滤材料、吸附剂及催化剂等净化材料，应按照国家固体废物管理的相关规定处理处置。</w:t>
                  </w:r>
                </w:p>
              </w:tc>
              <w:tc>
                <w:tcPr>
                  <w:tcW w:w="2991" w:type="dxa"/>
                  <w:vAlign w:val="center"/>
                </w:tcPr>
                <w:p w14:paraId="31FADD76">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w:t>
                  </w:r>
                  <w:r>
                    <w:rPr>
                      <w:rFonts w:hint="default" w:ascii="Times New Roman" w:hAnsi="Times New Roman" w:cs="Times New Roman"/>
                      <w:color w:val="000000" w:themeColor="text1"/>
                      <w:szCs w:val="21"/>
                      <w:lang w:eastAsia="zh-CN"/>
                      <w14:textFill>
                        <w14:solidFill>
                          <w14:schemeClr w14:val="tx1"/>
                        </w14:solidFill>
                      </w14:textFill>
                    </w:rPr>
                    <w:t>危险废物</w:t>
                  </w:r>
                  <w:r>
                    <w:rPr>
                      <w:rFonts w:hint="default" w:ascii="Times New Roman" w:hAnsi="Times New Roman" w:cs="Times New Roman"/>
                      <w:color w:val="000000" w:themeColor="text1"/>
                      <w:szCs w:val="21"/>
                      <w14:textFill>
                        <w14:solidFill>
                          <w14:schemeClr w14:val="tx1"/>
                        </w14:solidFill>
                      </w14:textFill>
                    </w:rPr>
                    <w:t>收集暂存于危废暂存间后，委托资质单位清运处置。</w:t>
                  </w:r>
                </w:p>
              </w:tc>
              <w:tc>
                <w:tcPr>
                  <w:tcW w:w="636" w:type="dxa"/>
                  <w:vAlign w:val="center"/>
                </w:tcPr>
                <w:p w14:paraId="66CA9172">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bl>
          <w:p w14:paraId="13C385A0">
            <w:pPr>
              <w:pStyle w:val="91"/>
              <w:pageBreakBefore w:val="0"/>
              <w:kinsoku/>
              <w:overflowPunct/>
              <w:topLinePunct w:val="0"/>
              <w:bidi w:val="0"/>
              <w:ind w:left="0" w:leftChars="0" w:right="0"/>
              <w:rPr>
                <w:rStyle w:val="41"/>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综上，</w:t>
            </w:r>
            <w:r>
              <w:rPr>
                <w:rFonts w:hint="default" w:ascii="Times New Roman" w:hAnsi="Times New Roman" w:cs="Times New Roman"/>
                <w:color w:val="000000" w:themeColor="text1"/>
                <w:kern w:val="0"/>
                <w14:textFill>
                  <w14:solidFill>
                    <w14:schemeClr w14:val="tx1"/>
                  </w14:solidFill>
                </w14:textFill>
              </w:rPr>
              <w:t>项目建设与</w:t>
            </w:r>
            <w:r>
              <w:rPr>
                <w:rFonts w:hint="default" w:ascii="Times New Roman" w:hAnsi="Times New Roman" w:cs="Times New Roman"/>
                <w:color w:val="000000" w:themeColor="text1"/>
                <w14:textFill>
                  <w14:solidFill>
                    <w14:schemeClr w14:val="tx1"/>
                  </w14:solidFill>
                </w14:textFill>
              </w:rPr>
              <w:t>《挥发性有机物污染防治技术政策》相关要求相符。</w:t>
            </w:r>
          </w:p>
          <w:p w14:paraId="03DF3754">
            <w:pPr>
              <w:pStyle w:val="44"/>
              <w:pageBreakBefore w:val="0"/>
              <w:kinsoku/>
              <w:overflowPunct/>
              <w:topLinePunct w:val="0"/>
              <w:bidi w:val="0"/>
              <w:ind w:left="0" w:leftChars="0" w:right="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12、与《挥发性有机物无组织排放控制标准》（GB37822-2019）符合性分析</w:t>
            </w:r>
          </w:p>
          <w:p w14:paraId="3CC34A37">
            <w:pPr>
              <w:pStyle w:val="44"/>
              <w:pageBreakBefore w:val="0"/>
              <w:kinsoku/>
              <w:overflowPunct/>
              <w:topLinePunct w:val="0"/>
              <w:bidi w:val="0"/>
              <w:ind w:left="0" w:leftChars="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项目与《挥发性有机物无组织排放控制标准》（GB37822-2019）相符性分析见下表。</w:t>
            </w:r>
          </w:p>
          <w:p w14:paraId="259F1816">
            <w:pPr>
              <w:pStyle w:val="45"/>
              <w:pageBreakBefore w:val="0"/>
              <w:kinsoku/>
              <w:overflowPunct/>
              <w:topLinePunct w:val="0"/>
              <w:bidi w:val="0"/>
              <w:spacing w:before="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表1-</w:t>
            </w:r>
            <w:r>
              <w:rPr>
                <w:rFonts w:hint="default" w:ascii="Times New Roman" w:hAnsi="Times New Roman" w:cs="Times New Roman"/>
                <w:color w:val="000000" w:themeColor="text1"/>
                <w:lang w:val="en-US" w:eastAsia="zh-CN"/>
                <w14:textFill>
                  <w14:solidFill>
                    <w14:schemeClr w14:val="tx1"/>
                  </w14:solidFill>
                </w14:textFill>
              </w:rPr>
              <w:t>12</w:t>
            </w:r>
            <w:r>
              <w:rPr>
                <w:rFonts w:hint="default" w:ascii="Times New Roman" w:hAnsi="Times New Roman" w:cs="Times New Roman"/>
                <w:color w:val="000000" w:themeColor="text1"/>
                <w14:textFill>
                  <w14:solidFill>
                    <w14:schemeClr w14:val="tx1"/>
                  </w14:solidFill>
                </w14:textFill>
              </w:rPr>
              <w:t>项目与</w:t>
            </w:r>
            <w:r>
              <w:rPr>
                <w:rFonts w:hint="default" w:ascii="Times New Roman" w:hAnsi="Times New Roman" w:cs="Times New Roman"/>
                <w:color w:val="000000" w:themeColor="text1"/>
                <w:lang w:val="en-US" w:eastAsia="zh-CN"/>
                <w14:textFill>
                  <w14:solidFill>
                    <w14:schemeClr w14:val="tx1"/>
                  </w14:solidFill>
                </w14:textFill>
              </w:rPr>
              <w:t>《挥发性有机物无组织排放控制标准》（GB37822-2019）</w:t>
            </w:r>
            <w:r>
              <w:rPr>
                <w:rFonts w:hint="default" w:ascii="Times New Roman" w:hAnsi="Times New Roman" w:cs="Times New Roman"/>
                <w:color w:val="000000" w:themeColor="text1"/>
                <w14:textFill>
                  <w14:solidFill>
                    <w14:schemeClr w14:val="tx1"/>
                  </w14:solidFill>
                </w14:textFill>
              </w:rPr>
              <w:t>符合性分析</w:t>
            </w:r>
          </w:p>
          <w:tbl>
            <w:tblPr>
              <w:tblStyle w:val="3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3527"/>
              <w:gridCol w:w="2286"/>
              <w:gridCol w:w="684"/>
            </w:tblGrid>
            <w:tr w14:paraId="79C13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15" w:type="dxa"/>
                  <w:gridSpan w:val="2"/>
                  <w:vAlign w:val="center"/>
                </w:tcPr>
                <w:p w14:paraId="030B0D47">
                  <w:pPr>
                    <w:pStyle w:val="124"/>
                    <w:pageBreakBefore w:val="0"/>
                    <w:kinsoku/>
                    <w:overflowPunct/>
                    <w:topLinePunct w:val="0"/>
                    <w:bidi w:val="0"/>
                    <w:ind w:left="0" w:leftChars="0" w:right="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标准要求</w:t>
                  </w:r>
                </w:p>
              </w:tc>
              <w:tc>
                <w:tcPr>
                  <w:tcW w:w="2286" w:type="dxa"/>
                  <w:vAlign w:val="center"/>
                </w:tcPr>
                <w:p w14:paraId="299BFAD8">
                  <w:pPr>
                    <w:pStyle w:val="124"/>
                    <w:pageBreakBefore w:val="0"/>
                    <w:kinsoku/>
                    <w:overflowPunct/>
                    <w:topLinePunct w:val="0"/>
                    <w:bidi w:val="0"/>
                    <w:ind w:left="0" w:leftChars="0" w:right="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项目情况</w:t>
                  </w:r>
                </w:p>
              </w:tc>
              <w:tc>
                <w:tcPr>
                  <w:tcW w:w="684" w:type="dxa"/>
                  <w:vAlign w:val="center"/>
                </w:tcPr>
                <w:p w14:paraId="09F4F4BB">
                  <w:pPr>
                    <w:pStyle w:val="124"/>
                    <w:pageBreakBefore w:val="0"/>
                    <w:kinsoku/>
                    <w:overflowPunct/>
                    <w:topLinePunct w:val="0"/>
                    <w:bidi w:val="0"/>
                    <w:ind w:left="0" w:leftChars="0" w:right="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符合性</w:t>
                  </w:r>
                </w:p>
              </w:tc>
            </w:tr>
            <w:tr w14:paraId="730C4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dxa"/>
                  <w:vAlign w:val="center"/>
                </w:tcPr>
                <w:p w14:paraId="05C7071C">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物料储存无组织排放控制要求</w:t>
                  </w:r>
                </w:p>
              </w:tc>
              <w:tc>
                <w:tcPr>
                  <w:tcW w:w="3527" w:type="dxa"/>
                  <w:vAlign w:val="center"/>
                </w:tcPr>
                <w:p w14:paraId="58FE7A8E">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VOCs物料应储存于密闭的容器、包装袋、储罐、储库、仓库中。盛装VOCs物料的容器或包装袋应存放于室内，或存放于设置雨棚、遮阳和防渗设施的专用场地。盛装VOCs物料的容器或包装袋在非取用状态时应加盖、封口，保持密闭。VOCs物料储罐应密封良好。VOCs物料储库、仓库应为封闭式建筑，除人员、车辆、设备、物料进出时以及依法设立的排气筒、通风口外，门窗及其他开口（孔）部位应随时保持关闭状态。</w:t>
                  </w:r>
                </w:p>
              </w:tc>
              <w:tc>
                <w:tcPr>
                  <w:tcW w:w="2286" w:type="dxa"/>
                  <w:vAlign w:val="center"/>
                </w:tcPr>
                <w:p w14:paraId="41613453">
                  <w:pPr>
                    <w:pStyle w:val="124"/>
                    <w:pageBreakBefore w:val="0"/>
                    <w:kinsoku/>
                    <w:overflowPunct/>
                    <w:topLinePunct w:val="0"/>
                    <w:bidi w:val="0"/>
                    <w:ind w:left="0" w:leftChars="0" w:right="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r>
                    <w:rPr>
                      <w:rFonts w:hint="default" w:ascii="Times New Roman" w:hAnsi="Times New Roman" w:cs="Times New Roman"/>
                      <w:color w:val="000000" w:themeColor="text1"/>
                      <w:lang w:eastAsia="zh-CN"/>
                      <w14:textFill>
                        <w14:solidFill>
                          <w14:schemeClr w14:val="tx1"/>
                        </w14:solidFill>
                      </w14:textFill>
                    </w:rPr>
                    <w:t>待检区、生产区、成品区均布设于生产车间内，未露天堆放；</w:t>
                  </w:r>
                </w:p>
                <w:p w14:paraId="1F6CF1B1">
                  <w:pPr>
                    <w:pStyle w:val="124"/>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热固性环氧树脂粉末、油墨均为外购桶装，放置于生产车间内，生产车间内设置有通排风系统，</w:t>
                  </w:r>
                  <w:r>
                    <w:rPr>
                      <w:rFonts w:hint="default" w:ascii="Times New Roman" w:hAnsi="Times New Roman" w:cs="Times New Roman"/>
                      <w:color w:val="000000" w:themeColor="text1"/>
                      <w:lang w:val="en-US" w:eastAsia="zh-CN"/>
                      <w14:textFill>
                        <w14:solidFill>
                          <w14:schemeClr w14:val="tx1"/>
                        </w14:solidFill>
                      </w14:textFill>
                    </w:rPr>
                    <w:t>符合标准中对VOCs物料储存无组织排放控制要求。</w:t>
                  </w:r>
                </w:p>
              </w:tc>
              <w:tc>
                <w:tcPr>
                  <w:tcW w:w="684" w:type="dxa"/>
                  <w:vAlign w:val="center"/>
                </w:tcPr>
                <w:p w14:paraId="42AFA970">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14:paraId="6152B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dxa"/>
                  <w:vAlign w:val="center"/>
                </w:tcPr>
                <w:p w14:paraId="698672D3">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VOCs无组织排放废气收集处理系统要求</w:t>
                  </w:r>
                </w:p>
              </w:tc>
              <w:tc>
                <w:tcPr>
                  <w:tcW w:w="3527" w:type="dxa"/>
                  <w:vAlign w:val="center"/>
                </w:tcPr>
                <w:p w14:paraId="6C357E34">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VOCs废气收集处理系统应与生产工艺设备同步运行。废气收集系统的输送管道应密闭。废气收集系统应在负压下运行，若处于正压状态，应对输送管道组件的密封点进行泄漏检</w:t>
                  </w:r>
                </w:p>
                <w:p w14:paraId="00070AF7">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测，泄漏检测值不应超过500umol/mol，亦不应有感官可察觉泄漏。</w:t>
                  </w:r>
                </w:p>
                <w:p w14:paraId="42BD0CC6">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VOCs废气收集处理系统污染物排放应符合GB16297或相关行业排放标准的规定。收集的废气中NMHC初始排放速率&gt;3kg/h时，应配置VOCs处理设施，处理效率不应低于80%。</w:t>
                  </w:r>
                </w:p>
              </w:tc>
              <w:tc>
                <w:tcPr>
                  <w:tcW w:w="2286" w:type="dxa"/>
                  <w:shd w:val="clear" w:color="auto" w:fill="auto"/>
                  <w:vAlign w:val="center"/>
                </w:tcPr>
                <w:p w14:paraId="1425C6F0">
                  <w:pPr>
                    <w:rPr>
                      <w:rFonts w:hint="default" w:ascii="Times New Roman" w:hAnsi="Times New Roman" w:cs="Times New Roman"/>
                      <w:b w:val="0"/>
                      <w:bCs/>
                      <w:color w:val="000000" w:themeColor="text1"/>
                      <w:kern w:val="24"/>
                      <w:lang w:val="en-US" w:eastAsia="zh-CN"/>
                      <w14:textFill>
                        <w14:solidFill>
                          <w14:schemeClr w14:val="tx1"/>
                        </w14:solidFill>
                      </w14:textFill>
                    </w:rPr>
                  </w:pPr>
                  <w:r>
                    <w:rPr>
                      <w:rFonts w:hint="default" w:ascii="Times New Roman" w:hAnsi="Times New Roman" w:cs="Times New Roman"/>
                      <w:b w:val="0"/>
                      <w:bCs/>
                      <w:color w:val="000000" w:themeColor="text1"/>
                      <w:kern w:val="24"/>
                      <w:lang w:val="en-US" w:eastAsia="zh-CN"/>
                      <w14:textFill>
                        <w14:solidFill>
                          <w14:schemeClr w14:val="tx1"/>
                        </w14:solidFill>
                      </w14:textFill>
                    </w:rPr>
                    <w:t>生产环节配套设置有机废气废气收集处理设施。</w:t>
                  </w:r>
                </w:p>
                <w:p w14:paraId="4BB371E6">
                  <w:pP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生产环节</w:t>
                  </w:r>
                  <w:r>
                    <w:rPr>
                      <w:rFonts w:hint="default" w:ascii="Times New Roman" w:hAnsi="Times New Roman" w:cs="Times New Roman"/>
                      <w:b w:val="0"/>
                      <w:bCs/>
                      <w:color w:val="000000" w:themeColor="text1"/>
                      <w:lang w:val="en-US" w:eastAsia="zh-CN"/>
                      <w14:textFill>
                        <w14:solidFill>
                          <w14:schemeClr w14:val="tx1"/>
                        </w14:solidFill>
                      </w14:textFill>
                    </w:rPr>
                    <w:t>焚烧炉燃烧废气</w:t>
                  </w:r>
                  <w:r>
                    <w:rPr>
                      <w:rFonts w:hint="default" w:ascii="Times New Roman" w:hAnsi="Times New Roman" w:cs="Times New Roman"/>
                      <w:b w:val="0"/>
                      <w:bCs/>
                      <w:color w:val="000000" w:themeColor="text1"/>
                      <w:kern w:val="24"/>
                      <w:lang w:val="en-US" w:eastAsia="zh-CN"/>
                      <w14:textFill>
                        <w14:solidFill>
                          <w14:schemeClr w14:val="tx1"/>
                        </w14:solidFill>
                      </w14:textFill>
                    </w:rPr>
                    <w:t>经收集后进入一套“旋风+布袋+喷淋”设施处理后通过1根15m高排气筒DA001排放；</w:t>
                  </w:r>
                  <w:r>
                    <w:rPr>
                      <w:rFonts w:hint="eastAsia" w:cs="Times New Roman"/>
                      <w:b w:val="0"/>
                      <w:bCs/>
                      <w:color w:val="000000" w:themeColor="text1"/>
                      <w:kern w:val="24"/>
                      <w:lang w:val="en-US" w:eastAsia="zh-CN"/>
                      <w14:textFill>
                        <w14:solidFill>
                          <w14:schemeClr w14:val="tx1"/>
                        </w14:solidFill>
                      </w14:textFill>
                    </w:rPr>
                    <w:t>烘干固化废气引入焚烧炉通过热力焚烧后同焚烧废气进入废气处理系统处理后一同并入排气筒DA001一同排放</w:t>
                  </w:r>
                  <w:r>
                    <w:rPr>
                      <w:rFonts w:hint="default" w:ascii="Times New Roman" w:hAnsi="Times New Roman" w:cs="Times New Roman"/>
                      <w:b w:val="0"/>
                      <w:bCs/>
                      <w:color w:val="000000" w:themeColor="text1"/>
                      <w:kern w:val="24"/>
                      <w:lang w:val="en-US" w:eastAsia="zh-CN"/>
                      <w14:textFill>
                        <w14:solidFill>
                          <w14:schemeClr w14:val="tx1"/>
                        </w14:solidFill>
                      </w14:textFill>
                    </w:rPr>
                    <w:t>。</w:t>
                  </w:r>
                  <w:r>
                    <w:rPr>
                      <w:rFonts w:hint="eastAsia" w:cs="Times New Roman"/>
                      <w:b w:val="0"/>
                      <w:bCs/>
                      <w:color w:val="000000" w:themeColor="text1"/>
                      <w:kern w:val="24"/>
                      <w:lang w:val="en-US" w:eastAsia="zh-CN"/>
                      <w14:textFill>
                        <w14:solidFill>
                          <w14:schemeClr w14:val="tx1"/>
                        </w14:solidFill>
                      </w14:textFill>
                    </w:rPr>
                    <w:t>根据</w:t>
                  </w:r>
                  <w:r>
                    <w:rPr>
                      <w:rFonts w:hint="default" w:cs="Times New Roman"/>
                      <w:b w:val="0"/>
                      <w:bCs/>
                      <w:color w:val="000000" w:themeColor="text1"/>
                      <w:kern w:val="24"/>
                      <w:lang w:val="en-US" w:eastAsia="zh-CN"/>
                      <w14:textFill>
                        <w14:solidFill>
                          <w14:schemeClr w14:val="tx1"/>
                        </w14:solidFill>
                      </w14:textFill>
                    </w:rPr>
                    <w:t>《排放源统计调查产排污核算方法和系数手册》（生态环境部公告2021年第24号）中《33-37，431-434机械行业系数手册》“14、涂装、涂装件、粉末涂料、喷塑后烘干”中“挥发性有机物直接燃烧法末端治理技术效率为85%”。</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本项目非甲烷总烃排放满足《大气污染物综合排放标准》（GB16297-1996）中相关要求。</w:t>
                  </w:r>
                </w:p>
              </w:tc>
              <w:tc>
                <w:tcPr>
                  <w:tcW w:w="684" w:type="dxa"/>
                  <w:vAlign w:val="center"/>
                </w:tcPr>
                <w:p w14:paraId="1FEAD9A6">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bl>
          <w:p w14:paraId="728228AE">
            <w:pPr>
              <w:pStyle w:val="44"/>
              <w:pageBreakBefore w:val="0"/>
              <w:kinsoku/>
              <w:overflowPunct/>
              <w:topLinePunct w:val="0"/>
              <w:bidi w:val="0"/>
              <w:ind w:left="0" w:leftChars="0" w:right="0" w:firstLine="480"/>
              <w:rPr>
                <w:rFonts w:hint="default" w:ascii="Times New Roman" w:hAnsi="Times New Roman" w:cs="Times New Roman"/>
                <w:color w:val="000000" w:themeColor="text1"/>
                <w:lang w:eastAsia="zh-CN"/>
                <w14:textFill>
                  <w14:solidFill>
                    <w14:schemeClr w14:val="tx1"/>
                  </w14:solidFill>
                </w14:textFill>
              </w:rPr>
            </w:pPr>
          </w:p>
          <w:p w14:paraId="108A2B57">
            <w:pPr>
              <w:pStyle w:val="44"/>
              <w:pageBreakBefore w:val="0"/>
              <w:kinsoku/>
              <w:overflowPunct/>
              <w:topLinePunct w:val="0"/>
              <w:bidi w:val="0"/>
              <w:ind w:left="0" w:leftChars="0" w:right="0" w:firstLine="480"/>
              <w:rPr>
                <w:rFonts w:hint="default" w:ascii="Times New Roman" w:hAnsi="Times New Roman" w:cs="Times New Roman"/>
                <w:color w:val="000000" w:themeColor="text1"/>
                <w:lang w:eastAsia="zh-CN"/>
                <w14:textFill>
                  <w14:solidFill>
                    <w14:schemeClr w14:val="tx1"/>
                  </w14:solidFill>
                </w14:textFill>
              </w:rPr>
            </w:pPr>
          </w:p>
          <w:p w14:paraId="1B558B11">
            <w:pPr>
              <w:pStyle w:val="44"/>
              <w:pageBreakBefore w:val="0"/>
              <w:kinsoku/>
              <w:overflowPunct/>
              <w:topLinePunct w:val="0"/>
              <w:bidi w:val="0"/>
              <w:ind w:left="0" w:leftChars="0" w:right="0" w:firstLine="480"/>
              <w:rPr>
                <w:rFonts w:hint="default" w:ascii="Times New Roman" w:hAnsi="Times New Roman" w:cs="Times New Roman"/>
                <w:color w:val="000000" w:themeColor="text1"/>
                <w:lang w:eastAsia="zh-CN"/>
                <w14:textFill>
                  <w14:solidFill>
                    <w14:schemeClr w14:val="tx1"/>
                  </w14:solidFill>
                </w14:textFill>
              </w:rPr>
            </w:pPr>
          </w:p>
          <w:p w14:paraId="251C90AE">
            <w:pPr>
              <w:pStyle w:val="44"/>
              <w:pageBreakBefore w:val="0"/>
              <w:kinsoku/>
              <w:overflowPunct/>
              <w:topLinePunct w:val="0"/>
              <w:bidi w:val="0"/>
              <w:ind w:left="0" w:leftChars="0" w:right="0" w:firstLine="480"/>
              <w:rPr>
                <w:rFonts w:hint="default" w:ascii="Times New Roman" w:hAnsi="Times New Roman" w:cs="Times New Roman"/>
                <w:color w:val="000000" w:themeColor="text1"/>
                <w:lang w:eastAsia="zh-CN"/>
                <w14:textFill>
                  <w14:solidFill>
                    <w14:schemeClr w14:val="tx1"/>
                  </w14:solidFill>
                </w14:textFill>
              </w:rPr>
            </w:pPr>
          </w:p>
          <w:p w14:paraId="7D660872">
            <w:pPr>
              <w:pStyle w:val="44"/>
              <w:pageBreakBefore w:val="0"/>
              <w:kinsoku/>
              <w:overflowPunct/>
              <w:topLinePunct w:val="0"/>
              <w:bidi w:val="0"/>
              <w:ind w:left="0" w:leftChars="0" w:right="0" w:firstLine="480"/>
              <w:rPr>
                <w:rFonts w:hint="default" w:ascii="Times New Roman" w:hAnsi="Times New Roman" w:cs="Times New Roman"/>
                <w:color w:val="000000" w:themeColor="text1"/>
                <w:lang w:eastAsia="zh-CN"/>
                <w14:textFill>
                  <w14:solidFill>
                    <w14:schemeClr w14:val="tx1"/>
                  </w14:solidFill>
                </w14:textFill>
              </w:rPr>
            </w:pPr>
          </w:p>
          <w:p w14:paraId="74A4BF65">
            <w:pPr>
              <w:pStyle w:val="44"/>
              <w:pageBreakBefore w:val="0"/>
              <w:kinsoku/>
              <w:overflowPunct/>
              <w:topLinePunct w:val="0"/>
              <w:bidi w:val="0"/>
              <w:ind w:left="0" w:leftChars="0" w:right="0" w:firstLine="480"/>
              <w:rPr>
                <w:rFonts w:hint="default" w:ascii="Times New Roman" w:hAnsi="Times New Roman" w:cs="Times New Roman"/>
                <w:color w:val="000000" w:themeColor="text1"/>
                <w:lang w:eastAsia="zh-CN"/>
                <w14:textFill>
                  <w14:solidFill>
                    <w14:schemeClr w14:val="tx1"/>
                  </w14:solidFill>
                </w14:textFill>
              </w:rPr>
            </w:pPr>
          </w:p>
          <w:p w14:paraId="0ACC2592">
            <w:pPr>
              <w:pStyle w:val="44"/>
              <w:pageBreakBefore w:val="0"/>
              <w:kinsoku/>
              <w:overflowPunct/>
              <w:topLinePunct w:val="0"/>
              <w:bidi w:val="0"/>
              <w:ind w:left="0" w:leftChars="0" w:right="0" w:firstLine="480"/>
              <w:rPr>
                <w:rFonts w:hint="default" w:ascii="Times New Roman" w:hAnsi="Times New Roman" w:cs="Times New Roman"/>
                <w:color w:val="000000" w:themeColor="text1"/>
                <w:lang w:eastAsia="zh-CN"/>
                <w14:textFill>
                  <w14:solidFill>
                    <w14:schemeClr w14:val="tx1"/>
                  </w14:solidFill>
                </w14:textFill>
              </w:rPr>
            </w:pPr>
          </w:p>
          <w:p w14:paraId="05DCFDA9">
            <w:pPr>
              <w:pStyle w:val="44"/>
              <w:pageBreakBefore w:val="0"/>
              <w:kinsoku/>
              <w:overflowPunct/>
              <w:topLinePunct w:val="0"/>
              <w:bidi w:val="0"/>
              <w:ind w:left="0" w:leftChars="0" w:right="0" w:firstLine="0" w:firstLineChars="0"/>
              <w:rPr>
                <w:rFonts w:hint="default" w:ascii="Times New Roman" w:hAnsi="Times New Roman" w:cs="Times New Roman"/>
                <w:color w:val="000000" w:themeColor="text1"/>
                <w:lang w:eastAsia="zh-CN"/>
                <w14:textFill>
                  <w14:solidFill>
                    <w14:schemeClr w14:val="tx1"/>
                  </w14:solidFill>
                </w14:textFill>
              </w:rPr>
            </w:pPr>
          </w:p>
          <w:p w14:paraId="3FBA6FAD">
            <w:pPr>
              <w:pStyle w:val="44"/>
              <w:pageBreakBefore w:val="0"/>
              <w:kinsoku/>
              <w:overflowPunct/>
              <w:topLinePunct w:val="0"/>
              <w:bidi w:val="0"/>
              <w:ind w:left="0" w:leftChars="0" w:right="0" w:firstLine="480"/>
              <w:rPr>
                <w:rFonts w:hint="default" w:ascii="Times New Roman" w:hAnsi="Times New Roman" w:cs="Times New Roman"/>
                <w:color w:val="000000" w:themeColor="text1"/>
                <w:lang w:eastAsia="zh-CN"/>
                <w14:textFill>
                  <w14:solidFill>
                    <w14:schemeClr w14:val="tx1"/>
                  </w14:solidFill>
                </w14:textFill>
              </w:rPr>
            </w:pPr>
          </w:p>
          <w:p w14:paraId="26801A7A">
            <w:pPr>
              <w:pStyle w:val="44"/>
              <w:pageBreakBefore w:val="0"/>
              <w:kinsoku/>
              <w:overflowPunct/>
              <w:topLinePunct w:val="0"/>
              <w:bidi w:val="0"/>
              <w:ind w:left="0" w:leftChars="0" w:right="0" w:firstLine="480"/>
              <w:rPr>
                <w:rFonts w:hint="default" w:ascii="Times New Roman" w:hAnsi="Times New Roman" w:cs="Times New Roman"/>
                <w:color w:val="000000" w:themeColor="text1"/>
                <w:lang w:eastAsia="zh-CN"/>
                <w14:textFill>
                  <w14:solidFill>
                    <w14:schemeClr w14:val="tx1"/>
                  </w14:solidFill>
                </w14:textFill>
              </w:rPr>
            </w:pPr>
          </w:p>
          <w:p w14:paraId="2D10EC63">
            <w:pPr>
              <w:pStyle w:val="44"/>
              <w:pageBreakBefore w:val="0"/>
              <w:kinsoku/>
              <w:overflowPunct/>
              <w:topLinePunct w:val="0"/>
              <w:bidi w:val="0"/>
              <w:ind w:left="0" w:leftChars="0" w:right="0" w:firstLine="480"/>
              <w:rPr>
                <w:rFonts w:hint="default" w:ascii="Times New Roman" w:hAnsi="Times New Roman" w:cs="Times New Roman"/>
                <w:color w:val="000000" w:themeColor="text1"/>
                <w:lang w:eastAsia="zh-CN"/>
                <w14:textFill>
                  <w14:solidFill>
                    <w14:schemeClr w14:val="tx1"/>
                  </w14:solidFill>
                </w14:textFill>
              </w:rPr>
            </w:pPr>
          </w:p>
          <w:p w14:paraId="5A8157B1">
            <w:pPr>
              <w:pStyle w:val="44"/>
              <w:pageBreakBefore w:val="0"/>
              <w:kinsoku/>
              <w:overflowPunct/>
              <w:topLinePunct w:val="0"/>
              <w:bidi w:val="0"/>
              <w:ind w:left="0" w:leftChars="0" w:right="0" w:firstLine="480"/>
              <w:rPr>
                <w:rFonts w:hint="default" w:ascii="Times New Roman" w:hAnsi="Times New Roman" w:cs="Times New Roman"/>
                <w:color w:val="000000" w:themeColor="text1"/>
                <w:lang w:eastAsia="zh-CN"/>
                <w14:textFill>
                  <w14:solidFill>
                    <w14:schemeClr w14:val="tx1"/>
                  </w14:solidFill>
                </w14:textFill>
              </w:rPr>
            </w:pPr>
          </w:p>
          <w:p w14:paraId="031CAC48">
            <w:pPr>
              <w:pStyle w:val="44"/>
              <w:pageBreakBefore w:val="0"/>
              <w:kinsoku/>
              <w:overflowPunct/>
              <w:topLinePunct w:val="0"/>
              <w:bidi w:val="0"/>
              <w:ind w:left="0" w:leftChars="0" w:right="0" w:firstLine="480"/>
              <w:rPr>
                <w:rFonts w:hint="default" w:ascii="Times New Roman" w:hAnsi="Times New Roman" w:cs="Times New Roman"/>
                <w:color w:val="000000" w:themeColor="text1"/>
                <w:lang w:eastAsia="zh-CN"/>
                <w14:textFill>
                  <w14:solidFill>
                    <w14:schemeClr w14:val="tx1"/>
                  </w14:solidFill>
                </w14:textFill>
              </w:rPr>
            </w:pPr>
          </w:p>
          <w:p w14:paraId="38D30558">
            <w:pPr>
              <w:pStyle w:val="44"/>
              <w:pageBreakBefore w:val="0"/>
              <w:kinsoku/>
              <w:overflowPunct/>
              <w:topLinePunct w:val="0"/>
              <w:bidi w:val="0"/>
              <w:ind w:left="0" w:leftChars="0" w:right="0" w:firstLine="480"/>
              <w:rPr>
                <w:rFonts w:hint="default" w:ascii="Times New Roman" w:hAnsi="Times New Roman" w:cs="Times New Roman"/>
                <w:color w:val="000000" w:themeColor="text1"/>
                <w:lang w:eastAsia="zh-CN"/>
                <w14:textFill>
                  <w14:solidFill>
                    <w14:schemeClr w14:val="tx1"/>
                  </w14:solidFill>
                </w14:textFill>
              </w:rPr>
            </w:pPr>
          </w:p>
          <w:p w14:paraId="16F7F3BD">
            <w:pPr>
              <w:pStyle w:val="44"/>
              <w:pageBreakBefore w:val="0"/>
              <w:kinsoku/>
              <w:overflowPunct/>
              <w:topLinePunct w:val="0"/>
              <w:bidi w:val="0"/>
              <w:ind w:left="0" w:leftChars="0" w:right="0" w:firstLine="0" w:firstLineChars="0"/>
              <w:rPr>
                <w:rFonts w:hint="default" w:ascii="Times New Roman" w:hAnsi="Times New Roman" w:cs="Times New Roman"/>
                <w:color w:val="000000" w:themeColor="text1"/>
                <w:lang w:eastAsia="zh-CN"/>
                <w14:textFill>
                  <w14:solidFill>
                    <w14:schemeClr w14:val="tx1"/>
                  </w14:solidFill>
                </w14:textFill>
              </w:rPr>
            </w:pPr>
          </w:p>
          <w:p w14:paraId="4AF5755C">
            <w:pPr>
              <w:pStyle w:val="44"/>
              <w:pageBreakBefore w:val="0"/>
              <w:kinsoku/>
              <w:overflowPunct/>
              <w:topLinePunct w:val="0"/>
              <w:bidi w:val="0"/>
              <w:ind w:left="0" w:leftChars="0" w:right="0" w:firstLine="0" w:firstLineChars="0"/>
              <w:rPr>
                <w:rFonts w:hint="default" w:ascii="Times New Roman" w:hAnsi="Times New Roman" w:cs="Times New Roman"/>
                <w:color w:val="000000" w:themeColor="text1"/>
                <w:lang w:eastAsia="zh-CN"/>
                <w14:textFill>
                  <w14:solidFill>
                    <w14:schemeClr w14:val="tx1"/>
                  </w14:solidFill>
                </w14:textFill>
              </w:rPr>
            </w:pPr>
          </w:p>
          <w:p w14:paraId="2359D123">
            <w:pPr>
              <w:pStyle w:val="44"/>
              <w:pageBreakBefore w:val="0"/>
              <w:kinsoku/>
              <w:overflowPunct/>
              <w:topLinePunct w:val="0"/>
              <w:bidi w:val="0"/>
              <w:ind w:left="0" w:leftChars="0" w:right="0" w:firstLine="0" w:firstLineChars="0"/>
              <w:rPr>
                <w:rFonts w:hint="default" w:ascii="Times New Roman" w:hAnsi="Times New Roman" w:cs="Times New Roman"/>
                <w:color w:val="000000" w:themeColor="text1"/>
                <w:lang w:eastAsia="zh-CN"/>
                <w14:textFill>
                  <w14:solidFill>
                    <w14:schemeClr w14:val="tx1"/>
                  </w14:solidFill>
                </w14:textFill>
              </w:rPr>
            </w:pPr>
          </w:p>
          <w:p w14:paraId="3262B535">
            <w:pPr>
              <w:pStyle w:val="44"/>
              <w:pageBreakBefore w:val="0"/>
              <w:kinsoku/>
              <w:overflowPunct/>
              <w:topLinePunct w:val="0"/>
              <w:bidi w:val="0"/>
              <w:ind w:left="0" w:leftChars="0" w:right="0" w:firstLine="0" w:firstLineChars="0"/>
              <w:rPr>
                <w:rFonts w:hint="default" w:ascii="Times New Roman" w:hAnsi="Times New Roman" w:cs="Times New Roman"/>
                <w:color w:val="000000" w:themeColor="text1"/>
                <w:lang w:eastAsia="zh-CN"/>
                <w14:textFill>
                  <w14:solidFill>
                    <w14:schemeClr w14:val="tx1"/>
                  </w14:solidFill>
                </w14:textFill>
              </w:rPr>
            </w:pPr>
          </w:p>
          <w:p w14:paraId="41186DB1">
            <w:pPr>
              <w:pStyle w:val="44"/>
              <w:pageBreakBefore w:val="0"/>
              <w:kinsoku/>
              <w:overflowPunct/>
              <w:topLinePunct w:val="0"/>
              <w:bidi w:val="0"/>
              <w:ind w:left="0" w:leftChars="0" w:right="0" w:firstLine="0" w:firstLineChars="0"/>
              <w:rPr>
                <w:rFonts w:hint="default" w:ascii="Times New Roman" w:hAnsi="Times New Roman" w:eastAsia="宋体" w:cs="Times New Roman"/>
                <w:color w:val="000000" w:themeColor="text1"/>
                <w:kern w:val="0"/>
                <w:lang w:eastAsia="zh-CN"/>
                <w14:textFill>
                  <w14:solidFill>
                    <w14:schemeClr w14:val="tx1"/>
                  </w14:solidFill>
                </w14:textFill>
              </w:rPr>
            </w:pPr>
          </w:p>
        </w:tc>
      </w:tr>
    </w:tbl>
    <w:p w14:paraId="508F8C6D">
      <w:pPr>
        <w:pStyle w:val="2"/>
        <w:pageBreakBefore w:val="0"/>
        <w:kinsoku/>
        <w:overflowPunct/>
        <w:topLinePunct w:val="0"/>
        <w:bidi w:val="0"/>
        <w:spacing w:after="0"/>
        <w:ind w:left="0" w:leftChars="0" w:right="0"/>
        <w:rPr>
          <w:rFonts w:hint="default" w:ascii="Times New Roman" w:hAnsi="Times New Roman" w:eastAsia="宋体" w:cs="Times New Roman"/>
          <w:color w:val="000000" w:themeColor="text1"/>
          <w:lang w:eastAsia="zh-CN"/>
          <w14:textFill>
            <w14:solidFill>
              <w14:schemeClr w14:val="tx1"/>
            </w14:solidFill>
          </w14:textFill>
        </w:rPr>
      </w:pPr>
    </w:p>
    <w:p w14:paraId="4776575C">
      <w:pPr>
        <w:pageBreakBefore w:val="0"/>
        <w:kinsoku/>
        <w:overflowPunct/>
        <w:topLinePunct w:val="0"/>
        <w:bidi w:val="0"/>
        <w:ind w:left="0" w:leftChars="0" w:right="0"/>
        <w:rPr>
          <w:rFonts w:hint="default" w:ascii="Times New Roman" w:hAnsi="Times New Roman" w:eastAsia="宋体" w:cs="Times New Roman"/>
          <w:color w:val="000000" w:themeColor="text1"/>
          <w:lang w:eastAsia="zh-CN"/>
          <w14:textFill>
            <w14:solidFill>
              <w14:schemeClr w14:val="tx1"/>
            </w14:solidFill>
          </w14:textFill>
        </w:rPr>
        <w:sectPr>
          <w:footerReference r:id="rId5" w:type="default"/>
          <w:pgSz w:w="11906" w:h="16838"/>
          <w:pgMar w:top="1417" w:right="1417" w:bottom="1417" w:left="1417"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6E80A2E3">
      <w:pPr>
        <w:pStyle w:val="29"/>
        <w:pageBreakBefore w:val="0"/>
        <w:kinsoku/>
        <w:overflowPunct/>
        <w:topLinePunct w:val="0"/>
        <w:bidi w:val="0"/>
        <w:adjustRightInd w:val="0"/>
        <w:snapToGrid w:val="0"/>
        <w:spacing w:before="0" w:beforeAutospacing="0" w:after="0" w:afterAutospacing="0"/>
        <w:ind w:left="0" w:leftChars="0" w:right="0"/>
        <w:jc w:val="center"/>
        <w:outlineLvl w:val="0"/>
        <w:rPr>
          <w:rFonts w:hint="default" w:ascii="Times New Roman" w:hAnsi="Times New Roman" w:cs="Times New Roman"/>
          <w:snapToGrid w:val="0"/>
          <w:color w:val="000000" w:themeColor="text1"/>
          <w:sz w:val="30"/>
          <w:szCs w:val="30"/>
          <w14:textFill>
            <w14:solidFill>
              <w14:schemeClr w14:val="tx1"/>
            </w14:solidFill>
          </w14:textFill>
        </w:rPr>
      </w:pPr>
      <w:bookmarkStart w:id="7" w:name="_Toc1587"/>
      <w:bookmarkStart w:id="8" w:name="_Toc22458"/>
      <w:r>
        <w:rPr>
          <w:rFonts w:hint="default" w:ascii="Times New Roman" w:hAnsi="Times New Roman" w:cs="Times New Roman"/>
          <w:b/>
          <w:bCs/>
          <w:snapToGrid w:val="0"/>
          <w:color w:val="000000" w:themeColor="text1"/>
          <w:sz w:val="30"/>
          <w:szCs w:val="30"/>
          <w14:textFill>
            <w14:solidFill>
              <w14:schemeClr w14:val="tx1"/>
            </w14:solidFill>
          </w14:textFill>
        </w:rPr>
        <w:t>二、建设项目工程分析</w:t>
      </w:r>
      <w:bookmarkEnd w:id="7"/>
      <w:bookmarkEnd w:id="8"/>
    </w:p>
    <w:tbl>
      <w:tblPr>
        <w:tblStyle w:val="33"/>
        <w:tblW w:w="935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8635"/>
      </w:tblGrid>
      <w:tr w14:paraId="283EDA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15" w:hRule="atLeast"/>
          <w:jc w:val="center"/>
        </w:trPr>
        <w:tc>
          <w:tcPr>
            <w:tcW w:w="723" w:type="dxa"/>
            <w:vAlign w:val="center"/>
          </w:tcPr>
          <w:p w14:paraId="31CBA0EA">
            <w:pPr>
              <w:pStyle w:val="29"/>
              <w:pageBreakBefore w:val="0"/>
              <w:kinsoku/>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建设内容</w:t>
            </w:r>
          </w:p>
        </w:tc>
        <w:tc>
          <w:tcPr>
            <w:tcW w:w="8635" w:type="dxa"/>
            <w:vAlign w:val="top"/>
          </w:tcPr>
          <w:p w14:paraId="5D82A759">
            <w:pPr>
              <w:pStyle w:val="44"/>
              <w:pageBreakBefore w:val="0"/>
              <w:kinsoku/>
              <w:overflowPunct/>
              <w:topLinePunct w:val="0"/>
              <w:bidi w:val="0"/>
              <w:ind w:left="0" w:leftChars="0" w:right="0"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1、项目由来</w:t>
            </w:r>
          </w:p>
          <w:p w14:paraId="0D40E6BC">
            <w:pPr>
              <w:pStyle w:val="2"/>
              <w:keepNext w:val="0"/>
              <w:keepLines w:val="0"/>
              <w:pageBreakBefore w:val="0"/>
              <w:widowControl/>
              <w:kinsoku/>
              <w:wordWrap/>
              <w:overflowPunct/>
              <w:topLinePunct w:val="0"/>
              <w:autoSpaceDE/>
              <w:autoSpaceDN/>
              <w:bidi w:val="0"/>
              <w:adjustRightInd w:val="0"/>
              <w:snapToGrid w:val="0"/>
              <w:spacing w:after="0" w:afterLines="0" w:line="360" w:lineRule="auto"/>
              <w:ind w:firstLine="480" w:firstLineChars="200"/>
              <w:jc w:val="both"/>
              <w:textAlignment w:val="auto"/>
              <w:outlineLvl w:val="9"/>
              <w:rPr>
                <w:rFonts w:hint="default" w:ascii="Times New Roman" w:hAnsi="Times New Roman" w:eastAsia="宋体" w:cs="Times New Roman"/>
                <w:b w:val="0"/>
                <w:bCs w:val="0"/>
                <w:snapToGrid w:val="0"/>
                <w:color w:val="000000" w:themeColor="text1"/>
                <w:sz w:val="24"/>
                <w:szCs w:val="24"/>
                <w:lang w:eastAsia="zh-CN"/>
                <w14:textFill>
                  <w14:solidFill>
                    <w14:schemeClr w14:val="tx1"/>
                  </w14:solidFill>
                </w14:textFill>
              </w:rPr>
            </w:pPr>
            <w:r>
              <w:rPr>
                <w:rFonts w:hint="eastAsia" w:ascii="Times New Roman" w:hAnsi="Times New Roman" w:cs="Times New Roman"/>
                <w:b w:val="0"/>
                <w:bCs w:val="0"/>
                <w:snapToGrid w:val="0"/>
                <w:color w:val="000000" w:themeColor="text1"/>
                <w:sz w:val="24"/>
                <w:szCs w:val="24"/>
                <w:lang w:eastAsia="zh-CN"/>
                <w14:textFill>
                  <w14:solidFill>
                    <w14:schemeClr w14:val="tx1"/>
                  </w14:solidFill>
                </w14:textFill>
              </w:rPr>
              <w:t>液化石油气钢瓶</w:t>
            </w:r>
            <w:r>
              <w:rPr>
                <w:rFonts w:hint="default" w:ascii="Times New Roman" w:hAnsi="Times New Roman" w:eastAsia="宋体" w:cs="Times New Roman"/>
                <w:b w:val="0"/>
                <w:bCs w:val="0"/>
                <w:snapToGrid w:val="0"/>
                <w:color w:val="000000" w:themeColor="text1"/>
                <w:sz w:val="24"/>
                <w:szCs w:val="24"/>
                <w:lang w:eastAsia="zh-CN"/>
                <w14:textFill>
                  <w14:solidFill>
                    <w14:schemeClr w14:val="tx1"/>
                  </w14:solidFill>
                </w14:textFill>
              </w:rPr>
              <w:t>检测能够预防安全隐患，消除潜在危险，保障用户生命财产安全‌。</w:t>
            </w:r>
          </w:p>
          <w:p w14:paraId="5D034BF5">
            <w:pPr>
              <w:pStyle w:val="2"/>
              <w:keepNext w:val="0"/>
              <w:keepLines w:val="0"/>
              <w:pageBreakBefore w:val="0"/>
              <w:widowControl/>
              <w:kinsoku/>
              <w:wordWrap/>
              <w:overflowPunct/>
              <w:topLinePunct w:val="0"/>
              <w:autoSpaceDE/>
              <w:autoSpaceDN/>
              <w:bidi w:val="0"/>
              <w:adjustRightInd w:val="0"/>
              <w:snapToGrid w:val="0"/>
              <w:spacing w:after="0" w:afterLines="0" w:line="360" w:lineRule="auto"/>
              <w:ind w:firstLine="480" w:firstLineChars="200"/>
              <w:jc w:val="both"/>
              <w:textAlignment w:val="auto"/>
              <w:outlineLvl w:val="9"/>
              <w:rPr>
                <w:rFonts w:hint="default" w:ascii="Times New Roman" w:hAnsi="Times New Roman" w:eastAsia="宋体" w:cs="Times New Roman"/>
                <w:b w:val="0"/>
                <w:bCs w:val="0"/>
                <w:snapToGrid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z w:val="24"/>
                <w:szCs w:val="24"/>
                <w:lang w:val="en-US" w:eastAsia="zh-CN"/>
                <w14:textFill>
                  <w14:solidFill>
                    <w14:schemeClr w14:val="tx1"/>
                  </w14:solidFill>
                </w14:textFill>
              </w:rPr>
              <w:t>玉溪市宏兴液化石油气瓶检测中心成立于2004年3月30日。2008年12月，公司项目委托云南靖尚达环境咨询有限公司编制完成《液化石油气瓶检测中心迁建项目环境影响报告表》，2009年3月16日，玉溪市红塔区环境保护局（现玉溪市生态环境局红塔分局）对项目进行审批，准予项目行政许可（详见附件）。项目于2018年8月30日完成自主验收取得验收意见，并于2018年9月11日取得玉溪市红塔区环境保护局（现玉溪市生态环境局红塔分局）《关于玉溪市宏兴液化石油气瓶检测中心迁建项目噪声及固体废物污染防治设施的验收意见》（玉红环验[2018]33号）。</w:t>
            </w:r>
          </w:p>
          <w:p w14:paraId="136B7BB3">
            <w:pPr>
              <w:pStyle w:val="2"/>
              <w:keepNext w:val="0"/>
              <w:keepLines w:val="0"/>
              <w:pageBreakBefore w:val="0"/>
              <w:widowControl/>
              <w:kinsoku/>
              <w:wordWrap/>
              <w:overflowPunct/>
              <w:topLinePunct w:val="0"/>
              <w:autoSpaceDE/>
              <w:autoSpaceDN/>
              <w:bidi w:val="0"/>
              <w:adjustRightInd w:val="0"/>
              <w:snapToGrid w:val="0"/>
              <w:spacing w:after="0" w:afterLines="0" w:line="360" w:lineRule="auto"/>
              <w:ind w:firstLine="480" w:firstLineChars="200"/>
              <w:jc w:val="both"/>
              <w:textAlignment w:val="auto"/>
              <w:outlineLvl w:val="9"/>
              <w:rPr>
                <w:rFonts w:hint="default" w:ascii="Times New Roman" w:hAnsi="Times New Roman" w:eastAsia="宋体" w:cs="Times New Roman"/>
                <w:b w:val="0"/>
                <w:bCs w:val="0"/>
                <w:snapToGrid w:val="0"/>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snapToGrid w:val="0"/>
                <w:color w:val="000000" w:themeColor="text1"/>
                <w:sz w:val="24"/>
                <w:szCs w:val="24"/>
                <w:lang w:val="en-US" w:eastAsia="zh-CN"/>
                <w14:textFill>
                  <w14:solidFill>
                    <w14:schemeClr w14:val="tx1"/>
                  </w14:solidFill>
                </w14:textFill>
              </w:rPr>
              <w:t>公司原有项目位于玉溪市红塔区高仓街道桃源村哨坡，</w:t>
            </w:r>
            <w:r>
              <w:rPr>
                <w:rFonts w:hint="default" w:ascii="Times New Roman" w:hAnsi="Times New Roman" w:eastAsia="宋体" w:cs="Times New Roman"/>
                <w:b w:val="0"/>
                <w:bCs w:val="0"/>
                <w:snapToGrid w:val="0"/>
                <w:color w:val="000000" w:themeColor="text1"/>
                <w:sz w:val="24"/>
                <w:szCs w:val="24"/>
                <w:lang w:val="en-US" w:eastAsia="zh-CN"/>
                <w14:textFill>
                  <w14:solidFill>
                    <w14:schemeClr w14:val="tx1"/>
                  </w14:solidFill>
                </w14:textFill>
              </w:rPr>
              <w:t>目前由于设备老旧、房租到期等原因，玉溪市宏兴液化石油气瓶检测中心租用</w:t>
            </w:r>
            <w:r>
              <w:rPr>
                <w:rFonts w:hint="default" w:ascii="Times New Roman" w:hAnsi="Times New Roman" w:cs="Times New Roman"/>
                <w:color w:val="000000" w:themeColor="text1"/>
                <w:sz w:val="24"/>
                <w:lang w:val="en-US" w:eastAsia="zh-CN"/>
                <w14:textFill>
                  <w14:solidFill>
                    <w14:schemeClr w14:val="tx1"/>
                  </w14:solidFill>
                </w14:textFill>
              </w:rPr>
              <w:t>云南省玉溪市红塔区研和街道可官社区可官一组定古自然村后面的原村办企业雄峰饲料厂（上半部分）的场地内的1900m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生产车间进行</w:t>
            </w:r>
            <w:r>
              <w:rPr>
                <w:rFonts w:hint="default" w:ascii="Times New Roman" w:hAnsi="Times New Roman" w:eastAsia="宋体" w:cs="Times New Roman"/>
                <w:b w:val="0"/>
                <w:bCs w:val="0"/>
                <w:snapToGrid w:val="0"/>
                <w:color w:val="000000" w:themeColor="text1"/>
                <w:sz w:val="24"/>
                <w:szCs w:val="24"/>
                <w:lang w:val="en-US" w:eastAsia="zh-CN"/>
                <w14:textFill>
                  <w14:solidFill>
                    <w14:schemeClr w14:val="tx1"/>
                  </w14:solidFill>
                </w14:textFill>
              </w:rPr>
              <w:t>建设“</w:t>
            </w:r>
            <w:r>
              <w:rPr>
                <w:rFonts w:hint="default" w:ascii="Times New Roman" w:hAnsi="Times New Roman" w:cs="Times New Roman"/>
                <w:color w:val="000000" w:themeColor="text1"/>
                <w:sz w:val="24"/>
                <w:lang w:val="en-US" w:eastAsia="zh-CN"/>
                <w14:textFill>
                  <w14:solidFill>
                    <w14:schemeClr w14:val="tx1"/>
                  </w14:solidFill>
                </w14:textFill>
              </w:rPr>
              <w:t>玉溪市宏兴液化石油气瓶检测中心钢瓶检测迁建项目</w:t>
            </w:r>
            <w:r>
              <w:rPr>
                <w:rFonts w:hint="default" w:ascii="Times New Roman" w:hAnsi="Times New Roman" w:eastAsia="宋体" w:cs="Times New Roman"/>
                <w:b w:val="0"/>
                <w:bCs w:val="0"/>
                <w:snapToGrid w:val="0"/>
                <w:color w:val="000000" w:themeColor="text1"/>
                <w:sz w:val="24"/>
                <w:szCs w:val="24"/>
                <w:lang w:val="en-US" w:eastAsia="zh-CN"/>
                <w14:textFill>
                  <w14:solidFill>
                    <w14:schemeClr w14:val="tx1"/>
                  </w14:solidFill>
                </w14:textFill>
              </w:rPr>
              <w:t>”。原有项目老旧</w:t>
            </w:r>
            <w:r>
              <w:rPr>
                <w:rFonts w:hint="default" w:ascii="Times New Roman" w:hAnsi="Times New Roman" w:cs="Times New Roman"/>
                <w:b w:val="0"/>
                <w:bCs w:val="0"/>
                <w:snapToGrid w:val="0"/>
                <w:color w:val="000000" w:themeColor="text1"/>
                <w:sz w:val="24"/>
                <w:szCs w:val="24"/>
                <w:lang w:val="en-US" w:eastAsia="zh-CN"/>
                <w14:textFill>
                  <w14:solidFill>
                    <w14:schemeClr w14:val="tx1"/>
                  </w14:solidFill>
                </w14:textFill>
              </w:rPr>
              <w:t>设备均进行拆除报废处置</w:t>
            </w:r>
            <w:r>
              <w:rPr>
                <w:rFonts w:hint="default" w:ascii="Times New Roman" w:hAnsi="Times New Roman" w:eastAsia="宋体" w:cs="Times New Roman"/>
                <w:b w:val="0"/>
                <w:bCs w:val="0"/>
                <w:snapToGrid w:val="0"/>
                <w:color w:val="000000" w:themeColor="text1"/>
                <w:sz w:val="24"/>
                <w:szCs w:val="24"/>
                <w:lang w:val="en-US" w:eastAsia="zh-CN"/>
                <w14:textFill>
                  <w14:solidFill>
                    <w14:schemeClr w14:val="tx1"/>
                  </w14:solidFill>
                </w14:textFill>
              </w:rPr>
              <w:t>，本次项目购置新设备进行建设。</w:t>
            </w:r>
          </w:p>
          <w:p w14:paraId="19C4EF35">
            <w:pPr>
              <w:pStyle w:val="44"/>
              <w:keepNext w:val="0"/>
              <w:keepLines w:val="0"/>
              <w:pageBreakBefore w:val="0"/>
              <w:widowControl w:val="0"/>
              <w:kinsoku/>
              <w:wordWrap w:val="0"/>
              <w:overflowPunct/>
              <w:topLinePunct w:val="0"/>
              <w:autoSpaceDE/>
              <w:autoSpaceDN/>
              <w:bidi w:val="0"/>
              <w:adjustRightInd/>
              <w:snapToGrid/>
              <w:ind w:left="0" w:leftChars="0" w:right="0" w:firstLine="480"/>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w:t>
            </w:r>
            <w:r>
              <w:rPr>
                <w:rFonts w:hint="default" w:ascii="Times New Roman" w:hAnsi="Times New Roman" w:eastAsia="宋体" w:cs="Times New Roman"/>
                <w:color w:val="000000" w:themeColor="text1"/>
                <w:lang w:val="en-US" w:eastAsia="zh-CN"/>
                <w14:textFill>
                  <w14:solidFill>
                    <w14:schemeClr w14:val="tx1"/>
                  </w14:solidFill>
                </w14:textFill>
              </w:rPr>
              <w:t>项目于2025年4月16日取得了玉溪市红塔区发展和改革局核发的《云南省固定资产投资项目备案证》（项目代码：2504-530402-04-01-717729），同意项目建设。</w:t>
            </w:r>
          </w:p>
          <w:p w14:paraId="160CFA28">
            <w:pPr>
              <w:pStyle w:val="44"/>
              <w:keepNext w:val="0"/>
              <w:keepLines w:val="0"/>
              <w:pageBreakBefore w:val="0"/>
              <w:widowControl w:val="0"/>
              <w:kinsoku/>
              <w:wordWrap w:val="0"/>
              <w:overflowPunct/>
              <w:topLinePunct w:val="0"/>
              <w:autoSpaceDE/>
              <w:autoSpaceDN/>
              <w:bidi w:val="0"/>
              <w:adjustRightInd/>
              <w:snapToGrid/>
              <w:ind w:left="0" w:leftChars="0" w:right="0" w:firstLine="48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中华人民共和国环境保护法》、《中华人民共和国环境影响评价法》、《建设项目环境保护管理条例》和《云南省建设项目环境保护管理规定》的规定，建设项目必须履行环境影响评价制度。根据《建设项目环境影响评价分类管理名录》（2021年版）</w:t>
            </w:r>
            <w:r>
              <w:rPr>
                <w:rFonts w:hint="default" w:ascii="Times New Roman" w:hAnsi="Times New Roman" w:cs="Times New Roman"/>
                <w:color w:val="000000" w:themeColor="text1"/>
                <w:lang w:val="en-US" w:eastAsia="zh-CN"/>
                <w14:textFill>
                  <w14:solidFill>
                    <w14:schemeClr w14:val="tx1"/>
                  </w14:solidFill>
                </w14:textFill>
              </w:rPr>
              <w:t>中“四十金属制品、机械和设备修理业，金属制品修理，年用溶剂型涂料（含稀释剂）10吨以下的，或年用非溶剂型低VOCs含量涂料10吨以上的，需编制报告表”</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本项目油墨用量0.488781t/a，</w:t>
            </w:r>
            <w:r>
              <w:rPr>
                <w:rFonts w:hint="eastAsia" w:cs="Times New Roman"/>
                <w:bCs/>
                <w:color w:val="000000" w:themeColor="text1"/>
                <w:sz w:val="24"/>
                <w:lang w:val="en-US" w:eastAsia="zh-CN"/>
                <w14:textFill>
                  <w14:solidFill>
                    <w14:schemeClr w14:val="tx1"/>
                  </w14:solidFill>
                </w14:textFill>
              </w:rPr>
              <w:t>属于年用溶剂型涂料10吨以下，</w:t>
            </w:r>
            <w:r>
              <w:rPr>
                <w:rFonts w:hint="default" w:ascii="Times New Roman" w:hAnsi="Times New Roman" w:cs="Times New Roman"/>
                <w:bCs/>
                <w:color w:val="000000" w:themeColor="text1"/>
                <w:sz w:val="24"/>
                <w:lang w:val="en-US" w:eastAsia="zh-CN"/>
                <w14:textFill>
                  <w14:solidFill>
                    <w14:schemeClr w14:val="tx1"/>
                  </w14:solidFill>
                </w14:textFill>
              </w:rPr>
              <w:t>应当编制环境影响报告表</w:t>
            </w:r>
            <w:r>
              <w:rPr>
                <w:rFonts w:hint="eastAsia" w:cs="Times New Roman"/>
                <w:bCs/>
                <w:color w:val="000000" w:themeColor="text1"/>
                <w:sz w:val="24"/>
                <w:lang w:val="en-US" w:eastAsia="zh-CN"/>
                <w14:textFill>
                  <w14:solidFill>
                    <w14:schemeClr w14:val="tx1"/>
                  </w14:solidFill>
                </w14:textFill>
              </w:rPr>
              <w:t>；本项目</w:t>
            </w:r>
            <w:r>
              <w:rPr>
                <w:rFonts w:hint="default" w:ascii="Times New Roman" w:hAnsi="Times New Roman" w:eastAsia="宋体" w:cs="Times New Roman"/>
                <w:color w:val="000000" w:themeColor="text1"/>
                <w:lang w:val="en-US" w:eastAsia="zh-CN"/>
                <w14:textFill>
                  <w14:solidFill>
                    <w14:schemeClr w14:val="tx1"/>
                  </w14:solidFill>
                </w14:textFill>
              </w:rPr>
              <w:t>热固型粉</w:t>
            </w:r>
            <w:r>
              <w:rPr>
                <w:rFonts w:hint="default" w:cs="Times New Roman"/>
                <w:color w:val="000000" w:themeColor="text1"/>
                <w:lang w:val="en-US" w:eastAsia="zh-CN"/>
                <w14:textFill>
                  <w14:solidFill>
                    <w14:schemeClr w14:val="tx1"/>
                  </w14:solidFill>
                </w14:textFill>
              </w:rPr>
              <w:t>末</w:t>
            </w:r>
            <w:r>
              <w:rPr>
                <w:rFonts w:hint="eastAsia" w:cs="Times New Roman"/>
                <w:color w:val="000000" w:themeColor="text1"/>
                <w:lang w:val="en-US" w:eastAsia="zh-CN"/>
                <w14:textFill>
                  <w14:solidFill>
                    <w14:schemeClr w14:val="tx1"/>
                  </w14:solidFill>
                </w14:textFill>
              </w:rPr>
              <w:t>用量为</w:t>
            </w:r>
            <w:r>
              <w:rPr>
                <w:rFonts w:hint="default" w:cs="Times New Roman"/>
                <w:color w:val="000000" w:themeColor="text1"/>
                <w:lang w:val="en-US" w:eastAsia="zh-CN"/>
                <w14:textFill>
                  <w14:solidFill>
                    <w14:schemeClr w14:val="tx1"/>
                  </w14:solidFill>
                </w14:textFill>
              </w:rPr>
              <w:t>14.9639</w:t>
            </w:r>
            <w:r>
              <w:rPr>
                <w:rFonts w:hint="eastAsia" w:cs="Times New Roman"/>
                <w:color w:val="000000" w:themeColor="text1"/>
                <w:lang w:val="en-US" w:eastAsia="zh-CN"/>
                <w14:textFill>
                  <w14:solidFill>
                    <w14:schemeClr w14:val="tx1"/>
                  </w14:solidFill>
                </w14:textFill>
              </w:rPr>
              <w:t>t/a，</w:t>
            </w:r>
            <w:r>
              <w:rPr>
                <w:rFonts w:hint="default" w:ascii="Times New Roman" w:hAnsi="Times New Roman" w:eastAsia="宋体" w:cs="Times New Roman"/>
                <w:color w:val="000000" w:themeColor="text1"/>
                <w:lang w:val="en-US" w:eastAsia="zh-CN"/>
                <w14:textFill>
                  <w14:solidFill>
                    <w14:schemeClr w14:val="tx1"/>
                  </w14:solidFill>
                </w14:textFill>
              </w:rPr>
              <w:t>热固型粉末主要为环氧聚酯粉末，</w:t>
            </w:r>
            <w:r>
              <w:rPr>
                <w:rFonts w:hint="eastAsia" w:cs="Times New Roman"/>
                <w:bCs/>
                <w:color w:val="000000" w:themeColor="text1"/>
                <w:sz w:val="24"/>
                <w:lang w:val="en-US" w:eastAsia="zh-CN"/>
                <w14:textFill>
                  <w14:solidFill>
                    <w14:schemeClr w14:val="tx1"/>
                  </w14:solidFill>
                </w14:textFill>
              </w:rPr>
              <w:t>属于</w:t>
            </w:r>
            <w:r>
              <w:rPr>
                <w:rFonts w:hint="default" w:ascii="Times New Roman" w:hAnsi="Times New Roman" w:cs="Times New Roman"/>
                <w:color w:val="000000" w:themeColor="text1"/>
                <w:lang w:val="en-US" w:eastAsia="zh-CN"/>
                <w14:textFill>
                  <w14:solidFill>
                    <w14:schemeClr w14:val="tx1"/>
                  </w14:solidFill>
                </w14:textFill>
              </w:rPr>
              <w:t>非溶剂型低VOCs含量涂料10吨以上</w:t>
            </w:r>
            <w:r>
              <w:rPr>
                <w:rFonts w:hint="eastAsia" w:cs="Times New Roman"/>
                <w:bCs/>
                <w:color w:val="000000" w:themeColor="text1"/>
                <w:sz w:val="24"/>
                <w:lang w:val="en-US"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应当编制环境影响报告表</w:t>
            </w:r>
            <w:r>
              <w:rPr>
                <w:rFonts w:hint="eastAsia" w:cs="Times New Roman"/>
                <w:bCs/>
                <w:color w:val="000000" w:themeColor="text1"/>
                <w:sz w:val="24"/>
                <w:lang w:val="en-US" w:eastAsia="zh-CN"/>
                <w14:textFill>
                  <w14:solidFill>
                    <w14:schemeClr w14:val="tx1"/>
                  </w14:solidFill>
                </w14:textFill>
              </w:rPr>
              <w:t>；故综合判定本项目应</w:t>
            </w:r>
            <w:r>
              <w:rPr>
                <w:rFonts w:hint="default" w:ascii="Times New Roman" w:hAnsi="Times New Roman" w:cs="Times New Roman"/>
                <w:bCs/>
                <w:color w:val="000000" w:themeColor="text1"/>
                <w:sz w:val="24"/>
                <w:lang w:val="en-US" w:eastAsia="zh-CN"/>
                <w14:textFill>
                  <w14:solidFill>
                    <w14:schemeClr w14:val="tx1"/>
                  </w14:solidFill>
                </w14:textFill>
              </w:rPr>
              <w:t>当编制环境影响报告表</w:t>
            </w:r>
            <w:r>
              <w:rPr>
                <w:rFonts w:hint="eastAsia" w:cs="Times New Roman"/>
                <w:bCs/>
                <w:color w:val="000000" w:themeColor="text1"/>
                <w:sz w:val="24"/>
                <w:lang w:val="en-US"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我单位接受委托后，及时组织人员对该项目开展了相关的环评工作，考察该项目场址周边环境及企业生产的实际情况，收集和查阅了该项目的有关资料，在此基础上完成了该项目的环境影响报告表的编制工作，</w:t>
            </w:r>
            <w:r>
              <w:rPr>
                <w:rFonts w:hint="default" w:ascii="Times New Roman" w:hAnsi="Times New Roman" w:cs="Times New Roman"/>
                <w:bCs/>
                <w:color w:val="000000" w:themeColor="text1"/>
                <w:kern w:val="0"/>
                <w:sz w:val="24"/>
                <w:lang w:bidi="ar"/>
                <w14:textFill>
                  <w14:solidFill>
                    <w14:schemeClr w14:val="tx1"/>
                  </w14:solidFill>
                </w14:textFill>
              </w:rPr>
              <w:t>提交给建设单位上报主管部门审批</w:t>
            </w:r>
            <w:r>
              <w:rPr>
                <w:rFonts w:hint="default" w:ascii="Times New Roman" w:hAnsi="Times New Roman" w:cs="Times New Roman"/>
                <w:color w:val="000000" w:themeColor="text1"/>
                <w:sz w:val="24"/>
                <w14:textFill>
                  <w14:solidFill>
                    <w14:schemeClr w14:val="tx1"/>
                  </w14:solidFill>
                </w14:textFill>
              </w:rPr>
              <w:t>。</w:t>
            </w:r>
          </w:p>
          <w:p w14:paraId="1ED8D994">
            <w:pPr>
              <w:pStyle w:val="44"/>
              <w:pageBreakBefore w:val="0"/>
              <w:kinsoku/>
              <w:overflowPunct/>
              <w:topLinePunct w:val="0"/>
              <w:bidi w:val="0"/>
              <w:ind w:left="0" w:leftChars="0" w:right="0"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2、项目建设内容及规模</w:t>
            </w:r>
          </w:p>
          <w:p w14:paraId="54F943DA">
            <w:pPr>
              <w:pStyle w:val="44"/>
              <w:pageBreakBefore w:val="0"/>
              <w:kinsoku/>
              <w:overflowPunct/>
              <w:topLinePunct w:val="0"/>
              <w:bidi w:val="0"/>
              <w:ind w:left="0" w:leftChars="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r>
              <w:rPr>
                <w:rFonts w:hint="default" w:ascii="Times New Roman" w:hAnsi="Times New Roman" w:cs="Times New Roman"/>
                <w:color w:val="000000" w:themeColor="text1"/>
                <w:lang w:eastAsia="zh-CN"/>
                <w14:textFill>
                  <w14:solidFill>
                    <w14:schemeClr w14:val="tx1"/>
                  </w14:solidFill>
                </w14:textFill>
              </w:rPr>
              <w:t>租用现有生产车间进行建设，生产车间</w:t>
            </w:r>
            <w:r>
              <w:rPr>
                <w:rFonts w:hint="default" w:ascii="Times New Roman" w:hAnsi="Times New Roman" w:cs="Times New Roman"/>
                <w:color w:val="000000" w:themeColor="text1"/>
                <w14:textFill>
                  <w14:solidFill>
                    <w14:schemeClr w14:val="tx1"/>
                  </w14:solidFill>
                </w14:textFill>
              </w:rPr>
              <w:t>占地面积</w:t>
            </w:r>
            <w:r>
              <w:rPr>
                <w:rFonts w:hint="default" w:ascii="Times New Roman" w:hAnsi="Times New Roman" w:cs="Times New Roman"/>
                <w:color w:val="000000" w:themeColor="text1"/>
                <w:lang w:val="en-US" w:eastAsia="zh-CN"/>
                <w14:textFill>
                  <w14:solidFill>
                    <w14:schemeClr w14:val="tx1"/>
                  </w14:solidFill>
                </w14:textFill>
              </w:rPr>
              <w:t>1900</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项目待检区、生产区、成品区等均布设于生产车间内，</w:t>
            </w:r>
            <w:r>
              <w:rPr>
                <w:rFonts w:hint="default" w:ascii="Times New Roman" w:hAnsi="Times New Roman" w:cs="Times New Roman"/>
                <w:color w:val="000000" w:themeColor="text1"/>
                <w14:textFill>
                  <w14:solidFill>
                    <w14:schemeClr w14:val="tx1"/>
                  </w14:solidFill>
                </w14:textFill>
              </w:rPr>
              <w:t>配套公辅助工程、环保工程</w:t>
            </w:r>
            <w:r>
              <w:rPr>
                <w:rFonts w:hint="default" w:ascii="Times New Roman" w:hAnsi="Times New Roman" w:cs="Times New Roman"/>
                <w:color w:val="000000" w:themeColor="text1"/>
                <w:lang w:eastAsia="zh-CN"/>
                <w14:textFill>
                  <w14:solidFill>
                    <w14:schemeClr w14:val="tx1"/>
                  </w14:solidFill>
                </w14:textFill>
              </w:rPr>
              <w:t>等设施</w:t>
            </w:r>
            <w:r>
              <w:rPr>
                <w:rFonts w:hint="default" w:ascii="Times New Roman" w:hAnsi="Times New Roman" w:cs="Times New Roman"/>
                <w:color w:val="000000" w:themeColor="text1"/>
                <w14:textFill>
                  <w14:solidFill>
                    <w14:schemeClr w14:val="tx1"/>
                  </w14:solidFill>
                </w14:textFill>
              </w:rPr>
              <w:t>。</w:t>
            </w:r>
          </w:p>
          <w:p w14:paraId="3CB3462C">
            <w:pPr>
              <w:pStyle w:val="44"/>
              <w:pageBreakBefore w:val="0"/>
              <w:kinsoku/>
              <w:overflowPunct/>
              <w:topLinePunct w:val="0"/>
              <w:bidi w:val="0"/>
              <w:ind w:left="0" w:leftChars="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项目主要建设内容见表2-1。</w:t>
            </w:r>
          </w:p>
          <w:p w14:paraId="78BF77E1">
            <w:pPr>
              <w:pStyle w:val="45"/>
              <w:pageBreakBefore w:val="0"/>
              <w:kinsoku/>
              <w:overflowPunct/>
              <w:topLinePunct w:val="0"/>
              <w:bidi w:val="0"/>
              <w:spacing w:before="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表2-1项目组成一览表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6"/>
              <w:gridCol w:w="870"/>
              <w:gridCol w:w="1413"/>
              <w:gridCol w:w="4820"/>
              <w:gridCol w:w="680"/>
            </w:tblGrid>
            <w:tr w14:paraId="5E2E1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3" w:type="pct"/>
                  <w:vMerge w:val="restart"/>
                  <w:vAlign w:val="center"/>
                </w:tcPr>
                <w:p w14:paraId="7F1EA621">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工程分类</w:t>
                  </w:r>
                </w:p>
              </w:tc>
              <w:tc>
                <w:tcPr>
                  <w:tcW w:w="517" w:type="pct"/>
                  <w:vMerge w:val="restart"/>
                  <w:vAlign w:val="center"/>
                </w:tcPr>
                <w:p w14:paraId="1911DAB7">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项目名称</w:t>
                  </w:r>
                </w:p>
              </w:tc>
              <w:tc>
                <w:tcPr>
                  <w:tcW w:w="3705" w:type="pct"/>
                  <w:gridSpan w:val="2"/>
                  <w:vMerge w:val="restart"/>
                  <w:vAlign w:val="center"/>
                </w:tcPr>
                <w:p w14:paraId="14D379C9">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建设内容及规模</w:t>
                  </w:r>
                </w:p>
              </w:tc>
              <w:tc>
                <w:tcPr>
                  <w:tcW w:w="404" w:type="pct"/>
                  <w:vMerge w:val="restart"/>
                  <w:vAlign w:val="center"/>
                </w:tcPr>
                <w:p w14:paraId="3D42CF61">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备注</w:t>
                  </w:r>
                </w:p>
              </w:tc>
            </w:tr>
            <w:tr w14:paraId="3FA4B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3" w:type="pct"/>
                  <w:vMerge w:val="continue"/>
                  <w:vAlign w:val="center"/>
                </w:tcPr>
                <w:p w14:paraId="560D7992">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Cs/>
                      <w:color w:val="000000" w:themeColor="text1"/>
                      <w:szCs w:val="21"/>
                      <w14:textFill>
                        <w14:solidFill>
                          <w14:schemeClr w14:val="tx1"/>
                        </w14:solidFill>
                      </w14:textFill>
                    </w:rPr>
                  </w:pPr>
                </w:p>
              </w:tc>
              <w:tc>
                <w:tcPr>
                  <w:tcW w:w="517" w:type="pct"/>
                  <w:vMerge w:val="continue"/>
                  <w:vAlign w:val="center"/>
                </w:tcPr>
                <w:p w14:paraId="0166D3AA">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p>
              </w:tc>
              <w:tc>
                <w:tcPr>
                  <w:tcW w:w="3705" w:type="pct"/>
                  <w:gridSpan w:val="2"/>
                  <w:vMerge w:val="continue"/>
                  <w:vAlign w:val="center"/>
                </w:tcPr>
                <w:p w14:paraId="29AE92A7">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p>
              </w:tc>
              <w:tc>
                <w:tcPr>
                  <w:tcW w:w="404" w:type="pct"/>
                  <w:vMerge w:val="continue"/>
                  <w:vAlign w:val="center"/>
                </w:tcPr>
                <w:p w14:paraId="5F206937">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p>
              </w:tc>
            </w:tr>
            <w:tr w14:paraId="5BD5B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3" w:type="pct"/>
                  <w:vMerge w:val="restart"/>
                  <w:vAlign w:val="center"/>
                </w:tcPr>
                <w:p w14:paraId="43E5FFF5">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主体工程</w:t>
                  </w:r>
                </w:p>
              </w:tc>
              <w:tc>
                <w:tcPr>
                  <w:tcW w:w="517" w:type="pct"/>
                  <w:vMerge w:val="restart"/>
                  <w:vAlign w:val="center"/>
                </w:tcPr>
                <w:p w14:paraId="192BF22D">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生产车间</w:t>
                  </w:r>
                </w:p>
              </w:tc>
              <w:tc>
                <w:tcPr>
                  <w:tcW w:w="3705" w:type="pct"/>
                  <w:gridSpan w:val="2"/>
                  <w:vAlign w:val="center"/>
                </w:tcPr>
                <w:p w14:paraId="5E9908A9">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生产车间占地面积为</w:t>
                  </w:r>
                  <w:r>
                    <w:rPr>
                      <w:rFonts w:hint="default" w:ascii="Times New Roman" w:hAnsi="Times New Roman" w:cs="Times New Roman"/>
                      <w:color w:val="000000" w:themeColor="text1"/>
                      <w:szCs w:val="21"/>
                      <w:lang w:val="en-US" w:eastAsia="zh-CN"/>
                      <w14:textFill>
                        <w14:solidFill>
                          <w14:schemeClr w14:val="tx1"/>
                        </w14:solidFill>
                      </w14:textFill>
                    </w:rPr>
                    <w:t>1900m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2</w:t>
                  </w:r>
                  <w:r>
                    <w:rPr>
                      <w:rFonts w:hint="default" w:ascii="Times New Roman" w:hAnsi="Times New Roman" w:cs="Times New Roman"/>
                      <w:color w:val="000000" w:themeColor="text1"/>
                      <w:szCs w:val="21"/>
                      <w:lang w:val="en-US" w:eastAsia="zh-CN"/>
                      <w14:textFill>
                        <w14:solidFill>
                          <w14:schemeClr w14:val="tx1"/>
                        </w14:solidFill>
                      </w14:textFill>
                    </w:rPr>
                    <w:t>，1F，钢架结构，设置四周围挡及彩钢瓦顶棚。生产车间为新建生产车间，可直接使用，本项目不涉及生产车间修缮。</w:t>
                  </w:r>
                </w:p>
              </w:tc>
              <w:tc>
                <w:tcPr>
                  <w:tcW w:w="404" w:type="pct"/>
                  <w:vMerge w:val="restart"/>
                  <w:vAlign w:val="center"/>
                </w:tcPr>
                <w:p w14:paraId="00079FDB">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新建</w:t>
                  </w:r>
                </w:p>
              </w:tc>
            </w:tr>
            <w:tr w14:paraId="4E56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3" w:type="pct"/>
                  <w:vMerge w:val="continue"/>
                  <w:vAlign w:val="center"/>
                </w:tcPr>
                <w:p w14:paraId="527EE7EE">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Cs/>
                      <w:color w:val="000000" w:themeColor="text1"/>
                      <w:szCs w:val="21"/>
                      <w14:textFill>
                        <w14:solidFill>
                          <w14:schemeClr w14:val="tx1"/>
                        </w14:solidFill>
                      </w14:textFill>
                    </w:rPr>
                  </w:pPr>
                </w:p>
              </w:tc>
              <w:tc>
                <w:tcPr>
                  <w:tcW w:w="517" w:type="pct"/>
                  <w:vMerge w:val="continue"/>
                  <w:vAlign w:val="center"/>
                </w:tcPr>
                <w:p w14:paraId="2E8CA6BA">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840" w:type="pct"/>
                  <w:vAlign w:val="center"/>
                </w:tcPr>
                <w:p w14:paraId="0F1485B9">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待检区</w:t>
                  </w:r>
                </w:p>
              </w:tc>
              <w:tc>
                <w:tcPr>
                  <w:tcW w:w="2864" w:type="pct"/>
                  <w:vAlign w:val="center"/>
                </w:tcPr>
                <w:p w14:paraId="689A1297">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设置约</w:t>
                  </w:r>
                  <w:r>
                    <w:rPr>
                      <w:rFonts w:hint="default" w:ascii="Times New Roman" w:hAnsi="Times New Roman"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的待检区，</w:t>
                  </w:r>
                  <w:r>
                    <w:rPr>
                      <w:rFonts w:hint="eastAsia" w:ascii="Times New Roman" w:hAnsi="Times New Roman" w:cs="Times New Roman"/>
                      <w:color w:val="000000" w:themeColor="text1"/>
                      <w:sz w:val="21"/>
                      <w:szCs w:val="21"/>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入场后进入待检区暂存</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404" w:type="pct"/>
                  <w:vMerge w:val="continue"/>
                  <w:vAlign w:val="center"/>
                </w:tcPr>
                <w:p w14:paraId="1D4DF417">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p>
              </w:tc>
            </w:tr>
            <w:tr w14:paraId="6E027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3" w:type="pct"/>
                  <w:vMerge w:val="continue"/>
                  <w:vAlign w:val="center"/>
                </w:tcPr>
                <w:p w14:paraId="7DB0E6E0">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Cs/>
                      <w:color w:val="000000" w:themeColor="text1"/>
                      <w:szCs w:val="21"/>
                      <w14:textFill>
                        <w14:solidFill>
                          <w14:schemeClr w14:val="tx1"/>
                        </w14:solidFill>
                      </w14:textFill>
                    </w:rPr>
                  </w:pPr>
                </w:p>
              </w:tc>
              <w:tc>
                <w:tcPr>
                  <w:tcW w:w="517" w:type="pct"/>
                  <w:vMerge w:val="continue"/>
                  <w:vAlign w:val="center"/>
                </w:tcPr>
                <w:p w14:paraId="69F0DB97">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840" w:type="pct"/>
                  <w:vAlign w:val="center"/>
                </w:tcPr>
                <w:p w14:paraId="74CA0832">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生产区</w:t>
                  </w:r>
                </w:p>
              </w:tc>
              <w:tc>
                <w:tcPr>
                  <w:tcW w:w="2864" w:type="pct"/>
                  <w:vAlign w:val="center"/>
                </w:tcPr>
                <w:p w14:paraId="12AC2B95">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设置约1</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生产区，生产区内布设残液回收装置、瓶阀装卸机、焚烧炉、钢瓶除锈机、静电喷涂烘干设备、水压测试机等设备</w:t>
                  </w:r>
                  <w:r>
                    <w:rPr>
                      <w:rFonts w:hint="default" w:ascii="Times New Roman" w:hAnsi="Times New Roman" w:cs="Times New Roman"/>
                      <w:color w:val="000000" w:themeColor="text1"/>
                      <w:sz w:val="21"/>
                      <w:szCs w:val="21"/>
                      <w:lang w:val="en-US" w:eastAsia="zh-CN"/>
                      <w14:textFill>
                        <w14:solidFill>
                          <w14:schemeClr w14:val="tx1"/>
                        </w14:solidFill>
                      </w14:textFill>
                    </w:rPr>
                    <w:t>。</w:t>
                  </w:r>
                </w:p>
                <w:p w14:paraId="57B283E9">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本项目烘干环节采用液化气作为燃烧，生产区西南侧内设置1个约10m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的液化气瓶</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区，外购</w:t>
                  </w:r>
                  <w:r>
                    <w:rPr>
                      <w:rFonts w:hint="default" w:ascii="Times New Roman" w:hAnsi="Times New Roman" w:cs="Times New Roman"/>
                      <w:color w:val="000000" w:themeColor="text1"/>
                      <w:sz w:val="21"/>
                      <w:szCs w:val="21"/>
                      <w:lang w:val="en-US" w:eastAsia="zh-CN"/>
                      <w14:textFill>
                        <w14:solidFill>
                          <w14:schemeClr w14:val="tx1"/>
                        </w14:solidFill>
                      </w14:textFill>
                    </w:rPr>
                    <w:t>合规液化气瓶</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进场后进入液化气瓶区使用，用完后及时外购更换。</w:t>
                  </w:r>
                </w:p>
              </w:tc>
              <w:tc>
                <w:tcPr>
                  <w:tcW w:w="404" w:type="pct"/>
                  <w:vMerge w:val="continue"/>
                  <w:vAlign w:val="center"/>
                </w:tcPr>
                <w:p w14:paraId="78F9D261">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p>
              </w:tc>
            </w:tr>
            <w:tr w14:paraId="1751B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3" w:type="pct"/>
                  <w:vMerge w:val="continue"/>
                  <w:vAlign w:val="center"/>
                </w:tcPr>
                <w:p w14:paraId="44F81705">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Cs/>
                      <w:color w:val="000000" w:themeColor="text1"/>
                      <w:szCs w:val="21"/>
                      <w14:textFill>
                        <w14:solidFill>
                          <w14:schemeClr w14:val="tx1"/>
                        </w14:solidFill>
                      </w14:textFill>
                    </w:rPr>
                  </w:pPr>
                </w:p>
              </w:tc>
              <w:tc>
                <w:tcPr>
                  <w:tcW w:w="517" w:type="pct"/>
                  <w:vMerge w:val="continue"/>
                  <w:vAlign w:val="center"/>
                </w:tcPr>
                <w:p w14:paraId="0FBB98C2">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840" w:type="pct"/>
                  <w:vAlign w:val="center"/>
                </w:tcPr>
                <w:p w14:paraId="543605B1">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成品区</w:t>
                  </w:r>
                </w:p>
              </w:tc>
              <w:tc>
                <w:tcPr>
                  <w:tcW w:w="2864" w:type="pct"/>
                  <w:vAlign w:val="center"/>
                </w:tcPr>
                <w:p w14:paraId="52440D0E">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设置约150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的成品区，检测合格的</w:t>
                  </w:r>
                  <w:r>
                    <w:rPr>
                      <w:rFonts w:hint="eastAsia" w:ascii="Times New Roman" w:hAnsi="Times New Roman" w:cs="Times New Roman"/>
                      <w:color w:val="000000" w:themeColor="text1"/>
                      <w:sz w:val="21"/>
                      <w:szCs w:val="21"/>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进入成品区暂存。</w:t>
                  </w:r>
                </w:p>
              </w:tc>
              <w:tc>
                <w:tcPr>
                  <w:tcW w:w="404" w:type="pct"/>
                  <w:vMerge w:val="continue"/>
                  <w:vAlign w:val="center"/>
                </w:tcPr>
                <w:p w14:paraId="3F7E56AC">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p>
              </w:tc>
            </w:tr>
            <w:tr w14:paraId="33DB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vMerge w:val="continue"/>
                  <w:vAlign w:val="center"/>
                </w:tcPr>
                <w:p w14:paraId="6A5A59E7">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Cs/>
                      <w:color w:val="000000" w:themeColor="text1"/>
                      <w:szCs w:val="21"/>
                      <w14:textFill>
                        <w14:solidFill>
                          <w14:schemeClr w14:val="tx1"/>
                        </w14:solidFill>
                      </w14:textFill>
                    </w:rPr>
                  </w:pPr>
                </w:p>
              </w:tc>
              <w:tc>
                <w:tcPr>
                  <w:tcW w:w="517" w:type="pct"/>
                  <w:vMerge w:val="continue"/>
                  <w:vAlign w:val="center"/>
                </w:tcPr>
                <w:p w14:paraId="473B2076">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840" w:type="pct"/>
                  <w:vAlign w:val="center"/>
                </w:tcPr>
                <w:p w14:paraId="0B315F7D">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压扁</w:t>
                  </w:r>
                  <w:r>
                    <w:rPr>
                      <w:rFonts w:hint="default" w:ascii="Times New Roman" w:hAnsi="Times New Roman" w:eastAsia="宋体" w:cs="Times New Roman"/>
                      <w:color w:val="000000" w:themeColor="text1"/>
                      <w:sz w:val="21"/>
                      <w:szCs w:val="21"/>
                      <w:lang w:eastAsia="zh-CN"/>
                      <w14:textFill>
                        <w14:solidFill>
                          <w14:schemeClr w14:val="tx1"/>
                        </w14:solidFill>
                      </w14:textFill>
                    </w:rPr>
                    <w:t>区</w:t>
                  </w:r>
                </w:p>
              </w:tc>
              <w:tc>
                <w:tcPr>
                  <w:tcW w:w="2864" w:type="pct"/>
                  <w:vAlign w:val="center"/>
                </w:tcPr>
                <w:p w14:paraId="552E2749">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设置约50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的成品区，</w:t>
                  </w:r>
                  <w:r>
                    <w:rPr>
                      <w:rFonts w:hint="default" w:ascii="Times New Roman" w:hAnsi="Times New Roman" w:cs="Times New Roman"/>
                      <w:color w:val="000000" w:themeColor="text1"/>
                      <w:sz w:val="21"/>
                      <w:szCs w:val="21"/>
                      <w:lang w:val="en-US" w:eastAsia="zh-CN"/>
                      <w14:textFill>
                        <w14:solidFill>
                          <w14:schemeClr w14:val="tx1"/>
                        </w14:solidFill>
                      </w14:textFill>
                    </w:rPr>
                    <w:t>报废</w:t>
                  </w:r>
                  <w:r>
                    <w:rPr>
                      <w:rFonts w:hint="eastAsia" w:ascii="Times New Roman" w:hAnsi="Times New Roman" w:cs="Times New Roman"/>
                      <w:color w:val="000000" w:themeColor="text1"/>
                      <w:sz w:val="21"/>
                      <w:szCs w:val="21"/>
                      <w:lang w:val="en-US" w:eastAsia="zh-CN"/>
                      <w14:textFill>
                        <w14:solidFill>
                          <w14:schemeClr w14:val="tx1"/>
                        </w14:solidFill>
                      </w14:textFill>
                    </w:rPr>
                    <w:t>液化石油气钢瓶</w:t>
                  </w:r>
                  <w:r>
                    <w:rPr>
                      <w:rFonts w:hint="default" w:ascii="Times New Roman" w:hAnsi="Times New Roman" w:cs="Times New Roman"/>
                      <w:color w:val="000000" w:themeColor="text1"/>
                      <w:sz w:val="21"/>
                      <w:szCs w:val="21"/>
                      <w:lang w:val="en-US" w:eastAsia="zh-CN"/>
                      <w14:textFill>
                        <w14:solidFill>
                          <w14:schemeClr w14:val="tx1"/>
                        </w14:solidFill>
                      </w14:textFill>
                    </w:rPr>
                    <w:t>、不合格</w:t>
                  </w:r>
                  <w:r>
                    <w:rPr>
                      <w:rFonts w:hint="eastAsia" w:ascii="Times New Roman" w:hAnsi="Times New Roman" w:cs="Times New Roman"/>
                      <w:color w:val="000000" w:themeColor="text1"/>
                      <w:sz w:val="21"/>
                      <w:szCs w:val="21"/>
                      <w:lang w:val="en-US" w:eastAsia="zh-CN"/>
                      <w14:textFill>
                        <w14:solidFill>
                          <w14:schemeClr w14:val="tx1"/>
                        </w14:solidFill>
                      </w14:textFill>
                    </w:rPr>
                    <w:t>液化石油气钢瓶</w:t>
                  </w:r>
                  <w:r>
                    <w:rPr>
                      <w:rFonts w:hint="default" w:ascii="Times New Roman" w:hAnsi="Times New Roman" w:cs="Times New Roman"/>
                      <w:color w:val="000000" w:themeColor="text1"/>
                      <w:sz w:val="21"/>
                      <w:szCs w:val="21"/>
                      <w:lang w:val="en-US" w:eastAsia="zh-CN"/>
                      <w14:textFill>
                        <w14:solidFill>
                          <w14:schemeClr w14:val="tx1"/>
                        </w14:solidFill>
                      </w14:textFill>
                    </w:rPr>
                    <w:t>进入压扁区进行压扁。设置有压扁机。</w:t>
                  </w:r>
                </w:p>
              </w:tc>
              <w:tc>
                <w:tcPr>
                  <w:tcW w:w="404" w:type="pct"/>
                  <w:vMerge w:val="continue"/>
                  <w:vAlign w:val="center"/>
                </w:tcPr>
                <w:p w14:paraId="3C02B058">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p>
              </w:tc>
            </w:tr>
            <w:tr w14:paraId="235A9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vMerge w:val="continue"/>
                  <w:vAlign w:val="center"/>
                </w:tcPr>
                <w:p w14:paraId="7BE4C4DF">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Cs/>
                      <w:color w:val="000000" w:themeColor="text1"/>
                      <w:szCs w:val="21"/>
                      <w14:textFill>
                        <w14:solidFill>
                          <w14:schemeClr w14:val="tx1"/>
                        </w14:solidFill>
                      </w14:textFill>
                    </w:rPr>
                  </w:pPr>
                </w:p>
              </w:tc>
              <w:tc>
                <w:tcPr>
                  <w:tcW w:w="517" w:type="pct"/>
                  <w:vMerge w:val="continue"/>
                  <w:vAlign w:val="center"/>
                </w:tcPr>
                <w:p w14:paraId="5A2F979E">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840" w:type="pct"/>
                  <w:vAlign w:val="center"/>
                </w:tcPr>
                <w:p w14:paraId="27E7FB95">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辅料库</w:t>
                  </w:r>
                </w:p>
              </w:tc>
              <w:tc>
                <w:tcPr>
                  <w:tcW w:w="2864" w:type="pct"/>
                  <w:vAlign w:val="center"/>
                </w:tcPr>
                <w:p w14:paraId="5705CDAB">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设置约100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的辅料库，放置瓶阀、钢丸、塑粉、油墨等原辅材料。</w:t>
                  </w:r>
                </w:p>
              </w:tc>
              <w:tc>
                <w:tcPr>
                  <w:tcW w:w="404" w:type="pct"/>
                  <w:vMerge w:val="continue"/>
                  <w:vAlign w:val="center"/>
                </w:tcPr>
                <w:p w14:paraId="04F436C7">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p>
              </w:tc>
            </w:tr>
            <w:tr w14:paraId="2B13A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vMerge w:val="continue"/>
                  <w:vAlign w:val="center"/>
                </w:tcPr>
                <w:p w14:paraId="79BE25AB">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Cs/>
                      <w:color w:val="000000" w:themeColor="text1"/>
                      <w:szCs w:val="21"/>
                      <w14:textFill>
                        <w14:solidFill>
                          <w14:schemeClr w14:val="tx1"/>
                        </w14:solidFill>
                      </w14:textFill>
                    </w:rPr>
                  </w:pPr>
                </w:p>
              </w:tc>
              <w:tc>
                <w:tcPr>
                  <w:tcW w:w="517" w:type="pct"/>
                  <w:vMerge w:val="continue"/>
                  <w:vAlign w:val="center"/>
                </w:tcPr>
                <w:p w14:paraId="02168E4D">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840" w:type="pct"/>
                  <w:vAlign w:val="center"/>
                </w:tcPr>
                <w:p w14:paraId="2D9F7A66">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办公区</w:t>
                  </w:r>
                </w:p>
              </w:tc>
              <w:tc>
                <w:tcPr>
                  <w:tcW w:w="2864" w:type="pct"/>
                  <w:vAlign w:val="center"/>
                </w:tcPr>
                <w:p w14:paraId="75E25E46">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设置约100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的办公区，用于办公。</w:t>
                  </w:r>
                </w:p>
              </w:tc>
              <w:tc>
                <w:tcPr>
                  <w:tcW w:w="404" w:type="pct"/>
                  <w:vMerge w:val="continue"/>
                  <w:vAlign w:val="center"/>
                </w:tcPr>
                <w:p w14:paraId="52DA7449">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p>
              </w:tc>
            </w:tr>
            <w:tr w14:paraId="45999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vMerge w:val="continue"/>
                  <w:vAlign w:val="center"/>
                </w:tcPr>
                <w:p w14:paraId="4D0B56F4">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Cs/>
                      <w:color w:val="000000" w:themeColor="text1"/>
                      <w:szCs w:val="21"/>
                      <w14:textFill>
                        <w14:solidFill>
                          <w14:schemeClr w14:val="tx1"/>
                        </w14:solidFill>
                      </w14:textFill>
                    </w:rPr>
                  </w:pPr>
                </w:p>
              </w:tc>
              <w:tc>
                <w:tcPr>
                  <w:tcW w:w="517" w:type="pct"/>
                  <w:vMerge w:val="continue"/>
                  <w:vAlign w:val="center"/>
                </w:tcPr>
                <w:p w14:paraId="1F8FE1CB">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840" w:type="pct"/>
                  <w:vAlign w:val="center"/>
                </w:tcPr>
                <w:p w14:paraId="391646CB">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车间运输通道</w:t>
                  </w:r>
                </w:p>
              </w:tc>
              <w:tc>
                <w:tcPr>
                  <w:tcW w:w="2864" w:type="pct"/>
                  <w:vAlign w:val="center"/>
                </w:tcPr>
                <w:p w14:paraId="76442562">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车间内</w:t>
                  </w:r>
                  <w:r>
                    <w:rPr>
                      <w:rFonts w:hint="default" w:ascii="Times New Roman" w:hAnsi="Times New Roman" w:cs="Times New Roman"/>
                      <w:color w:val="000000" w:themeColor="text1"/>
                      <w:sz w:val="21"/>
                      <w:szCs w:val="21"/>
                      <w:lang w:val="en-US" w:eastAsia="zh-CN"/>
                      <w14:textFill>
                        <w14:solidFill>
                          <w14:schemeClr w14:val="tx1"/>
                        </w14:solidFill>
                      </w14:textFill>
                    </w:rPr>
                    <w:t>设置约250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的</w:t>
                  </w:r>
                  <w:r>
                    <w:rPr>
                      <w:rFonts w:hint="default" w:ascii="Times New Roman" w:hAnsi="Times New Roman" w:cs="Times New Roman"/>
                      <w:color w:val="000000" w:themeColor="text1"/>
                      <w:sz w:val="21"/>
                      <w:szCs w:val="21"/>
                      <w:lang w:eastAsia="zh-CN"/>
                      <w14:textFill>
                        <w14:solidFill>
                          <w14:schemeClr w14:val="tx1"/>
                        </w14:solidFill>
                      </w14:textFill>
                    </w:rPr>
                    <w:t>运输通道</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，便于运输车辆</w:t>
                  </w:r>
                  <w:r>
                    <w:rPr>
                      <w:rFonts w:hint="default" w:ascii="Times New Roman" w:hAnsi="Times New Roman" w:cs="Times New Roman"/>
                      <w:color w:val="000000" w:themeColor="text1"/>
                      <w:sz w:val="21"/>
                      <w:szCs w:val="21"/>
                      <w:lang w:val="en-US" w:eastAsia="zh-CN"/>
                      <w14:textFill>
                        <w14:solidFill>
                          <w14:schemeClr w14:val="tx1"/>
                        </w14:solidFill>
                      </w14:textFill>
                    </w:rPr>
                    <w:t>于生产车间内运输</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04" w:type="pct"/>
                  <w:vMerge w:val="continue"/>
                  <w:vAlign w:val="center"/>
                </w:tcPr>
                <w:p w14:paraId="0FBCA7BB">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p>
              </w:tc>
            </w:tr>
            <w:tr w14:paraId="46E2D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3" w:type="pct"/>
                  <w:vMerge w:val="restart"/>
                  <w:vAlign w:val="center"/>
                </w:tcPr>
                <w:p w14:paraId="7E35EB71">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eastAsia="zh-CN"/>
                      <w14:textFill>
                        <w14:solidFill>
                          <w14:schemeClr w14:val="tx1"/>
                        </w14:solidFill>
                      </w14:textFill>
                    </w:rPr>
                    <w:t>依托</w:t>
                  </w:r>
                  <w:r>
                    <w:rPr>
                      <w:rFonts w:hint="default" w:ascii="Times New Roman" w:hAnsi="Times New Roman" w:cs="Times New Roman"/>
                      <w:bCs/>
                      <w:color w:val="000000" w:themeColor="text1"/>
                      <w:szCs w:val="21"/>
                      <w14:textFill>
                        <w14:solidFill>
                          <w14:schemeClr w14:val="tx1"/>
                        </w14:solidFill>
                      </w14:textFill>
                    </w:rPr>
                    <w:t>工程</w:t>
                  </w:r>
                </w:p>
              </w:tc>
              <w:tc>
                <w:tcPr>
                  <w:tcW w:w="517" w:type="pct"/>
                  <w:vAlign w:val="center"/>
                </w:tcPr>
                <w:p w14:paraId="0D11C4D5">
                  <w:pPr>
                    <w:pStyle w:val="29"/>
                    <w:pageBreakBefore w:val="0"/>
                    <w:widowControl w:val="0"/>
                    <w:kinsoku/>
                    <w:overflowPunct/>
                    <w:topLinePunct w:val="0"/>
                    <w:bidi w:val="0"/>
                    <w:spacing w:before="0" w:beforeAutospacing="0" w:after="0" w:afterAutospacing="0"/>
                    <w:ind w:left="0" w:leftChars="0" w:right="0" w:righ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初期雨水收集池</w:t>
                  </w:r>
                </w:p>
              </w:tc>
              <w:tc>
                <w:tcPr>
                  <w:tcW w:w="3705" w:type="pct"/>
                  <w:gridSpan w:val="2"/>
                  <w:vAlign w:val="center"/>
                </w:tcPr>
                <w:p w14:paraId="68186578">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本项目租用“浩峰公司塑料项目”闲置厂房进行建设，根据调查，“浩峰公司塑料项目”建设过程中配套建设了雨水收集池等相关环保设施，现有初期雨水收集池容积为20m</w:t>
                  </w:r>
                  <w:r>
                    <w:rPr>
                      <w:rFonts w:hint="default" w:ascii="Times New Roman" w:hAnsi="Times New Roman" w:eastAsia="宋体" w:cs="Times New Roman"/>
                      <w:b w:val="0"/>
                      <w:bCs/>
                      <w:color w:val="000000" w:themeColor="text1"/>
                      <w:kern w:val="2"/>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，初期雨水经收集后用于“浩峰公司塑料项目”生产环节使用。</w:t>
                  </w:r>
                </w:p>
              </w:tc>
              <w:tc>
                <w:tcPr>
                  <w:tcW w:w="404" w:type="pct"/>
                  <w:vAlign w:val="center"/>
                </w:tcPr>
                <w:p w14:paraId="2297273B">
                  <w:pPr>
                    <w:pageBreakBefore w:val="0"/>
                    <w:kinsoku/>
                    <w:overflowPunct/>
                    <w:topLinePunct w:val="0"/>
                    <w:bidi w:val="0"/>
                    <w:adjustRightInd w:val="0"/>
                    <w:snapToGrid w:val="0"/>
                    <w:spacing w:line="0" w:lineRule="atLeast"/>
                    <w:ind w:left="0" w:leftChars="0" w:right="0" w:rightChars="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依托</w:t>
                  </w:r>
                </w:p>
              </w:tc>
            </w:tr>
            <w:tr w14:paraId="3369A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3" w:type="pct"/>
                  <w:vMerge w:val="continue"/>
                  <w:vAlign w:val="center"/>
                </w:tcPr>
                <w:p w14:paraId="2311E4BE">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Cs/>
                      <w:color w:val="000000" w:themeColor="text1"/>
                      <w:szCs w:val="21"/>
                      <w:lang w:eastAsia="zh-CN"/>
                      <w14:textFill>
                        <w14:solidFill>
                          <w14:schemeClr w14:val="tx1"/>
                        </w14:solidFill>
                      </w14:textFill>
                    </w:rPr>
                  </w:pPr>
                </w:p>
              </w:tc>
              <w:tc>
                <w:tcPr>
                  <w:tcW w:w="517" w:type="pct"/>
                  <w:vAlign w:val="center"/>
                </w:tcPr>
                <w:p w14:paraId="3B7C6F26">
                  <w:pPr>
                    <w:pStyle w:val="29"/>
                    <w:pageBreakBefore w:val="0"/>
                    <w:widowControl w:val="0"/>
                    <w:kinsoku/>
                    <w:overflowPunct/>
                    <w:topLinePunct w:val="0"/>
                    <w:bidi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绿化</w:t>
                  </w:r>
                </w:p>
              </w:tc>
              <w:tc>
                <w:tcPr>
                  <w:tcW w:w="3705" w:type="pct"/>
                  <w:gridSpan w:val="2"/>
                  <w:vAlign w:val="center"/>
                </w:tcPr>
                <w:p w14:paraId="503E87B6">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2"/>
                      <w:sz w:val="21"/>
                      <w:szCs w:val="21"/>
                      <w:vertAlign w:val="superscript"/>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租用厂区内现有约200m</w:t>
                  </w:r>
                  <w:r>
                    <w:rPr>
                      <w:rFonts w:hint="default" w:ascii="Times New Roman" w:hAnsi="Times New Roman" w:eastAsia="宋体" w:cs="Times New Roman"/>
                      <w:b w:val="0"/>
                      <w:bCs/>
                      <w:color w:val="000000" w:themeColor="text1"/>
                      <w:kern w:val="2"/>
                      <w:sz w:val="21"/>
                      <w:szCs w:val="21"/>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绿化</w:t>
                  </w:r>
                </w:p>
              </w:tc>
              <w:tc>
                <w:tcPr>
                  <w:tcW w:w="404" w:type="pct"/>
                  <w:vAlign w:val="center"/>
                </w:tcPr>
                <w:p w14:paraId="41D25E27">
                  <w:pPr>
                    <w:pageBreakBefore w:val="0"/>
                    <w:kinsoku/>
                    <w:overflowPunct/>
                    <w:topLinePunct w:val="0"/>
                    <w:bidi w:val="0"/>
                    <w:adjustRightInd w:val="0"/>
                    <w:snapToGrid w:val="0"/>
                    <w:spacing w:line="0" w:lineRule="atLeast"/>
                    <w:ind w:left="0" w:leftChars="0" w:right="0" w:rightChars="0"/>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依托</w:t>
                  </w:r>
                </w:p>
              </w:tc>
            </w:tr>
            <w:tr w14:paraId="68DB7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3" w:type="pct"/>
                  <w:vMerge w:val="restart"/>
                  <w:vAlign w:val="center"/>
                </w:tcPr>
                <w:p w14:paraId="4C82E031">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公用工程</w:t>
                  </w:r>
                </w:p>
              </w:tc>
              <w:tc>
                <w:tcPr>
                  <w:tcW w:w="517" w:type="pct"/>
                  <w:vAlign w:val="center"/>
                </w:tcPr>
                <w:p w14:paraId="30C9A684">
                  <w:pPr>
                    <w:pageBreakBefore w:val="0"/>
                    <w:kinsoku/>
                    <w:overflowPunct/>
                    <w:topLinePunct w:val="0"/>
                    <w:bidi w:val="0"/>
                    <w:adjustRightInd w:val="0"/>
                    <w:snapToGrid w:val="0"/>
                    <w:ind w:left="0" w:leftChars="0" w:right="0"/>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供水</w:t>
                  </w:r>
                </w:p>
              </w:tc>
              <w:tc>
                <w:tcPr>
                  <w:tcW w:w="3705" w:type="pct"/>
                  <w:gridSpan w:val="2"/>
                  <w:vAlign w:val="center"/>
                </w:tcPr>
                <w:p w14:paraId="26CAA933">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由</w:t>
                  </w:r>
                  <w:r>
                    <w:rPr>
                      <w:rFonts w:hint="default" w:ascii="Times New Roman" w:hAnsi="Times New Roman" w:cs="Times New Roman"/>
                      <w:color w:val="000000" w:themeColor="text1"/>
                      <w:kern w:val="0"/>
                      <w:szCs w:val="21"/>
                      <w:lang w:eastAsia="zh-CN"/>
                      <w14:textFill>
                        <w14:solidFill>
                          <w14:schemeClr w14:val="tx1"/>
                        </w14:solidFill>
                      </w14:textFill>
                    </w:rPr>
                    <w:t>周边市政</w:t>
                  </w:r>
                  <w:r>
                    <w:rPr>
                      <w:rFonts w:hint="default" w:ascii="Times New Roman" w:hAnsi="Times New Roman" w:cs="Times New Roman"/>
                      <w:color w:val="000000" w:themeColor="text1"/>
                      <w:kern w:val="0"/>
                      <w:szCs w:val="21"/>
                      <w14:textFill>
                        <w14:solidFill>
                          <w14:schemeClr w14:val="tx1"/>
                        </w14:solidFill>
                      </w14:textFill>
                    </w:rPr>
                    <w:t>供水管网供给</w:t>
                  </w:r>
                </w:p>
              </w:tc>
              <w:tc>
                <w:tcPr>
                  <w:tcW w:w="404" w:type="pct"/>
                  <w:vAlign w:val="center"/>
                </w:tcPr>
                <w:p w14:paraId="16962EE3">
                  <w:pPr>
                    <w:pageBreakBefore w:val="0"/>
                    <w:kinsoku/>
                    <w:overflowPunct/>
                    <w:topLinePunct w:val="0"/>
                    <w:bidi w:val="0"/>
                    <w:adjustRightInd w:val="0"/>
                    <w:snapToGrid w:val="0"/>
                    <w:spacing w:line="0" w:lineRule="atLeast"/>
                    <w:ind w:left="0" w:leftChars="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31ED4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3" w:type="pct"/>
                  <w:vMerge w:val="continue"/>
                  <w:vAlign w:val="center"/>
                </w:tcPr>
                <w:p w14:paraId="2C1FBBF3">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Cs/>
                      <w:color w:val="000000" w:themeColor="text1"/>
                      <w:szCs w:val="21"/>
                      <w14:textFill>
                        <w14:solidFill>
                          <w14:schemeClr w14:val="tx1"/>
                        </w14:solidFill>
                      </w14:textFill>
                    </w:rPr>
                  </w:pPr>
                </w:p>
              </w:tc>
              <w:tc>
                <w:tcPr>
                  <w:tcW w:w="517" w:type="pct"/>
                  <w:vAlign w:val="center"/>
                </w:tcPr>
                <w:p w14:paraId="1F5DFE16">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排水</w:t>
                  </w:r>
                </w:p>
              </w:tc>
              <w:tc>
                <w:tcPr>
                  <w:tcW w:w="3705" w:type="pct"/>
                  <w:gridSpan w:val="2"/>
                  <w:vAlign w:val="center"/>
                </w:tcPr>
                <w:p w14:paraId="564144F8">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（1）项目采取雨污分流制，项目区初期雨水经依托现有雨水收集池收集沉淀后回用于浩峰公司塑料项目生产环节；</w:t>
                  </w:r>
                </w:p>
                <w:p w14:paraId="2788E502">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（2）本项目生产过程中水压试验、气密试验用水循环使用，不外排；喷淋塔定期补充新鲜水，循环使用，废液每年更换一次，废液经收集后暂存于危废暂存间，定期交由有危废资质的单位进行处置。</w:t>
                  </w:r>
                </w:p>
                <w:p w14:paraId="1EB97B1C">
                  <w:pP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）本项目设置1个1m</w:t>
                  </w:r>
                  <w:r>
                    <w:rPr>
                      <w:rFonts w:hint="default"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化粪池，</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1个1m</w:t>
                  </w:r>
                  <w:r>
                    <w:rPr>
                      <w:rFonts w:hint="default" w:ascii="Times New Roman" w:hAnsi="Times New Roman" w:cs="Times New Roman"/>
                      <w:color w:val="000000" w:themeColor="text1"/>
                      <w:kern w:val="2"/>
                      <w:sz w:val="21"/>
                      <w:szCs w:val="21"/>
                      <w:vertAlign w:val="superscript"/>
                      <w:lang w:val="en-US" w:eastAsia="zh-CN" w:bidi="ar-SA"/>
                      <w14:textFill>
                        <w14:solidFill>
                          <w14:schemeClr w14:val="tx1"/>
                        </w14:solidFill>
                      </w14:textFill>
                    </w:rPr>
                    <w:t>3</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收集池</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，1个处理能力为1m</w:t>
                  </w:r>
                  <w:r>
                    <w:rPr>
                      <w:rFonts w:hint="default"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/d的一体化生活污水处理设施，</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生活污水经化粪池收集后进入一体化生活污水处理设施，</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经处理达《城市污水再生利用 城市杂用水水质》（GB/T18920-2020）</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绿化标准后进入收集池</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，回用于绿化，不外排。</w:t>
                  </w:r>
                </w:p>
              </w:tc>
              <w:tc>
                <w:tcPr>
                  <w:tcW w:w="404" w:type="pct"/>
                  <w:vAlign w:val="center"/>
                </w:tcPr>
                <w:p w14:paraId="5D2E7153">
                  <w:pPr>
                    <w:pageBreakBefore w:val="0"/>
                    <w:kinsoku/>
                    <w:overflowPunct/>
                    <w:topLinePunct w:val="0"/>
                    <w:bidi w:val="0"/>
                    <w:adjustRightInd w:val="0"/>
                    <w:snapToGrid w:val="0"/>
                    <w:spacing w:line="0" w:lineRule="atLeast"/>
                    <w:ind w:left="0" w:leftChars="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6DD07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3" w:type="pct"/>
                  <w:vMerge w:val="continue"/>
                  <w:vAlign w:val="center"/>
                </w:tcPr>
                <w:p w14:paraId="571EB5E9">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Cs/>
                      <w:color w:val="000000" w:themeColor="text1"/>
                      <w:szCs w:val="21"/>
                      <w14:textFill>
                        <w14:solidFill>
                          <w14:schemeClr w14:val="tx1"/>
                        </w14:solidFill>
                      </w14:textFill>
                    </w:rPr>
                  </w:pPr>
                </w:p>
              </w:tc>
              <w:tc>
                <w:tcPr>
                  <w:tcW w:w="517" w:type="pct"/>
                  <w:vAlign w:val="center"/>
                </w:tcPr>
                <w:p w14:paraId="60593FE2">
                  <w:pPr>
                    <w:pageBreakBefore w:val="0"/>
                    <w:kinsoku/>
                    <w:overflowPunct/>
                    <w:topLinePunct w:val="0"/>
                    <w:bidi w:val="0"/>
                    <w:adjustRightInd w:val="0"/>
                    <w:snapToGrid w:val="0"/>
                    <w:ind w:left="0" w:leftChars="0" w:right="0"/>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供电</w:t>
                  </w:r>
                </w:p>
              </w:tc>
              <w:tc>
                <w:tcPr>
                  <w:tcW w:w="3705" w:type="pct"/>
                  <w:gridSpan w:val="2"/>
                  <w:vAlign w:val="center"/>
                </w:tcPr>
                <w:p w14:paraId="3F8D174E">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供电由附近</w:t>
                  </w:r>
                  <w:r>
                    <w:rPr>
                      <w:rFonts w:hint="default" w:ascii="Times New Roman" w:hAnsi="Times New Roman" w:cs="Times New Roman"/>
                      <w:color w:val="000000" w:themeColor="text1"/>
                      <w:kern w:val="0"/>
                      <w:szCs w:val="21"/>
                      <w:lang w:eastAsia="zh-CN"/>
                      <w14:textFill>
                        <w14:solidFill>
                          <w14:schemeClr w14:val="tx1"/>
                        </w14:solidFill>
                      </w14:textFill>
                    </w:rPr>
                    <w:t>市政</w:t>
                  </w:r>
                  <w:r>
                    <w:rPr>
                      <w:rFonts w:hint="default" w:ascii="Times New Roman" w:hAnsi="Times New Roman" w:cs="Times New Roman"/>
                      <w:color w:val="000000" w:themeColor="text1"/>
                      <w:kern w:val="0"/>
                      <w:szCs w:val="21"/>
                      <w14:textFill>
                        <w14:solidFill>
                          <w14:schemeClr w14:val="tx1"/>
                        </w14:solidFill>
                      </w14:textFill>
                    </w:rPr>
                    <w:t>电网引入</w:t>
                  </w:r>
                </w:p>
              </w:tc>
              <w:tc>
                <w:tcPr>
                  <w:tcW w:w="404" w:type="pct"/>
                  <w:vAlign w:val="center"/>
                </w:tcPr>
                <w:p w14:paraId="12B042D9">
                  <w:pPr>
                    <w:pageBreakBefore w:val="0"/>
                    <w:kinsoku/>
                    <w:overflowPunct/>
                    <w:topLinePunct w:val="0"/>
                    <w:bidi w:val="0"/>
                    <w:adjustRightInd w:val="0"/>
                    <w:snapToGrid w:val="0"/>
                    <w:spacing w:line="0" w:lineRule="atLeast"/>
                    <w:ind w:left="0" w:leftChars="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w:t>
                  </w:r>
                </w:p>
              </w:tc>
            </w:tr>
            <w:tr w14:paraId="08BF1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3" w:type="pct"/>
                  <w:vMerge w:val="continue"/>
                  <w:vAlign w:val="center"/>
                </w:tcPr>
                <w:p w14:paraId="21F1DAA7">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Cs/>
                      <w:color w:val="000000" w:themeColor="text1"/>
                      <w:szCs w:val="21"/>
                      <w14:textFill>
                        <w14:solidFill>
                          <w14:schemeClr w14:val="tx1"/>
                        </w14:solidFill>
                      </w14:textFill>
                    </w:rPr>
                  </w:pPr>
                </w:p>
              </w:tc>
              <w:tc>
                <w:tcPr>
                  <w:tcW w:w="517" w:type="pct"/>
                  <w:vAlign w:val="center"/>
                </w:tcPr>
                <w:p w14:paraId="7922B3D7">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cs="Times New Roman"/>
                      <w:color w:val="000000" w:themeColor="text1"/>
                      <w:kern w:val="0"/>
                      <w:szCs w:val="21"/>
                      <w:lang w:eastAsia="zh-CN"/>
                      <w14:textFill>
                        <w14:solidFill>
                          <w14:schemeClr w14:val="tx1"/>
                        </w14:solidFill>
                      </w14:textFill>
                    </w:rPr>
                    <w:t>能源</w:t>
                  </w:r>
                </w:p>
              </w:tc>
              <w:tc>
                <w:tcPr>
                  <w:tcW w:w="3705" w:type="pct"/>
                  <w:gridSpan w:val="2"/>
                  <w:vAlign w:val="center"/>
                </w:tcPr>
                <w:p w14:paraId="0CCB3693">
                  <w:pPr>
                    <w:pageBreakBefore w:val="0"/>
                    <w:kinsoku/>
                    <w:overflowPunct/>
                    <w:topLinePunct w:val="0"/>
                    <w:bidi w:val="0"/>
                    <w:adjustRightInd w:val="0"/>
                    <w:snapToGrid w:val="0"/>
                    <w:ind w:left="0" w:leftChars="0" w:right="0"/>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cs="Times New Roman"/>
                      <w:color w:val="000000" w:themeColor="text1"/>
                      <w:kern w:val="0"/>
                      <w:szCs w:val="21"/>
                      <w:lang w:eastAsia="zh-CN"/>
                      <w14:textFill>
                        <w14:solidFill>
                          <w14:schemeClr w14:val="tx1"/>
                        </w14:solidFill>
                      </w14:textFill>
                    </w:rPr>
                    <w:t>焚烧炉采用外购生物质颗粒作为燃料；烘干固化环节采用液化石油气作为燃料。</w:t>
                  </w:r>
                  <w:r>
                    <w:rPr>
                      <w:rFonts w:hint="default" w:ascii="Times New Roman" w:hAnsi="Times New Roman" w:eastAsia="宋体" w:cs="Times New Roman"/>
                      <w:color w:val="000000" w:themeColor="text1"/>
                      <w:lang w:val="en-US" w:eastAsia="zh-CN"/>
                      <w14:textFill>
                        <w14:solidFill>
                          <w14:schemeClr w14:val="tx1"/>
                        </w14:solidFill>
                      </w14:textFill>
                    </w:rPr>
                    <w:t>本项目外购50kg（118L）液化石油气瓶使用，单次外购最大量为5瓶，外购进场后进入液化气瓶区使用，用完后及时外购更换。</w:t>
                  </w:r>
                </w:p>
              </w:tc>
              <w:tc>
                <w:tcPr>
                  <w:tcW w:w="404" w:type="pct"/>
                  <w:vAlign w:val="center"/>
                </w:tcPr>
                <w:p w14:paraId="3E9D1A58">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2BE9C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3" w:type="pct"/>
                  <w:vMerge w:val="restart"/>
                  <w:vAlign w:val="center"/>
                </w:tcPr>
                <w:p w14:paraId="355C3428">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环保工程</w:t>
                  </w:r>
                </w:p>
              </w:tc>
              <w:tc>
                <w:tcPr>
                  <w:tcW w:w="517" w:type="pct"/>
                  <w:vMerge w:val="restart"/>
                  <w:vAlign w:val="center"/>
                </w:tcPr>
                <w:p w14:paraId="65DC5992">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废气</w:t>
                  </w:r>
                </w:p>
              </w:tc>
              <w:tc>
                <w:tcPr>
                  <w:tcW w:w="840" w:type="pct"/>
                  <w:tcBorders>
                    <w:bottom w:val="single" w:color="auto" w:sz="4" w:space="0"/>
                  </w:tcBorders>
                  <w:vAlign w:val="center"/>
                </w:tcPr>
                <w:p w14:paraId="24B4FC0B">
                  <w:pPr>
                    <w:pStyle w:val="124"/>
                    <w:pageBreakBefore w:val="0"/>
                    <w:kinsoku/>
                    <w:overflowPunct/>
                    <w:topLinePunct w:val="0"/>
                    <w:bidi w:val="0"/>
                    <w:ind w:left="0" w:leftChars="0" w:right="0" w:righ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val="0"/>
                      <w:bCs/>
                      <w:color w:val="000000" w:themeColor="text1"/>
                      <w:lang w:val="en-US" w:eastAsia="zh-CN"/>
                      <w14:textFill>
                        <w14:solidFill>
                          <w14:schemeClr w14:val="tx1"/>
                        </w14:solidFill>
                      </w14:textFill>
                    </w:rPr>
                    <w:t>焚烧炉燃烧废气</w:t>
                  </w:r>
                </w:p>
              </w:tc>
              <w:tc>
                <w:tcPr>
                  <w:tcW w:w="2864" w:type="pct"/>
                  <w:tcBorders>
                    <w:bottom w:val="single" w:color="auto" w:sz="4" w:space="0"/>
                  </w:tcBorders>
                  <w:vAlign w:val="center"/>
                </w:tcPr>
                <w:p w14:paraId="62708064">
                  <w:pPr>
                    <w:pStyle w:val="124"/>
                    <w:pageBreakBefore w:val="0"/>
                    <w:kinsoku/>
                    <w:overflowPunct/>
                    <w:topLinePunct w:val="0"/>
                    <w:bidi w:val="0"/>
                    <w:ind w:left="0" w:leftChars="0" w:right="0" w:righ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val="0"/>
                      <w:bCs/>
                      <w:color w:val="000000" w:themeColor="text1"/>
                      <w:lang w:val="en-US" w:eastAsia="zh-CN"/>
                      <w14:textFill>
                        <w14:solidFill>
                          <w14:schemeClr w14:val="tx1"/>
                        </w14:solidFill>
                      </w14:textFill>
                    </w:rPr>
                    <w:t>焚烧炉燃烧废气</w:t>
                  </w:r>
                  <w:r>
                    <w:rPr>
                      <w:rFonts w:hint="default" w:ascii="Times New Roman" w:hAnsi="Times New Roman" w:cs="Times New Roman"/>
                      <w:b w:val="0"/>
                      <w:bCs/>
                      <w:color w:val="000000" w:themeColor="text1"/>
                      <w:kern w:val="24"/>
                      <w:lang w:val="en-US" w:eastAsia="zh-CN"/>
                      <w14:textFill>
                        <w14:solidFill>
                          <w14:schemeClr w14:val="tx1"/>
                        </w14:solidFill>
                      </w14:textFill>
                    </w:rPr>
                    <w:t>经收集后进入一套“旋风+布袋+喷淋”设施处理后通过1根15m高排气筒DA001排放。</w:t>
                  </w:r>
                </w:p>
              </w:tc>
              <w:tc>
                <w:tcPr>
                  <w:tcW w:w="404" w:type="pct"/>
                  <w:vAlign w:val="center"/>
                </w:tcPr>
                <w:p w14:paraId="7C4B6D09">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新建</w:t>
                  </w:r>
                </w:p>
              </w:tc>
            </w:tr>
            <w:tr w14:paraId="2A076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vMerge w:val="continue"/>
                  <w:vAlign w:val="center"/>
                </w:tcPr>
                <w:p w14:paraId="48938829">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Cs/>
                      <w:color w:val="000000" w:themeColor="text1"/>
                      <w:szCs w:val="21"/>
                      <w14:textFill>
                        <w14:solidFill>
                          <w14:schemeClr w14:val="tx1"/>
                        </w14:solidFill>
                      </w14:textFill>
                    </w:rPr>
                  </w:pPr>
                </w:p>
              </w:tc>
              <w:tc>
                <w:tcPr>
                  <w:tcW w:w="517" w:type="pct"/>
                  <w:vMerge w:val="continue"/>
                  <w:vAlign w:val="center"/>
                </w:tcPr>
                <w:p w14:paraId="06C51410">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p>
              </w:tc>
              <w:tc>
                <w:tcPr>
                  <w:tcW w:w="840" w:type="pct"/>
                  <w:tcBorders>
                    <w:bottom w:val="single" w:color="auto" w:sz="4" w:space="0"/>
                  </w:tcBorders>
                  <w:vAlign w:val="center"/>
                </w:tcPr>
                <w:p w14:paraId="2314C12D">
                  <w:pPr>
                    <w:pStyle w:val="124"/>
                    <w:pageBreakBefore w:val="0"/>
                    <w:kinsoku/>
                    <w:overflowPunct/>
                    <w:topLinePunct w:val="0"/>
                    <w:bidi w:val="0"/>
                    <w:ind w:left="0" w:leftChars="0" w:right="0" w:rightChars="0" w:firstLine="0" w:firstLineChars="0"/>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b w:val="0"/>
                      <w:bCs/>
                      <w:color w:val="000000" w:themeColor="text1"/>
                      <w:lang w:val="en-US" w:eastAsia="zh-CN"/>
                      <w14:textFill>
                        <w14:solidFill>
                          <w14:schemeClr w14:val="tx1"/>
                        </w14:solidFill>
                      </w14:textFill>
                    </w:rPr>
                    <w:t>烘干</w:t>
                  </w:r>
                  <w:r>
                    <w:rPr>
                      <w:rFonts w:hint="default" w:ascii="Times New Roman" w:hAnsi="Times New Roman" w:cs="Times New Roman"/>
                      <w:b w:val="0"/>
                      <w:bCs/>
                      <w:color w:val="000000" w:themeColor="text1"/>
                      <w:lang w:val="en-US" w:eastAsia="zh-CN"/>
                      <w14:textFill>
                        <w14:solidFill>
                          <w14:schemeClr w14:val="tx1"/>
                        </w14:solidFill>
                      </w14:textFill>
                    </w:rPr>
                    <w:t>固化</w:t>
                  </w:r>
                  <w:r>
                    <w:rPr>
                      <w:rFonts w:hint="eastAsia" w:cs="Times New Roman"/>
                      <w:b w:val="0"/>
                      <w:bCs/>
                      <w:color w:val="000000" w:themeColor="text1"/>
                      <w:lang w:val="en-US" w:eastAsia="zh-CN"/>
                      <w14:textFill>
                        <w14:solidFill>
                          <w14:schemeClr w14:val="tx1"/>
                        </w14:solidFill>
                      </w14:textFill>
                    </w:rPr>
                    <w:t>环节</w:t>
                  </w:r>
                </w:p>
              </w:tc>
              <w:tc>
                <w:tcPr>
                  <w:tcW w:w="2864" w:type="pct"/>
                  <w:tcBorders>
                    <w:bottom w:val="single" w:color="auto" w:sz="4" w:space="0"/>
                  </w:tcBorders>
                  <w:vAlign w:val="center"/>
                </w:tcPr>
                <w:p w14:paraId="5559017F">
                  <w:pPr>
                    <w:pageBreakBefore w:val="0"/>
                    <w:kinsoku/>
                    <w:overflowPunct/>
                    <w:topLinePunct w:val="0"/>
                    <w:bidi w:val="0"/>
                    <w:adjustRightInd w:val="0"/>
                    <w:snapToGrid w:val="0"/>
                    <w:spacing w:line="0" w:lineRule="atLeast"/>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b w:val="0"/>
                      <w:bCs/>
                      <w:color w:val="000000" w:themeColor="text1"/>
                      <w:kern w:val="24"/>
                      <w:lang w:val="en-US" w:eastAsia="zh-CN"/>
                      <w14:textFill>
                        <w14:solidFill>
                          <w14:schemeClr w14:val="tx1"/>
                        </w14:solidFill>
                      </w14:textFill>
                    </w:rPr>
                    <w:t>烘干固化废气包含液化气燃烧废气、钢瓶烘干废气；烘干固化废气引入焚烧炉通过热力焚烧后同焚烧废气进入废气处理系统处理后一同并入排气筒DA001一同排放。</w:t>
                  </w:r>
                </w:p>
              </w:tc>
              <w:tc>
                <w:tcPr>
                  <w:tcW w:w="404" w:type="pct"/>
                  <w:vAlign w:val="center"/>
                </w:tcPr>
                <w:p w14:paraId="0394E2AB">
                  <w:pPr>
                    <w:pageBreakBefore w:val="0"/>
                    <w:kinsoku/>
                    <w:overflowPunct/>
                    <w:topLinePunct w:val="0"/>
                    <w:bidi w:val="0"/>
                    <w:adjustRightInd w:val="0"/>
                    <w:snapToGrid w:val="0"/>
                    <w:spacing w:line="0" w:lineRule="atLeast"/>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新建</w:t>
                  </w:r>
                </w:p>
              </w:tc>
            </w:tr>
            <w:tr w14:paraId="71E5F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3" w:type="pct"/>
                  <w:vMerge w:val="continue"/>
                  <w:vAlign w:val="center"/>
                </w:tcPr>
                <w:p w14:paraId="7EFCCF14">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Cs/>
                      <w:color w:val="000000" w:themeColor="text1"/>
                      <w:szCs w:val="21"/>
                      <w14:textFill>
                        <w14:solidFill>
                          <w14:schemeClr w14:val="tx1"/>
                        </w14:solidFill>
                      </w14:textFill>
                    </w:rPr>
                  </w:pPr>
                </w:p>
              </w:tc>
              <w:tc>
                <w:tcPr>
                  <w:tcW w:w="517" w:type="pct"/>
                  <w:vMerge w:val="continue"/>
                  <w:vAlign w:val="center"/>
                </w:tcPr>
                <w:p w14:paraId="41C32C06">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p>
              </w:tc>
              <w:tc>
                <w:tcPr>
                  <w:tcW w:w="840" w:type="pct"/>
                  <w:tcBorders>
                    <w:bottom w:val="single" w:color="auto" w:sz="4" w:space="0"/>
                  </w:tcBorders>
                  <w:vAlign w:val="center"/>
                </w:tcPr>
                <w:p w14:paraId="6121A19E">
                  <w:pPr>
                    <w:pStyle w:val="124"/>
                    <w:pageBreakBefore w:val="0"/>
                    <w:kinsoku/>
                    <w:overflowPunct/>
                    <w:topLinePunct w:val="0"/>
                    <w:bidi w:val="0"/>
                    <w:ind w:left="0" w:leftChars="0" w:right="0" w:rightChars="0" w:firstLine="0" w:firstLineChars="0"/>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b w:val="0"/>
                      <w:bCs/>
                      <w:color w:val="000000" w:themeColor="text1"/>
                      <w:szCs w:val="21"/>
                      <w:lang w:val="en-US" w:eastAsia="zh-CN"/>
                      <w14:textFill>
                        <w14:solidFill>
                          <w14:schemeClr w14:val="tx1"/>
                        </w14:solidFill>
                      </w14:textFill>
                    </w:rPr>
                    <w:t>抛丸除锈废气</w:t>
                  </w:r>
                </w:p>
              </w:tc>
              <w:tc>
                <w:tcPr>
                  <w:tcW w:w="2864" w:type="pct"/>
                  <w:tcBorders>
                    <w:bottom w:val="single" w:color="auto" w:sz="4" w:space="0"/>
                  </w:tcBorders>
                  <w:vAlign w:val="center"/>
                </w:tcPr>
                <w:p w14:paraId="1B231298">
                  <w:pPr>
                    <w:pStyle w:val="124"/>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kern w:val="24"/>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抛丸除锈废气经</w:t>
                  </w:r>
                  <w:r>
                    <w:rPr>
                      <w:rFonts w:hint="default" w:ascii="Times New Roman" w:hAnsi="Times New Roman" w:cs="Times New Roman"/>
                      <w:b w:val="0"/>
                      <w:bCs/>
                      <w:color w:val="000000" w:themeColor="text1"/>
                      <w:kern w:val="24"/>
                      <w:lang w:val="en-US" w:eastAsia="zh-CN"/>
                      <w14:textFill>
                        <w14:solidFill>
                          <w14:schemeClr w14:val="tx1"/>
                        </w14:solidFill>
                      </w14:textFill>
                    </w:rPr>
                    <w:t>设置的1套</w:t>
                  </w:r>
                  <w:r>
                    <w:rPr>
                      <w:rFonts w:hint="eastAsia" w:cs="Times New Roman"/>
                      <w:b w:val="0"/>
                      <w:bCs/>
                      <w:color w:val="000000" w:themeColor="text1"/>
                      <w:kern w:val="24"/>
                      <w:lang w:val="en-US" w:eastAsia="zh-CN"/>
                      <w14:textFill>
                        <w14:solidFill>
                          <w14:schemeClr w14:val="tx1"/>
                        </w14:solidFill>
                      </w14:textFill>
                    </w:rPr>
                    <w:t>抛丸除锈</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脉冲滤筒除尘器处理后并入排气筒DA00</w:t>
                  </w:r>
                  <w:r>
                    <w:rPr>
                      <w:rFonts w:hint="default" w:ascii="Times New Roman" w:hAnsi="Times New Roman" w:cs="Times New Roman"/>
                      <w:b w:val="0"/>
                      <w:bCs/>
                      <w:color w:val="000000" w:themeColor="text1"/>
                      <w:kern w:val="24"/>
                      <w:lang w:val="en-US" w:eastAsia="zh-CN"/>
                      <w14:textFill>
                        <w14:solidFill>
                          <w14:schemeClr w14:val="tx1"/>
                        </w14:solidFill>
                      </w14:textFill>
                    </w:rPr>
                    <w:t>2</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一同排放</w:t>
                  </w:r>
                </w:p>
              </w:tc>
              <w:tc>
                <w:tcPr>
                  <w:tcW w:w="404" w:type="pct"/>
                  <w:vAlign w:val="center"/>
                </w:tcPr>
                <w:p w14:paraId="0C84F51A">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新建</w:t>
                  </w:r>
                </w:p>
              </w:tc>
            </w:tr>
            <w:tr w14:paraId="2588D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3" w:type="pct"/>
                  <w:vMerge w:val="continue"/>
                  <w:vAlign w:val="center"/>
                </w:tcPr>
                <w:p w14:paraId="57CE6592">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Cs/>
                      <w:color w:val="000000" w:themeColor="text1"/>
                      <w:szCs w:val="21"/>
                      <w14:textFill>
                        <w14:solidFill>
                          <w14:schemeClr w14:val="tx1"/>
                        </w14:solidFill>
                      </w14:textFill>
                    </w:rPr>
                  </w:pPr>
                </w:p>
              </w:tc>
              <w:tc>
                <w:tcPr>
                  <w:tcW w:w="517" w:type="pct"/>
                  <w:vMerge w:val="continue"/>
                  <w:vAlign w:val="center"/>
                </w:tcPr>
                <w:p w14:paraId="5253F3F6">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p>
              </w:tc>
              <w:tc>
                <w:tcPr>
                  <w:tcW w:w="840" w:type="pct"/>
                  <w:tcBorders>
                    <w:bottom w:val="single" w:color="auto" w:sz="4" w:space="0"/>
                  </w:tcBorders>
                  <w:vAlign w:val="center"/>
                </w:tcPr>
                <w:p w14:paraId="142A94DC">
                  <w:pPr>
                    <w:pStyle w:val="124"/>
                    <w:pageBreakBefore w:val="0"/>
                    <w:kinsoku/>
                    <w:overflowPunct/>
                    <w:topLinePunct w:val="0"/>
                    <w:bidi w:val="0"/>
                    <w:ind w:left="0" w:leftChars="0" w:right="0" w:rightChars="0" w:firstLine="0" w:firstLineChars="0"/>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b w:val="0"/>
                      <w:bCs/>
                      <w:color w:val="000000" w:themeColor="text1"/>
                      <w:szCs w:val="21"/>
                      <w:lang w:val="en-US" w:eastAsia="zh-CN"/>
                      <w14:textFill>
                        <w14:solidFill>
                          <w14:schemeClr w14:val="tx1"/>
                        </w14:solidFill>
                      </w14:textFill>
                    </w:rPr>
                    <w:t>喷塑废气</w:t>
                  </w:r>
                </w:p>
              </w:tc>
              <w:tc>
                <w:tcPr>
                  <w:tcW w:w="2864" w:type="pct"/>
                  <w:tcBorders>
                    <w:bottom w:val="single" w:color="auto" w:sz="4" w:space="0"/>
                  </w:tcBorders>
                  <w:vAlign w:val="center"/>
                </w:tcPr>
                <w:p w14:paraId="63CED248">
                  <w:pPr>
                    <w:pStyle w:val="124"/>
                    <w:pageBreakBefore w:val="0"/>
                    <w:kinsoku/>
                    <w:overflowPunct/>
                    <w:topLinePunct w:val="0"/>
                    <w:bidi w:val="0"/>
                    <w:ind w:left="0" w:leftChars="0" w:right="0" w:righ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喷塑废气经</w:t>
                  </w:r>
                  <w:r>
                    <w:rPr>
                      <w:rFonts w:hint="default" w:ascii="Times New Roman" w:hAnsi="Times New Roman" w:cs="Times New Roman"/>
                      <w:b w:val="0"/>
                      <w:bCs/>
                      <w:color w:val="000000" w:themeColor="text1"/>
                      <w:kern w:val="24"/>
                      <w:lang w:val="en-US" w:eastAsia="zh-CN"/>
                      <w14:textFill>
                        <w14:solidFill>
                          <w14:schemeClr w14:val="tx1"/>
                        </w14:solidFill>
                      </w14:textFill>
                    </w:rPr>
                    <w:t>设置的1套</w:t>
                  </w:r>
                  <w:r>
                    <w:rPr>
                      <w:rFonts w:hint="eastAsia" w:cs="Times New Roman"/>
                      <w:b w:val="0"/>
                      <w:bCs/>
                      <w:color w:val="000000" w:themeColor="text1"/>
                      <w:kern w:val="24"/>
                      <w:lang w:val="en-US" w:eastAsia="zh-CN"/>
                      <w14:textFill>
                        <w14:solidFill>
                          <w14:schemeClr w14:val="tx1"/>
                        </w14:solidFill>
                      </w14:textFill>
                    </w:rPr>
                    <w:t>喷塑</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脉冲滤筒除尘器处理后并入排气筒DA00</w:t>
                  </w:r>
                  <w:r>
                    <w:rPr>
                      <w:rFonts w:hint="default" w:ascii="Times New Roman" w:hAnsi="Times New Roman" w:cs="Times New Roman"/>
                      <w:b w:val="0"/>
                      <w:bCs/>
                      <w:color w:val="000000" w:themeColor="text1"/>
                      <w:kern w:val="24"/>
                      <w:lang w:val="en-US" w:eastAsia="zh-CN"/>
                      <w14:textFill>
                        <w14:solidFill>
                          <w14:schemeClr w14:val="tx1"/>
                        </w14:solidFill>
                      </w14:textFill>
                    </w:rPr>
                    <w:t>2</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一同排放</w:t>
                  </w:r>
                </w:p>
              </w:tc>
              <w:tc>
                <w:tcPr>
                  <w:tcW w:w="404" w:type="pct"/>
                  <w:vAlign w:val="center"/>
                </w:tcPr>
                <w:p w14:paraId="2C385C8F">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新建</w:t>
                  </w:r>
                </w:p>
              </w:tc>
            </w:tr>
            <w:tr w14:paraId="46AAB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3" w:type="pct"/>
                  <w:vMerge w:val="continue"/>
                  <w:vAlign w:val="center"/>
                </w:tcPr>
                <w:p w14:paraId="0FADCFA2">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Cs/>
                      <w:color w:val="000000" w:themeColor="text1"/>
                      <w:szCs w:val="21"/>
                      <w14:textFill>
                        <w14:solidFill>
                          <w14:schemeClr w14:val="tx1"/>
                        </w14:solidFill>
                      </w14:textFill>
                    </w:rPr>
                  </w:pPr>
                </w:p>
              </w:tc>
              <w:tc>
                <w:tcPr>
                  <w:tcW w:w="517" w:type="pct"/>
                  <w:vMerge w:val="continue"/>
                  <w:vAlign w:val="center"/>
                </w:tcPr>
                <w:p w14:paraId="07BF0E6D">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p>
              </w:tc>
              <w:tc>
                <w:tcPr>
                  <w:tcW w:w="840" w:type="pct"/>
                  <w:tcBorders>
                    <w:bottom w:val="single" w:color="auto" w:sz="4" w:space="0"/>
                  </w:tcBorders>
                  <w:vAlign w:val="center"/>
                </w:tcPr>
                <w:p w14:paraId="6ED6AF5B">
                  <w:pPr>
                    <w:pStyle w:val="124"/>
                    <w:pageBreakBefore w:val="0"/>
                    <w:kinsoku/>
                    <w:overflowPunct/>
                    <w:topLinePunct w:val="0"/>
                    <w:bidi w:val="0"/>
                    <w:ind w:left="0" w:leftChars="0" w:right="0" w:firstLine="0" w:firstLineChars="0"/>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手工刷字废气、泄漏废气</w:t>
                  </w:r>
                </w:p>
              </w:tc>
              <w:tc>
                <w:tcPr>
                  <w:tcW w:w="2864" w:type="pct"/>
                  <w:tcBorders>
                    <w:bottom w:val="single" w:color="auto" w:sz="4" w:space="0"/>
                  </w:tcBorders>
                  <w:vAlign w:val="center"/>
                </w:tcPr>
                <w:p w14:paraId="571D8E5C">
                  <w:pPr>
                    <w:pStyle w:val="124"/>
                    <w:pageBreakBefore w:val="0"/>
                    <w:kinsoku/>
                    <w:overflowPunct/>
                    <w:topLinePunct w:val="0"/>
                    <w:bidi w:val="0"/>
                    <w:ind w:left="0" w:leftChars="0" w:right="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手工刷字废气、液化石油气泄漏废气无组织排放，采取加强车间通风等措施</w:t>
                  </w:r>
                </w:p>
              </w:tc>
              <w:tc>
                <w:tcPr>
                  <w:tcW w:w="404" w:type="pct"/>
                  <w:vAlign w:val="center"/>
                </w:tcPr>
                <w:p w14:paraId="0B821A4D">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新建</w:t>
                  </w:r>
                </w:p>
              </w:tc>
            </w:tr>
            <w:tr w14:paraId="067DA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3" w:type="pct"/>
                  <w:vMerge w:val="continue"/>
                  <w:vAlign w:val="center"/>
                </w:tcPr>
                <w:p w14:paraId="119A0A4D">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p>
              </w:tc>
              <w:tc>
                <w:tcPr>
                  <w:tcW w:w="517" w:type="pct"/>
                  <w:vMerge w:val="restart"/>
                  <w:vAlign w:val="center"/>
                </w:tcPr>
                <w:p w14:paraId="71CAB219">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废水</w:t>
                  </w:r>
                </w:p>
              </w:tc>
              <w:tc>
                <w:tcPr>
                  <w:tcW w:w="840" w:type="pct"/>
                  <w:vAlign w:val="center"/>
                </w:tcPr>
                <w:p w14:paraId="3FE91E27">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生活污水</w:t>
                  </w:r>
                </w:p>
              </w:tc>
              <w:tc>
                <w:tcPr>
                  <w:tcW w:w="2864" w:type="pct"/>
                  <w:vAlign w:val="center"/>
                </w:tcPr>
                <w:p w14:paraId="637B3031">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本项目设置1个1m</w:t>
                  </w:r>
                  <w:r>
                    <w:rPr>
                      <w:rFonts w:hint="default"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化粪池，1个1m</w:t>
                  </w:r>
                  <w:r>
                    <w:rPr>
                      <w:rFonts w:hint="default"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收集池，1个处理能力为1m</w:t>
                  </w:r>
                  <w:r>
                    <w:rPr>
                      <w:rFonts w:hint="default"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/d的一体化生活污水处理设施，生活污水经化粪池收集后进入一体化生活污水处理设施，经处理达《城市污水再生利用 城市杂用水水质》（GB/T18920-2020）绿化标准后进入收集池，回用于绿化，不外排。</w:t>
                  </w:r>
                </w:p>
              </w:tc>
              <w:tc>
                <w:tcPr>
                  <w:tcW w:w="404" w:type="pct"/>
                  <w:vAlign w:val="center"/>
                </w:tcPr>
                <w:p w14:paraId="33F88CEB">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新建</w:t>
                  </w:r>
                </w:p>
              </w:tc>
            </w:tr>
            <w:tr w14:paraId="3DF25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3" w:type="pct"/>
                  <w:vMerge w:val="continue"/>
                  <w:vAlign w:val="center"/>
                </w:tcPr>
                <w:p w14:paraId="48C5EDCA">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p>
              </w:tc>
              <w:tc>
                <w:tcPr>
                  <w:tcW w:w="517" w:type="pct"/>
                  <w:vMerge w:val="continue"/>
                  <w:vAlign w:val="center"/>
                </w:tcPr>
                <w:p w14:paraId="7C1A7B7C">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840" w:type="pct"/>
                  <w:vAlign w:val="center"/>
                </w:tcPr>
                <w:p w14:paraId="00A7CEAB">
                  <w:pPr>
                    <w:pStyle w:val="29"/>
                    <w:pageBreakBefore w:val="0"/>
                    <w:widowControl w:val="0"/>
                    <w:kinsoku/>
                    <w:overflowPunct/>
                    <w:topLinePunct w:val="0"/>
                    <w:bidi w:val="0"/>
                    <w:spacing w:before="0" w:beforeAutospacing="0" w:after="0" w:afterAutospacing="0"/>
                    <w:ind w:left="0" w:leftChars="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生产废水</w:t>
                  </w:r>
                </w:p>
              </w:tc>
              <w:tc>
                <w:tcPr>
                  <w:tcW w:w="2864" w:type="pct"/>
                  <w:vAlign w:val="center"/>
                </w:tcPr>
                <w:p w14:paraId="36A52239">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本项目生产过程中水压试验、气密试验用水循环使用，不外排；喷淋塔定期补充新鲜水，循环使用，废液每年更换一次，废液经收集后暂存于危废暂存间，定期交由有危废资质的单位进行处置。</w:t>
                  </w:r>
                </w:p>
              </w:tc>
              <w:tc>
                <w:tcPr>
                  <w:tcW w:w="404" w:type="pct"/>
                  <w:vAlign w:val="center"/>
                </w:tcPr>
                <w:p w14:paraId="6A426269">
                  <w:pPr>
                    <w:pageBreakBefore w:val="0"/>
                    <w:kinsoku/>
                    <w:overflowPunct/>
                    <w:topLinePunct w:val="0"/>
                    <w:bidi w:val="0"/>
                    <w:adjustRightInd w:val="0"/>
                    <w:snapToGrid w:val="0"/>
                    <w:spacing w:line="0" w:lineRule="atLeast"/>
                    <w:ind w:left="0" w:leftChars="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新建</w:t>
                  </w:r>
                </w:p>
              </w:tc>
            </w:tr>
            <w:tr w14:paraId="4C7F3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3" w:type="pct"/>
                  <w:vMerge w:val="continue"/>
                  <w:vAlign w:val="center"/>
                </w:tcPr>
                <w:p w14:paraId="762B1211">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p>
              </w:tc>
              <w:tc>
                <w:tcPr>
                  <w:tcW w:w="517" w:type="pct"/>
                  <w:vMerge w:val="continue"/>
                  <w:vAlign w:val="center"/>
                </w:tcPr>
                <w:p w14:paraId="5FCAFF34">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840" w:type="pct"/>
                  <w:vAlign w:val="center"/>
                </w:tcPr>
                <w:p w14:paraId="54BF94DA">
                  <w:pPr>
                    <w:pStyle w:val="29"/>
                    <w:pageBreakBefore w:val="0"/>
                    <w:widowControl w:val="0"/>
                    <w:kinsoku/>
                    <w:overflowPunct/>
                    <w:topLinePunct w:val="0"/>
                    <w:bidi w:val="0"/>
                    <w:spacing w:before="0" w:beforeAutospacing="0" w:after="0" w:afterAutospacing="0"/>
                    <w:ind w:left="0" w:leftChars="0" w:right="0"/>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初期雨水</w:t>
                  </w:r>
                </w:p>
              </w:tc>
              <w:tc>
                <w:tcPr>
                  <w:tcW w:w="2864" w:type="pct"/>
                  <w:vAlign w:val="center"/>
                </w:tcPr>
                <w:p w14:paraId="76B7D300">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本项目租用“浩峰公司塑料项目”闲置厂房进行建设，根据调查，“浩峰公司塑料项目”建设过程中配套建设了雨水收集池等相关环保设施，现有初期雨水收集池容积为20m</w:t>
                  </w:r>
                  <w:r>
                    <w:rPr>
                      <w:rFonts w:hint="default" w:ascii="Times New Roman" w:hAnsi="Times New Roman" w:eastAsia="宋体" w:cs="Times New Roman"/>
                      <w:b w:val="0"/>
                      <w:bCs/>
                      <w:color w:val="000000" w:themeColor="text1"/>
                      <w:kern w:val="2"/>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，初期雨水经收集后用于“浩峰公司塑料项目”生产环节使用。</w:t>
                  </w:r>
                </w:p>
              </w:tc>
              <w:tc>
                <w:tcPr>
                  <w:tcW w:w="404" w:type="pct"/>
                  <w:vAlign w:val="center"/>
                </w:tcPr>
                <w:p w14:paraId="0B6C970E">
                  <w:pPr>
                    <w:pageBreakBefore w:val="0"/>
                    <w:kinsoku/>
                    <w:overflowPunct/>
                    <w:topLinePunct w:val="0"/>
                    <w:bidi w:val="0"/>
                    <w:adjustRightInd w:val="0"/>
                    <w:snapToGrid w:val="0"/>
                    <w:spacing w:line="0" w:lineRule="atLeast"/>
                    <w:ind w:left="0" w:leftChars="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依托</w:t>
                  </w:r>
                </w:p>
              </w:tc>
            </w:tr>
            <w:tr w14:paraId="39D4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3" w:type="pct"/>
                  <w:vMerge w:val="continue"/>
                  <w:vAlign w:val="center"/>
                </w:tcPr>
                <w:p w14:paraId="147F9647">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p>
              </w:tc>
              <w:tc>
                <w:tcPr>
                  <w:tcW w:w="517" w:type="pct"/>
                  <w:vAlign w:val="center"/>
                </w:tcPr>
                <w:p w14:paraId="322577A7">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3705" w:type="pct"/>
                  <w:gridSpan w:val="2"/>
                  <w:vAlign w:val="center"/>
                </w:tcPr>
                <w:p w14:paraId="680ABB31">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项目区所有生产设备均置于厂房内，</w:t>
                  </w:r>
                  <w:r>
                    <w:rPr>
                      <w:rFonts w:hint="default" w:ascii="Times New Roman" w:hAnsi="Times New Roman" w:cs="Times New Roman"/>
                      <w:color w:val="000000" w:themeColor="text1"/>
                      <w:sz w:val="21"/>
                      <w:szCs w:val="21"/>
                      <w14:textFill>
                        <w14:solidFill>
                          <w14:schemeClr w14:val="tx1"/>
                        </w14:solidFill>
                      </w14:textFill>
                    </w:rPr>
                    <w:t>选用低噪设备、安装减震垫、厂房隔音</w:t>
                  </w:r>
                </w:p>
              </w:tc>
              <w:tc>
                <w:tcPr>
                  <w:tcW w:w="404" w:type="pct"/>
                  <w:vAlign w:val="center"/>
                </w:tcPr>
                <w:p w14:paraId="1AC6FE2B">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新建</w:t>
                  </w:r>
                </w:p>
              </w:tc>
            </w:tr>
            <w:tr w14:paraId="5282A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vMerge w:val="continue"/>
                  <w:vAlign w:val="center"/>
                </w:tcPr>
                <w:p w14:paraId="72A0D0C7">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p>
              </w:tc>
              <w:tc>
                <w:tcPr>
                  <w:tcW w:w="517" w:type="pct"/>
                  <w:vMerge w:val="restart"/>
                  <w:vAlign w:val="center"/>
                </w:tcPr>
                <w:p w14:paraId="0449DF92">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固废</w:t>
                  </w:r>
                </w:p>
              </w:tc>
              <w:tc>
                <w:tcPr>
                  <w:tcW w:w="840" w:type="pct"/>
                  <w:vAlign w:val="center"/>
                </w:tcPr>
                <w:p w14:paraId="6206CADD">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生活垃圾收集桶</w:t>
                  </w:r>
                </w:p>
              </w:tc>
              <w:tc>
                <w:tcPr>
                  <w:tcW w:w="2864" w:type="pct"/>
                  <w:vAlign w:val="center"/>
                </w:tcPr>
                <w:p w14:paraId="0E27E092">
                  <w:pPr>
                    <w:pageBreakBefore w:val="0"/>
                    <w:widowControl/>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厂区内分散设置若干带盖垃圾收集桶，用于收集生活垃圾</w:t>
                  </w:r>
                </w:p>
              </w:tc>
              <w:tc>
                <w:tcPr>
                  <w:tcW w:w="404" w:type="pct"/>
                  <w:vAlign w:val="center"/>
                </w:tcPr>
                <w:p w14:paraId="2A65F048">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新建</w:t>
                  </w:r>
                </w:p>
              </w:tc>
            </w:tr>
            <w:tr w14:paraId="253CE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3" w:type="pct"/>
                  <w:vMerge w:val="continue"/>
                  <w:vAlign w:val="center"/>
                </w:tcPr>
                <w:p w14:paraId="31B7AF96">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p>
              </w:tc>
              <w:tc>
                <w:tcPr>
                  <w:tcW w:w="517" w:type="pct"/>
                  <w:vMerge w:val="continue"/>
                  <w:vAlign w:val="center"/>
                </w:tcPr>
                <w:p w14:paraId="53856756">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840" w:type="pct"/>
                  <w:vAlign w:val="center"/>
                </w:tcPr>
                <w:p w14:paraId="7FED816A">
                  <w:pPr>
                    <w:pageBreakBefore w:val="0"/>
                    <w:widowControl/>
                    <w:kinsoku/>
                    <w:overflowPunct/>
                    <w:topLinePunct w:val="0"/>
                    <w:bidi w:val="0"/>
                    <w:ind w:left="0" w:leftChars="0" w:right="0" w:rightChars="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一般固废暂存区</w:t>
                  </w:r>
                </w:p>
              </w:tc>
              <w:tc>
                <w:tcPr>
                  <w:tcW w:w="2864" w:type="pct"/>
                  <w:vAlign w:val="center"/>
                </w:tcPr>
                <w:p w14:paraId="33A89A65">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生产区南侧设置1个约5m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的</w:t>
                  </w:r>
                  <w:r>
                    <w:rPr>
                      <w:rFonts w:hint="default" w:ascii="Times New Roman" w:hAnsi="Times New Roman" w:cs="Times New Roman"/>
                      <w:color w:val="000000" w:themeColor="text1"/>
                      <w:szCs w:val="21"/>
                      <w:lang w:val="en-US" w:eastAsia="zh-CN"/>
                      <w14:textFill>
                        <w14:solidFill>
                          <w14:schemeClr w14:val="tx1"/>
                        </w14:solidFill>
                      </w14:textFill>
                    </w:rPr>
                    <w:t>一般固废暂存区</w:t>
                  </w:r>
                  <w:r>
                    <w:rPr>
                      <w:rFonts w:hint="default" w:ascii="Times New Roman" w:hAnsi="Times New Roman" w:eastAsia="宋体" w:cs="Times New Roman"/>
                      <w:color w:val="000000" w:themeColor="text1"/>
                      <w:szCs w:val="21"/>
                      <w:lang w:val="en-US" w:eastAsia="zh-CN"/>
                      <w14:textFill>
                        <w14:solidFill>
                          <w14:schemeClr w14:val="tx1"/>
                        </w14:solidFill>
                      </w14:textFill>
                    </w:rPr>
                    <w:t>，一般工业固废暂存后外售，一般固体废物按照相关要求妥善处置，项目产生的生产固废执行《一般固体废物分类与代码》（GB/T39198-2020）</w:t>
                  </w:r>
                </w:p>
              </w:tc>
              <w:tc>
                <w:tcPr>
                  <w:tcW w:w="404" w:type="pct"/>
                  <w:vAlign w:val="center"/>
                </w:tcPr>
                <w:p w14:paraId="14BC3B60">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新建</w:t>
                  </w:r>
                </w:p>
              </w:tc>
            </w:tr>
            <w:tr w14:paraId="21F3D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3" w:type="pct"/>
                  <w:vMerge w:val="continue"/>
                  <w:vAlign w:val="center"/>
                </w:tcPr>
                <w:p w14:paraId="4DCE7E84">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p>
              </w:tc>
              <w:tc>
                <w:tcPr>
                  <w:tcW w:w="517" w:type="pct"/>
                  <w:vMerge w:val="continue"/>
                  <w:vAlign w:val="center"/>
                </w:tcPr>
                <w:p w14:paraId="2F663620">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840" w:type="pct"/>
                  <w:vAlign w:val="center"/>
                </w:tcPr>
                <w:p w14:paraId="20435C3D">
                  <w:pPr>
                    <w:pageBreakBefore w:val="0"/>
                    <w:widowControl/>
                    <w:kinsoku/>
                    <w:overflowPunct/>
                    <w:topLinePunct w:val="0"/>
                    <w:bidi w:val="0"/>
                    <w:ind w:left="0" w:leftChars="0" w:right="0" w:righ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危废暂存间</w:t>
                  </w:r>
                </w:p>
              </w:tc>
              <w:tc>
                <w:tcPr>
                  <w:tcW w:w="2864" w:type="pct"/>
                  <w:vAlign w:val="center"/>
                </w:tcPr>
                <w:p w14:paraId="43B3E03F">
                  <w:pPr>
                    <w:pageBreakBefore w:val="0"/>
                    <w:widowControl/>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生产区南侧</w:t>
                  </w:r>
                  <w:r>
                    <w:rPr>
                      <w:rFonts w:hint="default" w:ascii="Times New Roman" w:hAnsi="Times New Roman" w:cs="Times New Roman"/>
                      <w:color w:val="000000" w:themeColor="text1"/>
                      <w:szCs w:val="21"/>
                      <w:lang w:val="en-US" w:eastAsia="zh-CN"/>
                      <w14:textFill>
                        <w14:solidFill>
                          <w14:schemeClr w14:val="tx1"/>
                        </w14:solidFill>
                      </w14:textFill>
                    </w:rPr>
                    <w:t>设置1间</w:t>
                  </w:r>
                  <w:r>
                    <w:rPr>
                      <w:rFonts w:hint="default" w:ascii="Times New Roman" w:hAnsi="Times New Roman" w:cs="Times New Roman"/>
                      <w:color w:val="000000" w:themeColor="text1"/>
                      <w:szCs w:val="21"/>
                      <w14:textFill>
                        <w14:solidFill>
                          <w14:schemeClr w14:val="tx1"/>
                        </w14:solidFill>
                      </w14:textFill>
                    </w:rPr>
                    <w:t>危废暂存间</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建筑面积</w:t>
                  </w:r>
                  <w:r>
                    <w:rPr>
                      <w:rFonts w:hint="default" w:ascii="Times New Roman" w:hAnsi="Times New Roman" w:cs="Times New Roman"/>
                      <w:color w:val="000000" w:themeColor="text1"/>
                      <w:szCs w:val="21"/>
                      <w:lang w:val="en-US" w:eastAsia="zh-CN"/>
                      <w14:textFill>
                        <w14:solidFill>
                          <w14:schemeClr w14:val="tx1"/>
                        </w14:solidFill>
                      </w14:textFill>
                    </w:rPr>
                    <w:t>5</w:t>
                  </w:r>
                  <w:r>
                    <w:rPr>
                      <w:rFonts w:hint="default" w:ascii="Times New Roman" w:hAnsi="Times New Roman" w:cs="Times New Roman"/>
                      <w:color w:val="000000" w:themeColor="text1"/>
                      <w:szCs w:val="21"/>
                      <w14:textFill>
                        <w14:solidFill>
                          <w14:schemeClr w14:val="tx1"/>
                        </w14:solidFill>
                      </w14:textFill>
                    </w:rPr>
                    <w:t>m</w:t>
                  </w:r>
                  <w:r>
                    <w:rPr>
                      <w:rFonts w:hint="default" w:ascii="Times New Roman" w:hAnsi="Times New Roman" w:cs="Times New Roman"/>
                      <w:color w:val="000000" w:themeColor="text1"/>
                      <w:szCs w:val="21"/>
                      <w:vertAlign w:val="superscript"/>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，危废暂存间做好“三防”措施，按《危险废物贮存污染控制标准》（GB18597-2023）的要求进行建设</w:t>
                  </w:r>
                </w:p>
              </w:tc>
              <w:tc>
                <w:tcPr>
                  <w:tcW w:w="404" w:type="pct"/>
                  <w:vAlign w:val="center"/>
                </w:tcPr>
                <w:p w14:paraId="77D3F505">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新建</w:t>
                  </w:r>
                </w:p>
              </w:tc>
            </w:tr>
            <w:tr w14:paraId="6E9B9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3" w:type="pct"/>
                  <w:vMerge w:val="continue"/>
                  <w:vAlign w:val="center"/>
                </w:tcPr>
                <w:p w14:paraId="1F9435A1">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p>
              </w:tc>
              <w:tc>
                <w:tcPr>
                  <w:tcW w:w="517" w:type="pct"/>
                  <w:vMerge w:val="restart"/>
                  <w:vAlign w:val="center"/>
                </w:tcPr>
                <w:p w14:paraId="4B6EAE48">
                  <w:pPr>
                    <w:pageBreakBefore w:val="0"/>
                    <w:widowControl/>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分区防渗</w:t>
                  </w:r>
                </w:p>
              </w:tc>
              <w:tc>
                <w:tcPr>
                  <w:tcW w:w="840" w:type="pct"/>
                  <w:vAlign w:val="center"/>
                </w:tcPr>
                <w:p w14:paraId="6458A043">
                  <w:pPr>
                    <w:pageBreakBefore w:val="0"/>
                    <w:widowControl/>
                    <w:kinsoku/>
                    <w:overflowPunct/>
                    <w:topLinePunct w:val="0"/>
                    <w:bidi w:val="0"/>
                    <w:ind w:left="0" w:leftChars="0" w:right="0" w:right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重点防渗</w:t>
                  </w:r>
                </w:p>
              </w:tc>
              <w:tc>
                <w:tcPr>
                  <w:tcW w:w="2864" w:type="pct"/>
                  <w:vAlign w:val="center"/>
                </w:tcPr>
                <w:p w14:paraId="06DE4A9A">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b w:val="0"/>
                      <w:bCs w:val="0"/>
                      <w:color w:val="000000" w:themeColor="text1"/>
                      <w:sz w:val="21"/>
                      <w:szCs w:val="21"/>
                      <w:lang w:eastAsia="zh-CN"/>
                      <w14:textFill>
                        <w14:solidFill>
                          <w14:schemeClr w14:val="tx1"/>
                        </w14:solidFill>
                      </w14:textFill>
                    </w:rPr>
                    <w:t>液化气瓶区、</w:t>
                  </w:r>
                  <w:r>
                    <w:rPr>
                      <w:rFonts w:hint="default" w:ascii="Times New Roman" w:hAnsi="Times New Roman" w:eastAsia="宋体" w:cs="Times New Roman"/>
                      <w:b w:val="0"/>
                      <w:bCs w:val="0"/>
                      <w:color w:val="000000" w:themeColor="text1"/>
                      <w:sz w:val="21"/>
                      <w:szCs w:val="21"/>
                      <w14:textFill>
                        <w14:solidFill>
                          <w14:schemeClr w14:val="tx1"/>
                        </w14:solidFill>
                      </w14:textFill>
                    </w:rPr>
                    <w:t>危</w:t>
                  </w:r>
                  <w:r>
                    <w:rPr>
                      <w:rFonts w:hint="default" w:ascii="Times New Roman" w:hAnsi="Times New Roman" w:eastAsia="宋体" w:cs="Times New Roman"/>
                      <w:color w:val="000000" w:themeColor="text1"/>
                      <w:sz w:val="21"/>
                      <w:szCs w:val="21"/>
                      <w14:textFill>
                        <w14:solidFill>
                          <w14:schemeClr w14:val="tx1"/>
                        </w14:solidFill>
                      </w14:textFill>
                    </w:rPr>
                    <w:t>废暂存间</w:t>
                  </w:r>
                  <w:r>
                    <w:rPr>
                      <w:rFonts w:hint="default" w:ascii="Times New Roman" w:hAnsi="Times New Roman" w:cs="Times New Roman"/>
                      <w:color w:val="000000" w:themeColor="text1"/>
                      <w:sz w:val="21"/>
                      <w:szCs w:val="21"/>
                      <w:lang w:eastAsia="zh-CN"/>
                      <w14:textFill>
                        <w14:solidFill>
                          <w14:schemeClr w14:val="tx1"/>
                        </w14:solidFill>
                      </w14:textFill>
                    </w:rPr>
                    <w:t>、废气喷淋设施</w:t>
                  </w:r>
                  <w:r>
                    <w:rPr>
                      <w:rFonts w:hint="eastAsia" w:cs="Times New Roman"/>
                      <w:color w:val="000000" w:themeColor="text1"/>
                      <w:sz w:val="21"/>
                      <w:szCs w:val="21"/>
                      <w:lang w:eastAsia="zh-CN"/>
                      <w14:textFill>
                        <w14:solidFill>
                          <w14:schemeClr w14:val="tx1"/>
                        </w14:solidFill>
                      </w14:textFill>
                    </w:rPr>
                    <w:t>区域</w:t>
                  </w:r>
                  <w:r>
                    <w:rPr>
                      <w:rFonts w:hint="default" w:ascii="Times New Roman" w:hAnsi="Times New Roman" w:cs="Times New Roman"/>
                      <w:color w:val="000000" w:themeColor="text1"/>
                      <w:sz w:val="21"/>
                      <w:szCs w:val="21"/>
                      <w:lang w:eastAsia="zh-CN"/>
                      <w14:textFill>
                        <w14:solidFill>
                          <w14:schemeClr w14:val="tx1"/>
                        </w14:solidFill>
                      </w14:textFill>
                    </w:rPr>
                    <w:t>作为</w:t>
                  </w:r>
                  <w:r>
                    <w:rPr>
                      <w:rFonts w:hint="default" w:ascii="Times New Roman" w:hAnsi="Times New Roman" w:eastAsia="宋体" w:cs="Times New Roman"/>
                      <w:color w:val="000000" w:themeColor="text1"/>
                      <w:sz w:val="21"/>
                      <w:szCs w:val="21"/>
                      <w14:textFill>
                        <w14:solidFill>
                          <w14:schemeClr w14:val="tx1"/>
                        </w14:solidFill>
                      </w14:textFill>
                    </w:rPr>
                    <w:t>重点防渗</w:t>
                  </w:r>
                  <w:r>
                    <w:rPr>
                      <w:rFonts w:hint="default" w:ascii="Times New Roman" w:hAnsi="Times New Roman" w:cs="Times New Roman"/>
                      <w:color w:val="000000" w:themeColor="text1"/>
                      <w:sz w:val="21"/>
                      <w:szCs w:val="21"/>
                      <w:lang w:eastAsia="zh-CN"/>
                      <w14:textFill>
                        <w14:solidFill>
                          <w14:schemeClr w14:val="tx1"/>
                        </w14:solidFill>
                      </w14:textFill>
                    </w:rPr>
                    <w:t>区。</w:t>
                  </w:r>
                </w:p>
                <w:p w14:paraId="105E1392">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液化气瓶区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按照</w:t>
                  </w:r>
                  <w:r>
                    <w:rPr>
                      <w:rFonts w:hint="default" w:ascii="Times New Roman" w:hAnsi="Times New Roman" w:eastAsia="宋体" w:cs="Times New Roman"/>
                      <w:color w:val="000000" w:themeColor="text1"/>
                      <w:sz w:val="21"/>
                      <w:szCs w:val="21"/>
                      <w14:textFill>
                        <w14:solidFill>
                          <w14:schemeClr w14:val="tx1"/>
                        </w14:solidFill>
                      </w14:textFill>
                    </w:rPr>
                    <w:t>《环境影响评价技术导则 地下水环境》（HJ610-2016）中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重点</w:t>
                  </w:r>
                  <w:r>
                    <w:rPr>
                      <w:rFonts w:hint="default" w:ascii="Times New Roman" w:hAnsi="Times New Roman" w:eastAsia="宋体" w:cs="Times New Roman"/>
                      <w:color w:val="000000" w:themeColor="text1"/>
                      <w:sz w:val="21"/>
                      <w:szCs w:val="21"/>
                      <w14:textFill>
                        <w14:solidFill>
                          <w14:schemeClr w14:val="tx1"/>
                        </w14:solidFill>
                      </w14:textFill>
                    </w:rPr>
                    <w:t>防渗区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进行防渗</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等效黏土防渗层 Mb≥6.0m，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color w:val="000000" w:themeColor="text1"/>
                      <w:sz w:val="21"/>
                      <w:szCs w:val="21"/>
                      <w14:textFill>
                        <w14:solidFill>
                          <w14:schemeClr w14:val="tx1"/>
                        </w14:solidFill>
                      </w14:textFill>
                    </w:rPr>
                    <w:t>&lt;1.0×10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cm/s</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或参照 GB 18598 执行。</w:t>
                  </w:r>
                </w:p>
                <w:p w14:paraId="325B53AD">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废气喷淋设施</w:t>
                  </w:r>
                  <w:r>
                    <w:rPr>
                      <w:rFonts w:hint="eastAsia" w:cs="Times New Roman"/>
                      <w:color w:val="000000" w:themeColor="text1"/>
                      <w:sz w:val="21"/>
                      <w:szCs w:val="21"/>
                      <w:lang w:eastAsia="zh-CN"/>
                      <w14:textFill>
                        <w14:solidFill>
                          <w14:schemeClr w14:val="tx1"/>
                        </w14:solidFill>
                      </w14:textFill>
                    </w:rPr>
                    <w:t>区域</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危</w:t>
                  </w:r>
                  <w:r>
                    <w:rPr>
                      <w:rFonts w:hint="default" w:ascii="Times New Roman" w:hAnsi="Times New Roman" w:eastAsia="宋体" w:cs="Times New Roman"/>
                      <w:color w:val="000000" w:themeColor="text1"/>
                      <w:sz w:val="21"/>
                      <w:szCs w:val="21"/>
                      <w14:textFill>
                        <w14:solidFill>
                          <w14:schemeClr w14:val="tx1"/>
                        </w14:solidFill>
                      </w14:textFill>
                    </w:rPr>
                    <w:t>废暂存间</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参照执行《危险废物贮存污染控制标准》（GB18597-20</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23</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）相关要求，防渗层为至少1 m厚黏土层（渗透系数不大于10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cm/s），或至少2 mm厚高密度聚乙烯膜等人工防渗材料（渗透系数不大于10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cm/s）。</w:t>
                  </w:r>
                </w:p>
              </w:tc>
              <w:tc>
                <w:tcPr>
                  <w:tcW w:w="404" w:type="pct"/>
                  <w:vMerge w:val="restart"/>
                  <w:vAlign w:val="center"/>
                </w:tcPr>
                <w:p w14:paraId="63959008">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新建</w:t>
                  </w:r>
                </w:p>
              </w:tc>
            </w:tr>
            <w:tr w14:paraId="3B883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3" w:type="pct"/>
                  <w:vMerge w:val="continue"/>
                  <w:vAlign w:val="center"/>
                </w:tcPr>
                <w:p w14:paraId="67B48A58">
                  <w:pPr>
                    <w:pageBreakBefore w:val="0"/>
                    <w:widowControl/>
                    <w:kinsoku/>
                    <w:overflowPunct/>
                    <w:topLinePunct w:val="0"/>
                    <w:bidi w:val="0"/>
                    <w:ind w:left="0" w:leftChars="0" w:right="0"/>
                    <w:jc w:val="center"/>
                    <w:rPr>
                      <w:rFonts w:hint="default" w:ascii="Times New Roman" w:hAnsi="Times New Roman" w:cs="Times New Roman"/>
                      <w:color w:val="000000" w:themeColor="text1"/>
                      <w14:textFill>
                        <w14:solidFill>
                          <w14:schemeClr w14:val="tx1"/>
                        </w14:solidFill>
                      </w14:textFill>
                    </w:rPr>
                  </w:pPr>
                </w:p>
              </w:tc>
              <w:tc>
                <w:tcPr>
                  <w:tcW w:w="517" w:type="pct"/>
                  <w:vMerge w:val="continue"/>
                  <w:vAlign w:val="center"/>
                </w:tcPr>
                <w:p w14:paraId="0C1C2B1D">
                  <w:pPr>
                    <w:pageBreakBefore w:val="0"/>
                    <w:widowControl/>
                    <w:kinsoku/>
                    <w:overflowPunct/>
                    <w:topLinePunct w:val="0"/>
                    <w:bidi w:val="0"/>
                    <w:ind w:left="0" w:leftChars="0" w:right="0"/>
                    <w:jc w:val="center"/>
                    <w:rPr>
                      <w:rFonts w:hint="default" w:ascii="Times New Roman" w:hAnsi="Times New Roman" w:cs="Times New Roman"/>
                      <w:color w:val="000000" w:themeColor="text1"/>
                      <w14:textFill>
                        <w14:solidFill>
                          <w14:schemeClr w14:val="tx1"/>
                        </w14:solidFill>
                      </w14:textFill>
                    </w:rPr>
                  </w:pPr>
                </w:p>
              </w:tc>
              <w:tc>
                <w:tcPr>
                  <w:tcW w:w="840" w:type="pct"/>
                  <w:vAlign w:val="center"/>
                </w:tcPr>
                <w:p w14:paraId="57FB3931">
                  <w:pPr>
                    <w:pageBreakBefore w:val="0"/>
                    <w:widowControl/>
                    <w:kinsoku/>
                    <w:overflowPunct/>
                    <w:topLinePunct w:val="0"/>
                    <w:bidi w:val="0"/>
                    <w:ind w:left="0" w:leftChars="0" w:right="0" w:right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一般防渗区</w:t>
                  </w:r>
                </w:p>
              </w:tc>
              <w:tc>
                <w:tcPr>
                  <w:tcW w:w="2864" w:type="pct"/>
                  <w:vAlign w:val="center"/>
                </w:tcPr>
                <w:p w14:paraId="01E51324">
                  <w:pPr>
                    <w:pageBreakBefore w:val="0"/>
                    <w:widowControl/>
                    <w:kinsoku/>
                    <w:overflowPunct/>
                    <w:topLinePunct w:val="0"/>
                    <w:bidi w:val="0"/>
                    <w:ind w:left="0" w:leftChars="0" w:right="0" w:rightChars="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生产区、待检区、成品区、压扁区、一般固废暂存区、辅料库、化粪池、一体化生活污水处理设施、收集池等区域地面为一般防渗区</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18"/>
                      <w:highlight w:val="none"/>
                      <w14:textFill>
                        <w14:solidFill>
                          <w14:schemeClr w14:val="tx1"/>
                        </w14:solidFill>
                      </w14:textFill>
                    </w:rPr>
                    <w:t>按照《环境影响评价技术导则 地下水环境》（HJ610-2016）中一般防渗区的防渗要求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进行防渗</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等效黏土防渗层 Mb≥</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color w:val="000000" w:themeColor="text1"/>
                      <w:sz w:val="21"/>
                      <w:szCs w:val="21"/>
                      <w14:textFill>
                        <w14:solidFill>
                          <w14:schemeClr w14:val="tx1"/>
                        </w14:solidFill>
                      </w14:textFill>
                    </w:rPr>
                    <w:t>&lt;1.0×10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cm/s</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 xml:space="preserve">或参照 GB </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16889</w:t>
                  </w:r>
                  <w:r>
                    <w:rPr>
                      <w:rFonts w:hint="default" w:ascii="Times New Roman" w:hAnsi="Times New Roman" w:eastAsia="宋体" w:cs="Times New Roman"/>
                      <w:color w:val="000000" w:themeColor="text1"/>
                      <w:sz w:val="21"/>
                      <w:szCs w:val="21"/>
                      <w14:textFill>
                        <w14:solidFill>
                          <w14:schemeClr w14:val="tx1"/>
                        </w14:solidFill>
                      </w14:textFill>
                    </w:rPr>
                    <w:t>执行</w:t>
                  </w:r>
                  <w:r>
                    <w:rPr>
                      <w:rFonts w:hint="default" w:ascii="Times New Roman" w:hAnsi="Times New Roman" w:cs="Times New Roman"/>
                      <w:color w:val="000000" w:themeColor="text1"/>
                      <w:sz w:val="21"/>
                      <w:szCs w:val="21"/>
                      <w14:textFill>
                        <w14:solidFill>
                          <w14:schemeClr w14:val="tx1"/>
                        </w14:solidFill>
                      </w14:textFill>
                    </w:rPr>
                    <w:t>。</w:t>
                  </w:r>
                </w:p>
              </w:tc>
              <w:tc>
                <w:tcPr>
                  <w:tcW w:w="404" w:type="pct"/>
                  <w:vMerge w:val="continue"/>
                  <w:vAlign w:val="center"/>
                </w:tcPr>
                <w:p w14:paraId="2D4503A6">
                  <w:pPr>
                    <w:pageBreakBefore w:val="0"/>
                    <w:widowControl/>
                    <w:kinsoku/>
                    <w:overflowPunct/>
                    <w:topLinePunct w:val="0"/>
                    <w:bidi w:val="0"/>
                    <w:ind w:left="0" w:leftChars="0" w:right="0"/>
                    <w:jc w:val="center"/>
                    <w:rPr>
                      <w:rFonts w:hint="default" w:ascii="Times New Roman" w:hAnsi="Times New Roman" w:cs="Times New Roman"/>
                      <w:b/>
                      <w:bCs/>
                      <w:color w:val="000000" w:themeColor="text1"/>
                      <w14:textFill>
                        <w14:solidFill>
                          <w14:schemeClr w14:val="tx1"/>
                        </w14:solidFill>
                      </w14:textFill>
                    </w:rPr>
                  </w:pPr>
                </w:p>
              </w:tc>
            </w:tr>
            <w:tr w14:paraId="3066C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3" w:type="pct"/>
                  <w:vMerge w:val="continue"/>
                  <w:vAlign w:val="center"/>
                </w:tcPr>
                <w:p w14:paraId="3BA3E5C6">
                  <w:pPr>
                    <w:pageBreakBefore w:val="0"/>
                    <w:widowControl/>
                    <w:kinsoku/>
                    <w:overflowPunct/>
                    <w:topLinePunct w:val="0"/>
                    <w:bidi w:val="0"/>
                    <w:ind w:left="0" w:leftChars="0" w:right="0"/>
                    <w:jc w:val="center"/>
                    <w:rPr>
                      <w:rFonts w:hint="default" w:ascii="Times New Roman" w:hAnsi="Times New Roman" w:cs="Times New Roman"/>
                      <w:b/>
                      <w:bCs/>
                      <w:color w:val="000000" w:themeColor="text1"/>
                      <w14:textFill>
                        <w14:solidFill>
                          <w14:schemeClr w14:val="tx1"/>
                        </w14:solidFill>
                      </w14:textFill>
                    </w:rPr>
                  </w:pPr>
                </w:p>
              </w:tc>
              <w:tc>
                <w:tcPr>
                  <w:tcW w:w="517" w:type="pct"/>
                  <w:vMerge w:val="continue"/>
                  <w:vAlign w:val="center"/>
                </w:tcPr>
                <w:p w14:paraId="4CDCDA0F">
                  <w:pPr>
                    <w:pageBreakBefore w:val="0"/>
                    <w:widowControl/>
                    <w:kinsoku/>
                    <w:overflowPunct/>
                    <w:topLinePunct w:val="0"/>
                    <w:bidi w:val="0"/>
                    <w:ind w:left="0" w:leftChars="0" w:right="0"/>
                    <w:jc w:val="center"/>
                    <w:rPr>
                      <w:rFonts w:hint="default" w:ascii="Times New Roman" w:hAnsi="Times New Roman" w:cs="Times New Roman"/>
                      <w:b/>
                      <w:bCs/>
                      <w:color w:val="000000" w:themeColor="text1"/>
                      <w14:textFill>
                        <w14:solidFill>
                          <w14:schemeClr w14:val="tx1"/>
                        </w14:solidFill>
                      </w14:textFill>
                    </w:rPr>
                  </w:pPr>
                </w:p>
              </w:tc>
              <w:tc>
                <w:tcPr>
                  <w:tcW w:w="840" w:type="pct"/>
                  <w:vAlign w:val="center"/>
                </w:tcPr>
                <w:p w14:paraId="4D818405">
                  <w:pPr>
                    <w:pageBreakBefore w:val="0"/>
                    <w:widowControl/>
                    <w:kinsoku/>
                    <w:overflowPunct/>
                    <w:topLinePunct w:val="0"/>
                    <w:bidi w:val="0"/>
                    <w:ind w:left="0" w:leftChars="0" w:right="0" w:right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简单防渗区</w:t>
                  </w:r>
                </w:p>
              </w:tc>
              <w:tc>
                <w:tcPr>
                  <w:tcW w:w="2864" w:type="pct"/>
                  <w:vAlign w:val="center"/>
                </w:tcPr>
                <w:p w14:paraId="552FACA9">
                  <w:pPr>
                    <w:pageBreakBefore w:val="0"/>
                    <w:widowControl/>
                    <w:kinsoku/>
                    <w:overflowPunct/>
                    <w:topLinePunct w:val="0"/>
                    <w:bidi w:val="0"/>
                    <w:ind w:left="0" w:leftChars="0" w:right="0" w:rightChars="0"/>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车间运输通道、办公区等区域地面</w:t>
                  </w:r>
                  <w:r>
                    <w:rPr>
                      <w:rFonts w:hint="default" w:ascii="Times New Roman" w:hAnsi="Times New Roman" w:cs="Times New Roman"/>
                      <w:color w:val="000000" w:themeColor="text1"/>
                      <w:sz w:val="21"/>
                      <w:szCs w:val="21"/>
                      <w14:textFill>
                        <w14:solidFill>
                          <w14:schemeClr w14:val="tx1"/>
                        </w14:solidFill>
                      </w14:textFill>
                    </w:rPr>
                    <w:t>为简单防渗区，地面硬化</w:t>
                  </w:r>
                  <w:r>
                    <w:rPr>
                      <w:rFonts w:hint="default" w:ascii="Times New Roman" w:hAnsi="Times New Roman" w:cs="Times New Roman"/>
                      <w:color w:val="000000" w:themeColor="text1"/>
                      <w:sz w:val="21"/>
                      <w:szCs w:val="21"/>
                      <w:lang w:eastAsia="zh-CN"/>
                      <w14:textFill>
                        <w14:solidFill>
                          <w14:schemeClr w14:val="tx1"/>
                        </w14:solidFill>
                      </w14:textFill>
                    </w:rPr>
                    <w:t>处理</w:t>
                  </w:r>
                </w:p>
              </w:tc>
              <w:tc>
                <w:tcPr>
                  <w:tcW w:w="404" w:type="pct"/>
                  <w:vMerge w:val="continue"/>
                  <w:vAlign w:val="center"/>
                </w:tcPr>
                <w:p w14:paraId="6B9569FA">
                  <w:pPr>
                    <w:pageBreakBefore w:val="0"/>
                    <w:widowControl/>
                    <w:kinsoku/>
                    <w:overflowPunct/>
                    <w:topLinePunct w:val="0"/>
                    <w:bidi w:val="0"/>
                    <w:ind w:left="0" w:leftChars="0" w:right="0"/>
                    <w:jc w:val="center"/>
                    <w:rPr>
                      <w:rFonts w:hint="default" w:ascii="Times New Roman" w:hAnsi="Times New Roman" w:cs="Times New Roman"/>
                      <w:b/>
                      <w:bCs/>
                      <w:color w:val="000000" w:themeColor="text1"/>
                      <w14:textFill>
                        <w14:solidFill>
                          <w14:schemeClr w14:val="tx1"/>
                        </w14:solidFill>
                      </w14:textFill>
                    </w:rPr>
                  </w:pPr>
                </w:p>
              </w:tc>
            </w:tr>
          </w:tbl>
          <w:p w14:paraId="25893F67">
            <w:pPr>
              <w:pStyle w:val="19"/>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3、产品方案</w:t>
            </w:r>
          </w:p>
          <w:p w14:paraId="02821B8D">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本项目主要为年检测</w:t>
            </w:r>
            <w:r>
              <w:rPr>
                <w:rFonts w:hint="eastAsia" w:ascii="Times New Roman" w:hAnsi="Times New Roman" w:cs="Times New Roman"/>
                <w:color w:val="000000" w:themeColor="text1"/>
                <w:sz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lang w:val="en-US" w:eastAsia="zh-CN"/>
                <w14:textFill>
                  <w14:solidFill>
                    <w14:schemeClr w14:val="tx1"/>
                  </w14:solidFill>
                </w14:textFill>
              </w:rPr>
              <w:t>30万只，</w:t>
            </w:r>
            <w:r>
              <w:rPr>
                <w:rFonts w:hint="default" w:ascii="Times New Roman" w:hAnsi="Times New Roman" w:cs="Times New Roman"/>
                <w:color w:val="000000" w:themeColor="text1"/>
                <w:sz w:val="24"/>
                <w:lang w:val="en-US" w:eastAsia="zh-CN"/>
                <w14:textFill>
                  <w14:solidFill>
                    <w14:schemeClr w14:val="tx1"/>
                  </w14:solidFill>
                </w14:textFill>
              </w:rPr>
              <w:t>根据建设单位资料，预计约30%为报废</w:t>
            </w:r>
            <w:r>
              <w:rPr>
                <w:rFonts w:hint="eastAsia" w:ascii="Times New Roman" w:hAnsi="Times New Roman" w:cs="Times New Roman"/>
                <w:color w:val="000000" w:themeColor="text1"/>
                <w:sz w:val="24"/>
                <w:lang w:val="en-US" w:eastAsia="zh-CN"/>
                <w14:textFill>
                  <w14:solidFill>
                    <w14:schemeClr w14:val="tx1"/>
                  </w14:solidFill>
                </w14:textFill>
              </w:rPr>
              <w:t>液化石油气钢瓶</w:t>
            </w:r>
            <w:r>
              <w:rPr>
                <w:rFonts w:hint="default" w:ascii="Times New Roman" w:hAnsi="Times New Roman" w:cs="Times New Roman"/>
                <w:color w:val="000000" w:themeColor="text1"/>
                <w:sz w:val="24"/>
                <w:lang w:val="en-US" w:eastAsia="zh-CN"/>
                <w14:textFill>
                  <w14:solidFill>
                    <w14:schemeClr w14:val="tx1"/>
                  </w14:solidFill>
                </w14:textFill>
              </w:rPr>
              <w:t>，即本项目约20</w:t>
            </w:r>
            <w:r>
              <w:rPr>
                <w:rFonts w:hint="default" w:ascii="Times New Roman" w:hAnsi="Times New Roman" w:eastAsia="宋体" w:cs="Times New Roman"/>
                <w:color w:val="000000" w:themeColor="text1"/>
                <w:sz w:val="24"/>
                <w:lang w:val="en-US" w:eastAsia="zh-CN"/>
                <w14:textFill>
                  <w14:solidFill>
                    <w14:schemeClr w14:val="tx1"/>
                  </w14:solidFill>
                </w14:textFill>
              </w:rPr>
              <w:t>万只为</w:t>
            </w:r>
            <w:r>
              <w:rPr>
                <w:rFonts w:hint="default" w:ascii="Times New Roman" w:hAnsi="Times New Roman" w:cs="Times New Roman"/>
                <w:color w:val="000000" w:themeColor="text1"/>
                <w:sz w:val="24"/>
                <w:lang w:val="en-US" w:eastAsia="zh-CN"/>
                <w14:textFill>
                  <w14:solidFill>
                    <w14:schemeClr w14:val="tx1"/>
                  </w14:solidFill>
                </w14:textFill>
              </w:rPr>
              <w:t>检测</w:t>
            </w:r>
            <w:r>
              <w:rPr>
                <w:rFonts w:hint="eastAsia" w:ascii="Times New Roman" w:hAnsi="Times New Roman" w:cs="Times New Roman"/>
                <w:color w:val="000000" w:themeColor="text1"/>
                <w:sz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10kg</w:t>
            </w:r>
            <w:r>
              <w:rPr>
                <w:rFonts w:hint="eastAsia" w:ascii="Times New Roman" w:hAnsi="Times New Roman" w:cs="Times New Roman"/>
                <w:color w:val="000000" w:themeColor="text1"/>
                <w:sz w:val="24"/>
                <w:lang w:val="en-US" w:eastAsia="zh-CN"/>
                <w14:textFill>
                  <w14:solidFill>
                    <w14:schemeClr w14:val="tx1"/>
                  </w14:solidFill>
                </w14:textFill>
              </w:rPr>
              <w:t>液化石油气钢瓶</w:t>
            </w:r>
            <w:r>
              <w:rPr>
                <w:rFonts w:hint="default" w:ascii="Times New Roman" w:hAnsi="Times New Roman" w:cs="Times New Roman"/>
                <w:color w:val="000000" w:themeColor="text1"/>
                <w:sz w:val="24"/>
                <w:lang w:val="en-US" w:eastAsia="zh-CN"/>
                <w14:textFill>
                  <w14:solidFill>
                    <w14:schemeClr w14:val="tx1"/>
                  </w14:solidFill>
                </w14:textFill>
              </w:rPr>
              <w:t>约占30%，15kg</w:t>
            </w:r>
            <w:r>
              <w:rPr>
                <w:rFonts w:hint="eastAsia" w:ascii="Times New Roman" w:hAnsi="Times New Roman" w:cs="Times New Roman"/>
                <w:color w:val="000000" w:themeColor="text1"/>
                <w:sz w:val="24"/>
                <w:lang w:val="en-US" w:eastAsia="zh-CN"/>
                <w14:textFill>
                  <w14:solidFill>
                    <w14:schemeClr w14:val="tx1"/>
                  </w14:solidFill>
                </w14:textFill>
              </w:rPr>
              <w:t>液化石油气钢瓶</w:t>
            </w:r>
            <w:r>
              <w:rPr>
                <w:rFonts w:hint="default" w:ascii="Times New Roman" w:hAnsi="Times New Roman" w:cs="Times New Roman"/>
                <w:color w:val="000000" w:themeColor="text1"/>
                <w:sz w:val="24"/>
                <w:lang w:val="en-US" w:eastAsia="zh-CN"/>
                <w14:textFill>
                  <w14:solidFill>
                    <w14:schemeClr w14:val="tx1"/>
                  </w14:solidFill>
                </w14:textFill>
              </w:rPr>
              <w:t>约占50%，50kg</w:t>
            </w:r>
            <w:r>
              <w:rPr>
                <w:rFonts w:hint="eastAsia" w:ascii="Times New Roman" w:hAnsi="Times New Roman" w:cs="Times New Roman"/>
                <w:color w:val="000000" w:themeColor="text1"/>
                <w:sz w:val="24"/>
                <w:lang w:val="en-US" w:eastAsia="zh-CN"/>
                <w14:textFill>
                  <w14:solidFill>
                    <w14:schemeClr w14:val="tx1"/>
                  </w14:solidFill>
                </w14:textFill>
              </w:rPr>
              <w:t>液化石油气钢瓶</w:t>
            </w:r>
            <w:r>
              <w:rPr>
                <w:rFonts w:hint="default" w:ascii="Times New Roman" w:hAnsi="Times New Roman" w:cs="Times New Roman"/>
                <w:color w:val="000000" w:themeColor="text1"/>
                <w:sz w:val="24"/>
                <w:lang w:val="en-US" w:eastAsia="zh-CN"/>
                <w14:textFill>
                  <w14:solidFill>
                    <w14:schemeClr w14:val="tx1"/>
                  </w14:solidFill>
                </w14:textFill>
              </w:rPr>
              <w:t>约占20%</w:t>
            </w:r>
            <w:r>
              <w:rPr>
                <w:rFonts w:hint="default" w:ascii="Times New Roman" w:hAnsi="Times New Roman" w:eastAsia="宋体" w:cs="Times New Roman"/>
                <w:color w:val="000000" w:themeColor="text1"/>
                <w:sz w:val="24"/>
                <w:lang w:val="en-US" w:eastAsia="zh-CN"/>
                <w14:textFill>
                  <w14:solidFill>
                    <w14:schemeClr w14:val="tx1"/>
                  </w14:solidFill>
                </w14:textFill>
              </w:rPr>
              <w:t>），报废</w:t>
            </w:r>
            <w:r>
              <w:rPr>
                <w:rFonts w:hint="eastAsia" w:ascii="Times New Roman" w:hAnsi="Times New Roman" w:cs="Times New Roman"/>
                <w:color w:val="000000" w:themeColor="text1"/>
                <w:sz w:val="24"/>
                <w:lang w:val="en-US" w:eastAsia="zh-CN"/>
                <w14:textFill>
                  <w14:solidFill>
                    <w14:schemeClr w14:val="tx1"/>
                  </w14:solidFill>
                </w14:textFill>
              </w:rPr>
              <w:t>液化石油气钢瓶</w:t>
            </w:r>
            <w:r>
              <w:rPr>
                <w:rFonts w:hint="default" w:ascii="Times New Roman" w:hAnsi="Times New Roman" w:cs="Times New Roman"/>
                <w:color w:val="000000" w:themeColor="text1"/>
                <w:sz w:val="24"/>
                <w:lang w:val="en-US" w:eastAsia="zh-CN"/>
                <w14:textFill>
                  <w14:solidFill>
                    <w14:schemeClr w14:val="tx1"/>
                  </w14:solidFill>
                </w14:textFill>
              </w:rPr>
              <w:t>约10</w:t>
            </w:r>
            <w:r>
              <w:rPr>
                <w:rFonts w:hint="default" w:ascii="Times New Roman" w:hAnsi="Times New Roman" w:eastAsia="宋体" w:cs="Times New Roman"/>
                <w:color w:val="000000" w:themeColor="text1"/>
                <w:sz w:val="24"/>
                <w:lang w:val="en-US" w:eastAsia="zh-CN"/>
                <w14:textFill>
                  <w14:solidFill>
                    <w14:schemeClr w14:val="tx1"/>
                  </w14:solidFill>
                </w14:textFill>
              </w:rPr>
              <w:t>万只。</w:t>
            </w:r>
          </w:p>
          <w:p w14:paraId="6E0BAABA">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本项目不进行钢瓶液化石油气填充。</w:t>
            </w:r>
            <w:r>
              <w:rPr>
                <w:rFonts w:hint="default" w:ascii="Times New Roman" w:hAnsi="Times New Roman" w:cs="Times New Roman"/>
                <w:color w:val="000000" w:themeColor="text1"/>
                <w:sz w:val="24"/>
                <w14:textFill>
                  <w14:solidFill>
                    <w14:schemeClr w14:val="tx1"/>
                  </w14:solidFill>
                </w14:textFill>
              </w:rPr>
              <w:t>项目产品方案见表2-2。</w:t>
            </w:r>
          </w:p>
          <w:p w14:paraId="41F4FD38">
            <w:pPr>
              <w:pStyle w:val="45"/>
              <w:pageBreakBefore w:val="0"/>
              <w:kinsoku/>
              <w:overflowPunct/>
              <w:topLinePunct w:val="0"/>
              <w:bidi w:val="0"/>
              <w:spacing w:before="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表2-2项目产品方案一览表</w:t>
            </w:r>
          </w:p>
          <w:tbl>
            <w:tblPr>
              <w:tblStyle w:val="33"/>
              <w:tblW w:w="4982"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1468"/>
              <w:gridCol w:w="2800"/>
              <w:gridCol w:w="1931"/>
              <w:gridCol w:w="1531"/>
            </w:tblGrid>
            <w:tr w14:paraId="4D5F507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5" w:type="dxa"/>
                  <w:tcBorders>
                    <w:tl2br w:val="nil"/>
                    <w:tr2bl w:val="nil"/>
                  </w:tcBorders>
                  <w:vAlign w:val="center"/>
                </w:tcPr>
                <w:p w14:paraId="5E079835">
                  <w:pPr>
                    <w:pStyle w:val="123"/>
                    <w:pageBreakBefore w:val="0"/>
                    <w:kinsoku/>
                    <w:overflowPunct/>
                    <w:topLinePunct w:val="0"/>
                    <w:bidi w:val="0"/>
                    <w:spacing w:before="0" w:after="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1468" w:type="dxa"/>
                  <w:tcBorders>
                    <w:tl2br w:val="nil"/>
                    <w:tr2bl w:val="nil"/>
                  </w:tcBorders>
                  <w:vAlign w:val="center"/>
                </w:tcPr>
                <w:p w14:paraId="7F2E5492">
                  <w:pPr>
                    <w:pStyle w:val="123"/>
                    <w:pageBreakBefore w:val="0"/>
                    <w:kinsoku/>
                    <w:overflowPunct/>
                    <w:topLinePunct w:val="0"/>
                    <w:bidi w:val="0"/>
                    <w:spacing w:before="0" w:after="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产品名称</w:t>
                  </w:r>
                </w:p>
              </w:tc>
              <w:tc>
                <w:tcPr>
                  <w:tcW w:w="2800" w:type="dxa"/>
                  <w:tcBorders>
                    <w:tl2br w:val="nil"/>
                    <w:tr2bl w:val="nil"/>
                  </w:tcBorders>
                  <w:vAlign w:val="center"/>
                </w:tcPr>
                <w:p w14:paraId="70EA29C3">
                  <w:pPr>
                    <w:pStyle w:val="123"/>
                    <w:pageBreakBefore w:val="0"/>
                    <w:kinsoku/>
                    <w:overflowPunct/>
                    <w:topLinePunct w:val="0"/>
                    <w:bidi w:val="0"/>
                    <w:spacing w:before="0" w:after="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规格</w:t>
                  </w:r>
                </w:p>
              </w:tc>
              <w:tc>
                <w:tcPr>
                  <w:tcW w:w="1931" w:type="dxa"/>
                  <w:tcBorders>
                    <w:tl2br w:val="nil"/>
                    <w:tr2bl w:val="nil"/>
                  </w:tcBorders>
                  <w:vAlign w:val="center"/>
                </w:tcPr>
                <w:p w14:paraId="07944B0D">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年检测量</w:t>
                  </w:r>
                </w:p>
              </w:tc>
              <w:tc>
                <w:tcPr>
                  <w:tcW w:w="1531" w:type="dxa"/>
                  <w:tcBorders>
                    <w:tl2br w:val="nil"/>
                    <w:tr2bl w:val="nil"/>
                  </w:tcBorders>
                  <w:vAlign w:val="center"/>
                </w:tcPr>
                <w:p w14:paraId="2A3997ED">
                  <w:pPr>
                    <w:pStyle w:val="123"/>
                    <w:pageBreakBefore w:val="0"/>
                    <w:kinsoku/>
                    <w:overflowPunct/>
                    <w:topLinePunct w:val="0"/>
                    <w:bidi w:val="0"/>
                    <w:spacing w:before="0" w:after="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备注</w:t>
                  </w:r>
                </w:p>
              </w:tc>
            </w:tr>
            <w:tr w14:paraId="2023111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655" w:type="dxa"/>
                  <w:vMerge w:val="restart"/>
                  <w:tcBorders>
                    <w:tl2br w:val="nil"/>
                    <w:tr2bl w:val="nil"/>
                  </w:tcBorders>
                  <w:vAlign w:val="center"/>
                </w:tcPr>
                <w:p w14:paraId="18342552">
                  <w:pPr>
                    <w:pStyle w:val="123"/>
                    <w:pageBreakBefore w:val="0"/>
                    <w:kinsoku/>
                    <w:overflowPunct/>
                    <w:topLinePunct w:val="0"/>
                    <w:bidi w:val="0"/>
                    <w:spacing w:before="0" w:after="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1468" w:type="dxa"/>
                  <w:vMerge w:val="restart"/>
                  <w:tcBorders>
                    <w:tl2br w:val="nil"/>
                    <w:tr2bl w:val="nil"/>
                  </w:tcBorders>
                  <w:vAlign w:val="center"/>
                </w:tcPr>
                <w:p w14:paraId="55518384">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检测</w:t>
                  </w:r>
                  <w:r>
                    <w:rPr>
                      <w:rFonts w:hint="eastAsia" w:ascii="Times New Roman" w:hAnsi="Times New Roman" w:cs="Times New Roman"/>
                      <w:color w:val="000000" w:themeColor="text1"/>
                      <w:lang w:eastAsia="zh-CN"/>
                      <w14:textFill>
                        <w14:solidFill>
                          <w14:schemeClr w14:val="tx1"/>
                        </w14:solidFill>
                      </w14:textFill>
                    </w:rPr>
                    <w:t>液化石油气钢瓶</w:t>
                  </w:r>
                </w:p>
              </w:tc>
              <w:tc>
                <w:tcPr>
                  <w:tcW w:w="2800" w:type="dxa"/>
                  <w:tcBorders>
                    <w:tl2br w:val="nil"/>
                    <w:tr2bl w:val="nil"/>
                  </w:tcBorders>
                  <w:vAlign w:val="center"/>
                </w:tcPr>
                <w:p w14:paraId="3B746457">
                  <w:pPr>
                    <w:pStyle w:val="123"/>
                    <w:pageBreakBefore w:val="0"/>
                    <w:kinsoku/>
                    <w:overflowPunct/>
                    <w:topLinePunct w:val="0"/>
                    <w:bidi w:val="0"/>
                    <w:spacing w:before="0" w:after="0"/>
                    <w:ind w:left="0" w:leftChars="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10kg（12L），瓶高0.43m，瓶身0.24m</w:t>
                  </w:r>
                </w:p>
              </w:tc>
              <w:tc>
                <w:tcPr>
                  <w:tcW w:w="1931" w:type="dxa"/>
                  <w:tcBorders>
                    <w:tl2br w:val="nil"/>
                    <w:tr2bl w:val="nil"/>
                  </w:tcBorders>
                  <w:vAlign w:val="center"/>
                </w:tcPr>
                <w:p w14:paraId="5BA2CF34">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6万个/年</w:t>
                  </w:r>
                </w:p>
              </w:tc>
              <w:tc>
                <w:tcPr>
                  <w:tcW w:w="1531" w:type="dxa"/>
                  <w:vMerge w:val="restart"/>
                  <w:tcBorders>
                    <w:tl2br w:val="nil"/>
                    <w:tr2bl w:val="nil"/>
                  </w:tcBorders>
                  <w:vAlign w:val="center"/>
                </w:tcPr>
                <w:p w14:paraId="771249BD">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其中包括约</w:t>
                  </w:r>
                  <w:r>
                    <w:rPr>
                      <w:rFonts w:hint="default" w:ascii="Times New Roman" w:hAnsi="Times New Roman" w:cs="Times New Roman"/>
                      <w:color w:val="000000" w:themeColor="text1"/>
                      <w:lang w:val="en-US" w:eastAsia="zh-CN"/>
                      <w14:textFill>
                        <w14:solidFill>
                          <w14:schemeClr w14:val="tx1"/>
                        </w14:solidFill>
                      </w14:textFill>
                    </w:rPr>
                    <w:t>6500只不合格</w:t>
                  </w:r>
                  <w:r>
                    <w:rPr>
                      <w:rFonts w:hint="eastAsia" w:ascii="Times New Roman" w:hAnsi="Times New Roman" w:cs="Times New Roman"/>
                      <w:color w:val="000000" w:themeColor="text1"/>
                      <w:lang w:val="en-US" w:eastAsia="zh-CN"/>
                      <w14:textFill>
                        <w14:solidFill>
                          <w14:schemeClr w14:val="tx1"/>
                        </w14:solidFill>
                      </w14:textFill>
                    </w:rPr>
                    <w:t>液化石油气钢瓶</w:t>
                  </w:r>
                  <w:r>
                    <w:rPr>
                      <w:rFonts w:hint="default" w:ascii="Times New Roman" w:hAnsi="Times New Roman" w:cs="Times New Roman"/>
                      <w:color w:val="000000" w:themeColor="text1"/>
                      <w:lang w:val="en-US" w:eastAsia="zh-CN"/>
                      <w14:textFill>
                        <w14:solidFill>
                          <w14:schemeClr w14:val="tx1"/>
                        </w14:solidFill>
                      </w14:textFill>
                    </w:rPr>
                    <w:t>及19.35万只合格</w:t>
                  </w:r>
                  <w:r>
                    <w:rPr>
                      <w:rFonts w:hint="eastAsia" w:ascii="Times New Roman" w:hAnsi="Times New Roman" w:cs="Times New Roman"/>
                      <w:color w:val="000000" w:themeColor="text1"/>
                      <w:lang w:val="en-US" w:eastAsia="zh-CN"/>
                      <w14:textFill>
                        <w14:solidFill>
                          <w14:schemeClr w14:val="tx1"/>
                        </w14:solidFill>
                      </w14:textFill>
                    </w:rPr>
                    <w:t>液化石油气钢瓶</w:t>
                  </w:r>
                </w:p>
              </w:tc>
            </w:tr>
            <w:tr w14:paraId="76DE3DB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5" w:type="dxa"/>
                  <w:vMerge w:val="continue"/>
                  <w:tcBorders>
                    <w:tl2br w:val="nil"/>
                    <w:tr2bl w:val="nil"/>
                  </w:tcBorders>
                  <w:vAlign w:val="center"/>
                </w:tcPr>
                <w:p w14:paraId="316AAA20">
                  <w:pPr>
                    <w:pStyle w:val="123"/>
                    <w:pageBreakBefore w:val="0"/>
                    <w:kinsoku/>
                    <w:overflowPunct/>
                    <w:topLinePunct w:val="0"/>
                    <w:bidi w:val="0"/>
                    <w:spacing w:before="0" w:after="0"/>
                    <w:ind w:left="0" w:leftChars="0" w:right="0"/>
                    <w:rPr>
                      <w:rFonts w:hint="default" w:ascii="Times New Roman" w:hAnsi="Times New Roman" w:cs="Times New Roman"/>
                      <w:color w:val="000000" w:themeColor="text1"/>
                      <w14:textFill>
                        <w14:solidFill>
                          <w14:schemeClr w14:val="tx1"/>
                        </w14:solidFill>
                      </w14:textFill>
                    </w:rPr>
                  </w:pPr>
                </w:p>
              </w:tc>
              <w:tc>
                <w:tcPr>
                  <w:tcW w:w="1468" w:type="dxa"/>
                  <w:vMerge w:val="continue"/>
                  <w:tcBorders>
                    <w:tl2br w:val="nil"/>
                    <w:tr2bl w:val="nil"/>
                  </w:tcBorders>
                  <w:vAlign w:val="center"/>
                </w:tcPr>
                <w:p w14:paraId="1B232320">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eastAsia="zh-CN"/>
                      <w14:textFill>
                        <w14:solidFill>
                          <w14:schemeClr w14:val="tx1"/>
                        </w14:solidFill>
                      </w14:textFill>
                    </w:rPr>
                  </w:pPr>
                </w:p>
              </w:tc>
              <w:tc>
                <w:tcPr>
                  <w:tcW w:w="2800" w:type="dxa"/>
                  <w:tcBorders>
                    <w:tl2br w:val="nil"/>
                    <w:tr2bl w:val="nil"/>
                  </w:tcBorders>
                  <w:vAlign w:val="center"/>
                </w:tcPr>
                <w:p w14:paraId="26F9F8B3">
                  <w:pPr>
                    <w:pStyle w:val="123"/>
                    <w:pageBreakBefore w:val="0"/>
                    <w:kinsoku/>
                    <w:overflowPunct/>
                    <w:topLinePunct w:val="0"/>
                    <w:bidi w:val="0"/>
                    <w:spacing w:before="0" w:after="0"/>
                    <w:ind w:left="0" w:leftChars="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15kg（35.5L），瓶高0.43m，瓶身0.24m</w:t>
                  </w:r>
                </w:p>
              </w:tc>
              <w:tc>
                <w:tcPr>
                  <w:tcW w:w="1931" w:type="dxa"/>
                  <w:tcBorders>
                    <w:tl2br w:val="nil"/>
                    <w:tr2bl w:val="nil"/>
                  </w:tcBorders>
                  <w:vAlign w:val="center"/>
                </w:tcPr>
                <w:p w14:paraId="4C159737">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10万个/年</w:t>
                  </w:r>
                </w:p>
              </w:tc>
              <w:tc>
                <w:tcPr>
                  <w:tcW w:w="1531" w:type="dxa"/>
                  <w:vMerge w:val="continue"/>
                  <w:tcBorders>
                    <w:tl2br w:val="nil"/>
                    <w:tr2bl w:val="nil"/>
                  </w:tcBorders>
                  <w:vAlign w:val="center"/>
                </w:tcPr>
                <w:p w14:paraId="07B61838">
                  <w:pPr>
                    <w:pStyle w:val="123"/>
                    <w:pageBreakBefore w:val="0"/>
                    <w:kinsoku/>
                    <w:overflowPunct/>
                    <w:topLinePunct w:val="0"/>
                    <w:bidi w:val="0"/>
                    <w:spacing w:before="0" w:after="0"/>
                    <w:ind w:left="0" w:leftChars="0" w:right="0"/>
                    <w:rPr>
                      <w:rFonts w:hint="default" w:ascii="Times New Roman" w:hAnsi="Times New Roman" w:cs="Times New Roman"/>
                      <w:color w:val="000000" w:themeColor="text1"/>
                      <w14:textFill>
                        <w14:solidFill>
                          <w14:schemeClr w14:val="tx1"/>
                        </w14:solidFill>
                      </w14:textFill>
                    </w:rPr>
                  </w:pPr>
                </w:p>
              </w:tc>
            </w:tr>
            <w:tr w14:paraId="63DB5D8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5" w:type="dxa"/>
                  <w:vMerge w:val="continue"/>
                  <w:tcBorders>
                    <w:tl2br w:val="nil"/>
                    <w:tr2bl w:val="nil"/>
                  </w:tcBorders>
                  <w:vAlign w:val="center"/>
                </w:tcPr>
                <w:p w14:paraId="3831EE40">
                  <w:pPr>
                    <w:pStyle w:val="123"/>
                    <w:pageBreakBefore w:val="0"/>
                    <w:kinsoku/>
                    <w:overflowPunct/>
                    <w:topLinePunct w:val="0"/>
                    <w:bidi w:val="0"/>
                    <w:spacing w:before="0" w:after="0"/>
                    <w:ind w:left="0" w:leftChars="0" w:right="0"/>
                    <w:rPr>
                      <w:rFonts w:hint="default" w:ascii="Times New Roman" w:hAnsi="Times New Roman" w:cs="Times New Roman"/>
                      <w:color w:val="000000" w:themeColor="text1"/>
                      <w14:textFill>
                        <w14:solidFill>
                          <w14:schemeClr w14:val="tx1"/>
                        </w14:solidFill>
                      </w14:textFill>
                    </w:rPr>
                  </w:pPr>
                </w:p>
              </w:tc>
              <w:tc>
                <w:tcPr>
                  <w:tcW w:w="1468" w:type="dxa"/>
                  <w:vMerge w:val="continue"/>
                  <w:tcBorders>
                    <w:tl2br w:val="nil"/>
                    <w:tr2bl w:val="nil"/>
                  </w:tcBorders>
                  <w:vAlign w:val="center"/>
                </w:tcPr>
                <w:p w14:paraId="7E78E838">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eastAsia="zh-CN"/>
                      <w14:textFill>
                        <w14:solidFill>
                          <w14:schemeClr w14:val="tx1"/>
                        </w14:solidFill>
                      </w14:textFill>
                    </w:rPr>
                  </w:pPr>
                </w:p>
              </w:tc>
              <w:tc>
                <w:tcPr>
                  <w:tcW w:w="2800" w:type="dxa"/>
                  <w:tcBorders>
                    <w:tl2br w:val="nil"/>
                    <w:tr2bl w:val="nil"/>
                  </w:tcBorders>
                  <w:vAlign w:val="center"/>
                </w:tcPr>
                <w:p w14:paraId="38561F9D">
                  <w:pPr>
                    <w:pStyle w:val="123"/>
                    <w:pageBreakBefore w:val="0"/>
                    <w:kinsoku/>
                    <w:overflowPunct/>
                    <w:topLinePunct w:val="0"/>
                    <w:bidi w:val="0"/>
                    <w:spacing w:before="0" w:after="0"/>
                    <w:ind w:left="0" w:leftChars="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50kg（118L），瓶高0.43m，瓶身0.24m</w:t>
                  </w:r>
                </w:p>
              </w:tc>
              <w:tc>
                <w:tcPr>
                  <w:tcW w:w="1931" w:type="dxa"/>
                  <w:tcBorders>
                    <w:tl2br w:val="nil"/>
                    <w:tr2bl w:val="nil"/>
                  </w:tcBorders>
                  <w:vAlign w:val="center"/>
                </w:tcPr>
                <w:p w14:paraId="054844EE">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4万个/年</w:t>
                  </w:r>
                </w:p>
              </w:tc>
              <w:tc>
                <w:tcPr>
                  <w:tcW w:w="1531" w:type="dxa"/>
                  <w:vMerge w:val="continue"/>
                  <w:tcBorders>
                    <w:tl2br w:val="nil"/>
                    <w:tr2bl w:val="nil"/>
                  </w:tcBorders>
                  <w:vAlign w:val="center"/>
                </w:tcPr>
                <w:p w14:paraId="508EA908">
                  <w:pPr>
                    <w:pStyle w:val="123"/>
                    <w:pageBreakBefore w:val="0"/>
                    <w:kinsoku/>
                    <w:overflowPunct/>
                    <w:topLinePunct w:val="0"/>
                    <w:bidi w:val="0"/>
                    <w:spacing w:before="0" w:after="0"/>
                    <w:ind w:left="0" w:leftChars="0" w:right="0"/>
                    <w:rPr>
                      <w:rFonts w:hint="default" w:ascii="Times New Roman" w:hAnsi="Times New Roman" w:cs="Times New Roman"/>
                      <w:color w:val="000000" w:themeColor="text1"/>
                      <w14:textFill>
                        <w14:solidFill>
                          <w14:schemeClr w14:val="tx1"/>
                        </w14:solidFill>
                      </w14:textFill>
                    </w:rPr>
                  </w:pPr>
                </w:p>
              </w:tc>
            </w:tr>
            <w:tr w14:paraId="7A282F8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5" w:type="dxa"/>
                  <w:tcBorders>
                    <w:tl2br w:val="nil"/>
                    <w:tr2bl w:val="nil"/>
                  </w:tcBorders>
                  <w:vAlign w:val="center"/>
                </w:tcPr>
                <w:p w14:paraId="40D3B037">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1468" w:type="dxa"/>
                  <w:tcBorders>
                    <w:tl2br w:val="nil"/>
                    <w:tr2bl w:val="nil"/>
                  </w:tcBorders>
                  <w:vAlign w:val="center"/>
                </w:tcPr>
                <w:p w14:paraId="12D595DF">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报废</w:t>
                  </w:r>
                  <w:r>
                    <w:rPr>
                      <w:rFonts w:hint="eastAsia" w:ascii="Times New Roman" w:hAnsi="Times New Roman" w:cs="Times New Roman"/>
                      <w:color w:val="000000" w:themeColor="text1"/>
                      <w:lang w:eastAsia="zh-CN"/>
                      <w14:textFill>
                        <w14:solidFill>
                          <w14:schemeClr w14:val="tx1"/>
                        </w14:solidFill>
                      </w14:textFill>
                    </w:rPr>
                    <w:t>液化石油气钢瓶</w:t>
                  </w:r>
                </w:p>
              </w:tc>
              <w:tc>
                <w:tcPr>
                  <w:tcW w:w="2800" w:type="dxa"/>
                  <w:tcBorders>
                    <w:tl2br w:val="nil"/>
                    <w:tr2bl w:val="nil"/>
                  </w:tcBorders>
                  <w:vAlign w:val="center"/>
                </w:tcPr>
                <w:p w14:paraId="2965B87B">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使用期限超过国家规定年限，需要报废处理的</w:t>
                  </w:r>
                </w:p>
              </w:tc>
              <w:tc>
                <w:tcPr>
                  <w:tcW w:w="1931" w:type="dxa"/>
                  <w:tcBorders>
                    <w:tl2br w:val="nil"/>
                    <w:tr2bl w:val="nil"/>
                  </w:tcBorders>
                  <w:vAlign w:val="center"/>
                </w:tcPr>
                <w:p w14:paraId="4B55EB41">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10万个/年</w:t>
                  </w:r>
                </w:p>
              </w:tc>
              <w:tc>
                <w:tcPr>
                  <w:tcW w:w="1531" w:type="dxa"/>
                  <w:tcBorders>
                    <w:tl2br w:val="nil"/>
                    <w:tr2bl w:val="nil"/>
                  </w:tcBorders>
                  <w:vAlign w:val="center"/>
                </w:tcPr>
                <w:p w14:paraId="6C48A1C3">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全部报废处理</w:t>
                  </w:r>
                </w:p>
              </w:tc>
            </w:tr>
          </w:tbl>
          <w:p w14:paraId="21BE6B2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备注：</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依据《气瓶安全技术规程》（TSG23-2021），液化石油气钢瓶检验周期为4年，经过安全评估的燃气钢瓶的实际使用年限最长不得超过12年，</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液化石油气钢瓶</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或瓶阀使用时间超过其设计使用年限的需对其进行报废处理，通过压扁报废</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液化石油气钢瓶</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的使用功能。本项目出场的</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液化石油气钢瓶</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质量按照《液化石油气钢瓶》（GB5842-2023）中相关要求控制。</w:t>
            </w:r>
          </w:p>
          <w:p w14:paraId="773E1807">
            <w:pPr>
              <w:pStyle w:val="19"/>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4、生产设备</w:t>
            </w:r>
          </w:p>
          <w:p w14:paraId="6BFAA746">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项目主要生产设备见表2-3。</w:t>
            </w:r>
          </w:p>
          <w:p w14:paraId="36F3CD8A">
            <w:pPr>
              <w:pStyle w:val="89"/>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cs="Times New Roman"/>
                <w:b/>
                <w:bCs/>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b/>
                <w:bCs/>
                <w:snapToGrid w:val="0"/>
                <w:color w:val="000000" w:themeColor="text1"/>
                <w:sz w:val="21"/>
                <w:szCs w:val="21"/>
                <w:lang w:val="en-US" w:eastAsia="zh-CN"/>
                <w14:textFill>
                  <w14:solidFill>
                    <w14:schemeClr w14:val="tx1"/>
                  </w14:solidFill>
                </w14:textFill>
              </w:rPr>
              <w:t>表2-3生产设备一览表</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49"/>
              <w:gridCol w:w="2245"/>
              <w:gridCol w:w="2058"/>
              <w:gridCol w:w="1320"/>
              <w:gridCol w:w="1832"/>
            </w:tblGrid>
            <w:tr w14:paraId="7ABC7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6" w:type="pct"/>
                  <w:noWrap w:val="0"/>
                  <w:vAlign w:val="center"/>
                </w:tcPr>
                <w:p w14:paraId="79E96BDC">
                  <w:pPr>
                    <w:pStyle w:val="123"/>
                    <w:pageBreakBefore w:val="0"/>
                    <w:kinsoku/>
                    <w:overflowPunct/>
                    <w:topLinePunct w:val="0"/>
                    <w:bidi w:val="0"/>
                    <w:spacing w:before="0" w:after="0"/>
                    <w:ind w:left="0" w:leftChars="0" w:right="0"/>
                    <w:rPr>
                      <w:rFonts w:hint="default" w:ascii="Times New Roman" w:hAnsi="Times New Roman" w:eastAsia="宋体" w:cs="Times New Roman"/>
                      <w:b/>
                      <w:bCs w:val="0"/>
                      <w:color w:val="000000" w:themeColor="text1"/>
                      <w:lang w:val="en-US" w:eastAsia="zh-CN"/>
                      <w14:textFill>
                        <w14:solidFill>
                          <w14:schemeClr w14:val="tx1"/>
                        </w14:solidFill>
                      </w14:textFill>
                    </w:rPr>
                  </w:pPr>
                  <w:r>
                    <w:rPr>
                      <w:rFonts w:hint="default" w:ascii="Times New Roman" w:hAnsi="Times New Roman" w:eastAsia="宋体" w:cs="Times New Roman"/>
                      <w:b/>
                      <w:bCs w:val="0"/>
                      <w:color w:val="000000" w:themeColor="text1"/>
                      <w:lang w:val="en-US" w:eastAsia="zh-CN"/>
                      <w14:textFill>
                        <w14:solidFill>
                          <w14:schemeClr w14:val="tx1"/>
                        </w14:solidFill>
                      </w14:textFill>
                    </w:rPr>
                    <w:t>序号</w:t>
                  </w:r>
                </w:p>
              </w:tc>
              <w:tc>
                <w:tcPr>
                  <w:tcW w:w="1346" w:type="pct"/>
                  <w:noWrap w:val="0"/>
                  <w:vAlign w:val="center"/>
                </w:tcPr>
                <w:p w14:paraId="7A38FA16">
                  <w:pPr>
                    <w:pStyle w:val="123"/>
                    <w:pageBreakBefore w:val="0"/>
                    <w:kinsoku/>
                    <w:overflowPunct/>
                    <w:topLinePunct w:val="0"/>
                    <w:bidi w:val="0"/>
                    <w:spacing w:before="0" w:after="0"/>
                    <w:ind w:left="0" w:leftChars="0" w:right="0"/>
                    <w:rPr>
                      <w:rFonts w:hint="default" w:ascii="Times New Roman" w:hAnsi="Times New Roman" w:eastAsia="宋体" w:cs="Times New Roman"/>
                      <w:b/>
                      <w:bCs w:val="0"/>
                      <w:color w:val="000000" w:themeColor="text1"/>
                      <w:lang w:val="en-US" w:eastAsia="zh-CN"/>
                      <w14:textFill>
                        <w14:solidFill>
                          <w14:schemeClr w14:val="tx1"/>
                        </w14:solidFill>
                      </w14:textFill>
                    </w:rPr>
                  </w:pPr>
                  <w:r>
                    <w:rPr>
                      <w:rFonts w:hint="default" w:ascii="Times New Roman" w:hAnsi="Times New Roman" w:eastAsia="宋体" w:cs="Times New Roman"/>
                      <w:b/>
                      <w:bCs w:val="0"/>
                      <w:color w:val="000000" w:themeColor="text1"/>
                      <w:lang w:val="en-US" w:eastAsia="zh-CN"/>
                      <w14:textFill>
                        <w14:solidFill>
                          <w14:schemeClr w14:val="tx1"/>
                        </w14:solidFill>
                      </w14:textFill>
                    </w:rPr>
                    <w:t>名称</w:t>
                  </w:r>
                </w:p>
              </w:tc>
              <w:tc>
                <w:tcPr>
                  <w:tcW w:w="1235" w:type="pct"/>
                  <w:noWrap w:val="0"/>
                  <w:vAlign w:val="center"/>
                </w:tcPr>
                <w:p w14:paraId="4FE09974">
                  <w:pPr>
                    <w:pStyle w:val="123"/>
                    <w:pageBreakBefore w:val="0"/>
                    <w:kinsoku/>
                    <w:overflowPunct/>
                    <w:topLinePunct w:val="0"/>
                    <w:bidi w:val="0"/>
                    <w:spacing w:before="0" w:after="0"/>
                    <w:ind w:left="0" w:leftChars="0" w:right="0"/>
                    <w:rPr>
                      <w:rFonts w:hint="default" w:ascii="Times New Roman" w:hAnsi="Times New Roman" w:eastAsia="宋体" w:cs="Times New Roman"/>
                      <w:b/>
                      <w:bCs w:val="0"/>
                      <w:color w:val="000000" w:themeColor="text1"/>
                      <w:lang w:val="en-US" w:eastAsia="zh-CN"/>
                      <w14:textFill>
                        <w14:solidFill>
                          <w14:schemeClr w14:val="tx1"/>
                        </w14:solidFill>
                      </w14:textFill>
                    </w:rPr>
                  </w:pPr>
                  <w:r>
                    <w:rPr>
                      <w:rFonts w:hint="default" w:ascii="Times New Roman" w:hAnsi="Times New Roman" w:eastAsia="宋体" w:cs="Times New Roman"/>
                      <w:b/>
                      <w:bCs w:val="0"/>
                      <w:color w:val="000000" w:themeColor="text1"/>
                      <w:lang w:val="en-US" w:eastAsia="zh-CN"/>
                      <w14:textFill>
                        <w14:solidFill>
                          <w14:schemeClr w14:val="tx1"/>
                        </w14:solidFill>
                      </w14:textFill>
                    </w:rPr>
                    <w:t>型号及规格</w:t>
                  </w:r>
                </w:p>
              </w:tc>
              <w:tc>
                <w:tcPr>
                  <w:tcW w:w="796" w:type="pct"/>
                  <w:noWrap w:val="0"/>
                  <w:vAlign w:val="center"/>
                </w:tcPr>
                <w:p w14:paraId="4E0A6641">
                  <w:pPr>
                    <w:pStyle w:val="123"/>
                    <w:pageBreakBefore w:val="0"/>
                    <w:kinsoku/>
                    <w:overflowPunct/>
                    <w:topLinePunct w:val="0"/>
                    <w:bidi w:val="0"/>
                    <w:spacing w:before="0" w:after="0"/>
                    <w:ind w:left="0" w:leftChars="0" w:right="0"/>
                    <w:rPr>
                      <w:rFonts w:hint="default" w:ascii="Times New Roman" w:hAnsi="Times New Roman" w:eastAsia="宋体" w:cs="Times New Roman"/>
                      <w:b/>
                      <w:bCs w:val="0"/>
                      <w:color w:val="000000" w:themeColor="text1"/>
                      <w:lang w:val="en-US" w:eastAsia="zh-CN"/>
                      <w14:textFill>
                        <w14:solidFill>
                          <w14:schemeClr w14:val="tx1"/>
                        </w14:solidFill>
                      </w14:textFill>
                    </w:rPr>
                  </w:pPr>
                  <w:r>
                    <w:rPr>
                      <w:rFonts w:hint="default" w:ascii="Times New Roman" w:hAnsi="Times New Roman" w:eastAsia="宋体" w:cs="Times New Roman"/>
                      <w:b/>
                      <w:bCs w:val="0"/>
                      <w:color w:val="000000" w:themeColor="text1"/>
                      <w:lang w:val="en-US" w:eastAsia="zh-CN"/>
                      <w14:textFill>
                        <w14:solidFill>
                          <w14:schemeClr w14:val="tx1"/>
                        </w14:solidFill>
                      </w14:textFill>
                    </w:rPr>
                    <w:t>单位</w:t>
                  </w:r>
                </w:p>
              </w:tc>
              <w:tc>
                <w:tcPr>
                  <w:tcW w:w="1044" w:type="pct"/>
                  <w:noWrap w:val="0"/>
                  <w:vAlign w:val="center"/>
                </w:tcPr>
                <w:p w14:paraId="78AFCC26">
                  <w:pPr>
                    <w:pStyle w:val="123"/>
                    <w:pageBreakBefore w:val="0"/>
                    <w:kinsoku/>
                    <w:overflowPunct/>
                    <w:topLinePunct w:val="0"/>
                    <w:bidi w:val="0"/>
                    <w:spacing w:before="0" w:after="0"/>
                    <w:ind w:left="0" w:leftChars="0" w:right="0"/>
                    <w:rPr>
                      <w:rFonts w:hint="default" w:ascii="Times New Roman" w:hAnsi="Times New Roman" w:eastAsia="宋体" w:cs="Times New Roman"/>
                      <w:b/>
                      <w:bCs w:val="0"/>
                      <w:color w:val="000000" w:themeColor="text1"/>
                      <w:lang w:val="en-US" w:eastAsia="zh-CN"/>
                      <w14:textFill>
                        <w14:solidFill>
                          <w14:schemeClr w14:val="tx1"/>
                        </w14:solidFill>
                      </w14:textFill>
                    </w:rPr>
                  </w:pPr>
                  <w:r>
                    <w:rPr>
                      <w:rFonts w:hint="default" w:ascii="Times New Roman" w:hAnsi="Times New Roman" w:eastAsia="宋体" w:cs="Times New Roman"/>
                      <w:b/>
                      <w:bCs w:val="0"/>
                      <w:color w:val="000000" w:themeColor="text1"/>
                      <w:lang w:val="en-US" w:eastAsia="zh-CN"/>
                      <w14:textFill>
                        <w14:solidFill>
                          <w14:schemeClr w14:val="tx1"/>
                        </w14:solidFill>
                      </w14:textFill>
                    </w:rPr>
                    <w:t>备注</w:t>
                  </w:r>
                </w:p>
              </w:tc>
            </w:tr>
            <w:tr w14:paraId="023C4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76" w:type="pct"/>
                  <w:noWrap w:val="0"/>
                  <w:vAlign w:val="center"/>
                </w:tcPr>
                <w:p w14:paraId="75F62492">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p>
              </w:tc>
              <w:tc>
                <w:tcPr>
                  <w:tcW w:w="1346" w:type="pct"/>
                  <w:noWrap w:val="0"/>
                  <w:vAlign w:val="center"/>
                </w:tcPr>
                <w:p w14:paraId="0BC7BBD0">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残液回收</w:t>
                  </w:r>
                  <w:r>
                    <w:rPr>
                      <w:rFonts w:hint="default" w:ascii="Times New Roman" w:hAnsi="Times New Roman" w:cs="Times New Roman"/>
                      <w:color w:val="000000" w:themeColor="text1"/>
                      <w:lang w:val="en-US" w:eastAsia="zh-CN"/>
                      <w14:textFill>
                        <w14:solidFill>
                          <w14:schemeClr w14:val="tx1"/>
                        </w14:solidFill>
                      </w14:textFill>
                    </w:rPr>
                    <w:t>设施（配套负压收集、抽残泵、水封机、残液罐等设备）</w:t>
                  </w:r>
                </w:p>
              </w:tc>
              <w:tc>
                <w:tcPr>
                  <w:tcW w:w="1235" w:type="pct"/>
                  <w:noWrap w:val="0"/>
                  <w:vAlign w:val="center"/>
                </w:tcPr>
                <w:p w14:paraId="6743FDAB">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YCH-1型</w:t>
                  </w:r>
                </w:p>
              </w:tc>
              <w:tc>
                <w:tcPr>
                  <w:tcW w:w="796" w:type="pct"/>
                  <w:noWrap w:val="0"/>
                  <w:vAlign w:val="center"/>
                </w:tcPr>
                <w:p w14:paraId="0A695BE8">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1套</w:t>
                  </w:r>
                </w:p>
              </w:tc>
              <w:tc>
                <w:tcPr>
                  <w:tcW w:w="1044" w:type="pct"/>
                  <w:noWrap w:val="0"/>
                  <w:vAlign w:val="center"/>
                </w:tcPr>
                <w:p w14:paraId="76D76A64">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24"/>
                      <w:sz w:val="21"/>
                      <w:szCs w:val="21"/>
                      <w:lang w:eastAsia="zh-CN"/>
                      <w14:textFill>
                        <w14:solidFill>
                          <w14:schemeClr w14:val="tx1"/>
                        </w14:solidFill>
                      </w14:textFill>
                    </w:rPr>
                    <w:t>液化气残液收集罐容积为</w:t>
                  </w:r>
                  <w:r>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t>0.47m</w:t>
                  </w:r>
                  <w:r>
                    <w:rPr>
                      <w:rFonts w:hint="default" w:ascii="Times New Roman" w:hAnsi="Times New Roman" w:eastAsia="宋体" w:cs="Times New Roman"/>
                      <w:color w:val="000000" w:themeColor="text1"/>
                      <w:kern w:val="24"/>
                      <w:sz w:val="21"/>
                      <w:szCs w:val="21"/>
                      <w:vertAlign w:val="superscript"/>
                      <w:lang w:val="en-US" w:eastAsia="zh-CN"/>
                      <w14:textFill>
                        <w14:solidFill>
                          <w14:schemeClr w14:val="tx1"/>
                        </w14:solidFill>
                      </w14:textFill>
                    </w:rPr>
                    <w:t>3</w:t>
                  </w:r>
                </w:p>
              </w:tc>
            </w:tr>
            <w:tr w14:paraId="55486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6" w:type="pct"/>
                  <w:noWrap w:val="0"/>
                  <w:vAlign w:val="center"/>
                </w:tcPr>
                <w:p w14:paraId="0FDCDD18">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w:t>
                  </w:r>
                </w:p>
              </w:tc>
              <w:tc>
                <w:tcPr>
                  <w:tcW w:w="1346" w:type="pct"/>
                  <w:noWrap w:val="0"/>
                  <w:vAlign w:val="center"/>
                </w:tcPr>
                <w:p w14:paraId="70A7A550">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瓶阀装卸机</w:t>
                  </w:r>
                </w:p>
              </w:tc>
              <w:tc>
                <w:tcPr>
                  <w:tcW w:w="1235" w:type="pct"/>
                  <w:noWrap w:val="0"/>
                  <w:vAlign w:val="center"/>
                </w:tcPr>
                <w:p w14:paraId="75A0A3B9">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QFL-3</w:t>
                  </w:r>
                </w:p>
              </w:tc>
              <w:tc>
                <w:tcPr>
                  <w:tcW w:w="796" w:type="pct"/>
                  <w:noWrap w:val="0"/>
                  <w:vAlign w:val="center"/>
                </w:tcPr>
                <w:p w14:paraId="0C2E1674">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1台</w:t>
                  </w:r>
                </w:p>
              </w:tc>
              <w:tc>
                <w:tcPr>
                  <w:tcW w:w="1044" w:type="pct"/>
                  <w:noWrap w:val="0"/>
                  <w:vAlign w:val="center"/>
                </w:tcPr>
                <w:p w14:paraId="7AE00A03">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r>
            <w:tr w14:paraId="1D1B4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6" w:type="pct"/>
                  <w:noWrap w:val="0"/>
                  <w:vAlign w:val="center"/>
                </w:tcPr>
                <w:p w14:paraId="17866F95">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w:t>
                  </w:r>
                </w:p>
              </w:tc>
              <w:tc>
                <w:tcPr>
                  <w:tcW w:w="1346" w:type="pct"/>
                  <w:noWrap w:val="0"/>
                  <w:vAlign w:val="center"/>
                </w:tcPr>
                <w:p w14:paraId="4F181502">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lang w:val="en-US" w:eastAsia="zh-CN"/>
                      <w14:textFill>
                        <w14:solidFill>
                          <w14:schemeClr w14:val="tx1"/>
                        </w14:solidFill>
                      </w14:textFill>
                    </w:rPr>
                    <w:t>焚烧炉</w:t>
                  </w:r>
                </w:p>
              </w:tc>
              <w:tc>
                <w:tcPr>
                  <w:tcW w:w="1235" w:type="pct"/>
                  <w:noWrap w:val="0"/>
                  <w:vAlign w:val="center"/>
                </w:tcPr>
                <w:p w14:paraId="77A5B49E">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YFL型</w:t>
                  </w:r>
                  <w:r>
                    <w:rPr>
                      <w:rFonts w:hint="default" w:ascii="Times New Roman" w:hAnsi="Times New Roman" w:cs="Times New Roman"/>
                      <w:color w:val="000000" w:themeColor="text1"/>
                      <w:lang w:val="en-US" w:eastAsia="zh-CN"/>
                      <w14:textFill>
                        <w14:solidFill>
                          <w14:schemeClr w14:val="tx1"/>
                        </w14:solidFill>
                      </w14:textFill>
                    </w:rPr>
                    <w:t>；</w:t>
                  </w:r>
                </w:p>
              </w:tc>
              <w:tc>
                <w:tcPr>
                  <w:tcW w:w="796" w:type="pct"/>
                  <w:noWrap w:val="0"/>
                  <w:vAlign w:val="center"/>
                </w:tcPr>
                <w:p w14:paraId="2CD3D3F7">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1套</w:t>
                  </w:r>
                </w:p>
              </w:tc>
              <w:tc>
                <w:tcPr>
                  <w:tcW w:w="1044" w:type="pct"/>
                  <w:noWrap w:val="0"/>
                  <w:vAlign w:val="center"/>
                </w:tcPr>
                <w:p w14:paraId="0AF3A6EF">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分为3个温区：预热区（110°C~300°C）、</w:t>
                  </w:r>
                </w:p>
                <w:p w14:paraId="78E36025">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燃烧区（300°C~</w:t>
                  </w:r>
                  <w:r>
                    <w:rPr>
                      <w:rFonts w:hint="default" w:ascii="Times New Roman" w:hAnsi="Times New Roman" w:cs="Times New Roman"/>
                      <w:color w:val="000000" w:themeColor="text1"/>
                      <w:lang w:val="en-US" w:eastAsia="zh-CN"/>
                      <w14:textFill>
                        <w14:solidFill>
                          <w14:schemeClr w14:val="tx1"/>
                        </w14:solidFill>
                      </w14:textFill>
                    </w:rPr>
                    <w:t>55</w:t>
                  </w:r>
                  <w:r>
                    <w:rPr>
                      <w:rFonts w:hint="default" w:ascii="Times New Roman" w:hAnsi="Times New Roman" w:eastAsia="宋体" w:cs="Times New Roman"/>
                      <w:color w:val="000000" w:themeColor="text1"/>
                      <w:lang w:val="en-US" w:eastAsia="zh-CN"/>
                      <w14:textFill>
                        <w14:solidFill>
                          <w14:schemeClr w14:val="tx1"/>
                        </w14:solidFill>
                      </w14:textFill>
                    </w:rPr>
                    <w:t>0°C）、</w:t>
                  </w:r>
                  <w:r>
                    <w:rPr>
                      <w:rFonts w:hint="eastAsia" w:ascii="Times New Roman" w:hAnsi="Times New Roman" w:cs="Times New Roman"/>
                      <w:color w:val="000000" w:themeColor="text1"/>
                      <w:lang w:val="en-US" w:eastAsia="zh-CN"/>
                      <w14:textFill>
                        <w14:solidFill>
                          <w14:schemeClr w14:val="tx1"/>
                        </w14:solidFill>
                      </w14:textFill>
                    </w:rPr>
                    <w:t>液化石油气钢瓶</w:t>
                  </w:r>
                  <w:r>
                    <w:rPr>
                      <w:rFonts w:hint="default" w:ascii="Times New Roman" w:hAnsi="Times New Roman" w:cs="Times New Roman"/>
                      <w:color w:val="000000" w:themeColor="text1"/>
                      <w:lang w:val="en-US" w:eastAsia="zh-CN"/>
                      <w14:textFill>
                        <w14:solidFill>
                          <w14:schemeClr w14:val="tx1"/>
                        </w14:solidFill>
                      </w14:textFill>
                    </w:rPr>
                    <w:t>降温</w:t>
                  </w:r>
                  <w:r>
                    <w:rPr>
                      <w:rFonts w:hint="default" w:ascii="Times New Roman" w:hAnsi="Times New Roman" w:eastAsia="宋体" w:cs="Times New Roman"/>
                      <w:color w:val="000000" w:themeColor="text1"/>
                      <w:lang w:val="en-US" w:eastAsia="zh-CN"/>
                      <w14:textFill>
                        <w14:solidFill>
                          <w14:schemeClr w14:val="tx1"/>
                        </w14:solidFill>
                      </w14:textFill>
                    </w:rPr>
                    <w:t>区（</w:t>
                  </w:r>
                  <w:r>
                    <w:rPr>
                      <w:rFonts w:hint="default" w:ascii="Times New Roman" w:hAnsi="Times New Roman" w:cs="Times New Roman"/>
                      <w:color w:val="000000" w:themeColor="text1"/>
                      <w:lang w:val="en-US" w:eastAsia="zh-CN"/>
                      <w14:textFill>
                        <w14:solidFill>
                          <w14:schemeClr w14:val="tx1"/>
                        </w14:solidFill>
                      </w14:textFill>
                    </w:rPr>
                    <w:t>55</w:t>
                  </w:r>
                  <w:r>
                    <w:rPr>
                      <w:rFonts w:hint="default" w:ascii="Times New Roman" w:hAnsi="Times New Roman" w:eastAsia="宋体" w:cs="Times New Roman"/>
                      <w:color w:val="000000" w:themeColor="text1"/>
                      <w:lang w:val="en-US" w:eastAsia="zh-CN"/>
                      <w14:textFill>
                        <w14:solidFill>
                          <w14:schemeClr w14:val="tx1"/>
                        </w14:solidFill>
                      </w14:textFill>
                    </w:rPr>
                    <w:t>0°C-150°C），气瓶在焚烧炉内呈均匀低速、连续、水平运行，炉内运行时间约2分钟。设备每天运行时间约为8h。</w:t>
                  </w:r>
                </w:p>
              </w:tc>
            </w:tr>
            <w:tr w14:paraId="4F5C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6" w:type="pct"/>
                  <w:noWrap w:val="0"/>
                  <w:vAlign w:val="center"/>
                </w:tcPr>
                <w:p w14:paraId="42CAE36B">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w:t>
                  </w:r>
                </w:p>
              </w:tc>
              <w:tc>
                <w:tcPr>
                  <w:tcW w:w="1346" w:type="pct"/>
                  <w:noWrap w:val="0"/>
                  <w:vAlign w:val="center"/>
                </w:tcPr>
                <w:p w14:paraId="2C94E847">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lang w:val="en-US" w:eastAsia="zh-CN"/>
                      <w14:textFill>
                        <w14:solidFill>
                          <w14:schemeClr w14:val="tx1"/>
                        </w14:solidFill>
                      </w14:textFill>
                    </w:rPr>
                    <w:t>水压测试机</w:t>
                  </w:r>
                </w:p>
              </w:tc>
              <w:tc>
                <w:tcPr>
                  <w:tcW w:w="1235" w:type="pct"/>
                  <w:noWrap w:val="0"/>
                  <w:vAlign w:val="center"/>
                </w:tcPr>
                <w:p w14:paraId="6E4BB159">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YS-4BZ型</w:t>
                  </w:r>
                </w:p>
              </w:tc>
              <w:tc>
                <w:tcPr>
                  <w:tcW w:w="796" w:type="pct"/>
                  <w:noWrap w:val="0"/>
                  <w:vAlign w:val="center"/>
                </w:tcPr>
                <w:p w14:paraId="41971DB9">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1台</w:t>
                  </w:r>
                </w:p>
              </w:tc>
              <w:tc>
                <w:tcPr>
                  <w:tcW w:w="1044" w:type="pct"/>
                  <w:noWrap w:val="0"/>
                  <w:vAlign w:val="center"/>
                </w:tcPr>
                <w:p w14:paraId="2E14687A">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56426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6" w:type="pct"/>
                  <w:noWrap w:val="0"/>
                  <w:vAlign w:val="center"/>
                </w:tcPr>
                <w:p w14:paraId="7F9BB81A">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w:t>
                  </w:r>
                </w:p>
              </w:tc>
              <w:tc>
                <w:tcPr>
                  <w:tcW w:w="1346" w:type="pct"/>
                  <w:noWrap w:val="0"/>
                  <w:vAlign w:val="center"/>
                </w:tcPr>
                <w:p w14:paraId="5CCB9B93">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lang w:val="en-US" w:eastAsia="zh-CN"/>
                      <w14:textFill>
                        <w14:solidFill>
                          <w14:schemeClr w14:val="tx1"/>
                        </w14:solidFill>
                      </w14:textFill>
                    </w:rPr>
                    <w:t>除锈机</w:t>
                  </w:r>
                </w:p>
              </w:tc>
              <w:tc>
                <w:tcPr>
                  <w:tcW w:w="1235" w:type="pct"/>
                  <w:noWrap w:val="0"/>
                  <w:vAlign w:val="center"/>
                </w:tcPr>
                <w:p w14:paraId="4CF0D1E6">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YC-3G型</w:t>
                  </w:r>
                </w:p>
              </w:tc>
              <w:tc>
                <w:tcPr>
                  <w:tcW w:w="796" w:type="pct"/>
                  <w:noWrap w:val="0"/>
                  <w:vAlign w:val="center"/>
                </w:tcPr>
                <w:p w14:paraId="17AED121">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套</w:t>
                  </w:r>
                </w:p>
              </w:tc>
              <w:tc>
                <w:tcPr>
                  <w:tcW w:w="1044" w:type="pct"/>
                  <w:noWrap w:val="0"/>
                  <w:vAlign w:val="center"/>
                </w:tcPr>
                <w:p w14:paraId="0F3B1B92">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配套除锈机出料立瓶装置</w:t>
                  </w:r>
                </w:p>
              </w:tc>
            </w:tr>
            <w:tr w14:paraId="37B1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6" w:type="pct"/>
                  <w:noWrap w:val="0"/>
                  <w:vAlign w:val="center"/>
                </w:tcPr>
                <w:p w14:paraId="7C8C5F64">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w:t>
                  </w:r>
                </w:p>
              </w:tc>
              <w:tc>
                <w:tcPr>
                  <w:tcW w:w="1346" w:type="pct"/>
                  <w:noWrap w:val="0"/>
                  <w:vAlign w:val="center"/>
                </w:tcPr>
                <w:p w14:paraId="2B3E4FCF">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静电喷涂、烘干设备</w:t>
                  </w:r>
                </w:p>
              </w:tc>
              <w:tc>
                <w:tcPr>
                  <w:tcW w:w="1235" w:type="pct"/>
                  <w:noWrap w:val="0"/>
                  <w:vAlign w:val="center"/>
                </w:tcPr>
                <w:p w14:paraId="66DF2704">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YPL型</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 xml:space="preserve">7.5米长喷房一个，6枪全自动喷粉，气瓶加速旋转装置，供粉系统1套，20万大卡燃气加热，20米烘道式自动线，悬挂链采用QXT250型链约计100米 </w:t>
                  </w:r>
                </w:p>
              </w:tc>
              <w:tc>
                <w:tcPr>
                  <w:tcW w:w="796" w:type="pct"/>
                  <w:noWrap w:val="0"/>
                  <w:vAlign w:val="center"/>
                </w:tcPr>
                <w:p w14:paraId="72269032">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1套</w:t>
                  </w:r>
                </w:p>
              </w:tc>
              <w:tc>
                <w:tcPr>
                  <w:tcW w:w="1044" w:type="pct"/>
                  <w:noWrap w:val="0"/>
                  <w:vAlign w:val="center"/>
                </w:tcPr>
                <w:p w14:paraId="00F56612">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静电喷塑后的工件需置于</w:t>
                  </w:r>
                  <w:r>
                    <w:rPr>
                      <w:rFonts w:hint="default" w:ascii="Times New Roman" w:hAnsi="Times New Roman" w:cs="Times New Roman"/>
                      <w:color w:val="000000" w:themeColor="text1"/>
                      <w:lang w:val="en-US" w:eastAsia="zh-CN"/>
                      <w14:textFill>
                        <w14:solidFill>
                          <w14:schemeClr w14:val="tx1"/>
                        </w14:solidFill>
                      </w14:textFill>
                    </w:rPr>
                    <w:t>24</w:t>
                  </w:r>
                  <w:r>
                    <w:rPr>
                      <w:rFonts w:hint="default" w:ascii="Times New Roman" w:hAnsi="Times New Roman" w:eastAsia="宋体" w:cs="Times New Roman"/>
                      <w:color w:val="000000" w:themeColor="text1"/>
                      <w:lang w:val="en-US" w:eastAsia="zh-CN"/>
                      <w14:textFill>
                        <w14:solidFill>
                          <w14:schemeClr w14:val="tx1"/>
                        </w14:solidFill>
                      </w14:textFill>
                    </w:rPr>
                    <w:t xml:space="preserve">0°C左右的烘干设备内20分钟，设备每天运行时间约为8h </w:t>
                  </w:r>
                </w:p>
              </w:tc>
            </w:tr>
            <w:tr w14:paraId="5B081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6" w:type="pct"/>
                  <w:noWrap w:val="0"/>
                  <w:vAlign w:val="center"/>
                </w:tcPr>
                <w:p w14:paraId="354AEAEB">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w:t>
                  </w:r>
                </w:p>
              </w:tc>
              <w:tc>
                <w:tcPr>
                  <w:tcW w:w="1346" w:type="pct"/>
                  <w:noWrap w:val="0"/>
                  <w:vAlign w:val="center"/>
                </w:tcPr>
                <w:p w14:paraId="1C57069F">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液化气瓶阀装卸机</w:t>
                  </w:r>
                </w:p>
              </w:tc>
              <w:tc>
                <w:tcPr>
                  <w:tcW w:w="1235" w:type="pct"/>
                  <w:noWrap w:val="0"/>
                  <w:vAlign w:val="center"/>
                </w:tcPr>
                <w:p w14:paraId="623FD9EF">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QFL-3S型</w:t>
                  </w:r>
                </w:p>
              </w:tc>
              <w:tc>
                <w:tcPr>
                  <w:tcW w:w="796" w:type="pct"/>
                  <w:noWrap w:val="0"/>
                  <w:vAlign w:val="center"/>
                </w:tcPr>
                <w:p w14:paraId="6273D363">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1台</w:t>
                  </w:r>
                </w:p>
              </w:tc>
              <w:tc>
                <w:tcPr>
                  <w:tcW w:w="1044" w:type="pct"/>
                  <w:noWrap w:val="0"/>
                  <w:vAlign w:val="center"/>
                </w:tcPr>
                <w:p w14:paraId="36D6053A">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47604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6" w:type="pct"/>
                  <w:noWrap w:val="0"/>
                  <w:vAlign w:val="center"/>
                </w:tcPr>
                <w:p w14:paraId="190ED800">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8</w:t>
                  </w:r>
                </w:p>
              </w:tc>
              <w:tc>
                <w:tcPr>
                  <w:tcW w:w="1346" w:type="pct"/>
                  <w:noWrap w:val="0"/>
                  <w:vAlign w:val="center"/>
                </w:tcPr>
                <w:p w14:paraId="42A24161">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eastAsia="zh-CN"/>
                      <w14:textFill>
                        <w14:solidFill>
                          <w14:schemeClr w14:val="tx1"/>
                        </w14:solidFill>
                      </w14:textFill>
                    </w:rPr>
                    <w:t>液化石油气钢瓶</w:t>
                  </w:r>
                  <w:r>
                    <w:rPr>
                      <w:rFonts w:hint="default" w:ascii="Times New Roman" w:hAnsi="Times New Roman" w:cs="Times New Roman"/>
                      <w:color w:val="000000" w:themeColor="text1"/>
                      <w:szCs w:val="21"/>
                      <w:highlight w:val="none"/>
                      <w14:textFill>
                        <w14:solidFill>
                          <w14:schemeClr w14:val="tx1"/>
                        </w14:solidFill>
                      </w14:textFill>
                    </w:rPr>
                    <w:t>气密性测试机</w:t>
                  </w:r>
                </w:p>
              </w:tc>
              <w:tc>
                <w:tcPr>
                  <w:tcW w:w="1235" w:type="pct"/>
                  <w:noWrap w:val="0"/>
                  <w:vAlign w:val="center"/>
                </w:tcPr>
                <w:p w14:paraId="5381512F">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YQ-2F/6型</w:t>
                  </w:r>
                </w:p>
              </w:tc>
              <w:tc>
                <w:tcPr>
                  <w:tcW w:w="796" w:type="pct"/>
                  <w:noWrap w:val="0"/>
                  <w:vAlign w:val="center"/>
                </w:tcPr>
                <w:p w14:paraId="4056F5AC">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1台</w:t>
                  </w:r>
                </w:p>
              </w:tc>
              <w:tc>
                <w:tcPr>
                  <w:tcW w:w="1044" w:type="pct"/>
                  <w:noWrap w:val="0"/>
                  <w:vAlign w:val="center"/>
                </w:tcPr>
                <w:p w14:paraId="039B4521">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2083E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6" w:type="pct"/>
                  <w:noWrap w:val="0"/>
                  <w:vAlign w:val="center"/>
                </w:tcPr>
                <w:p w14:paraId="3D0764CC">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9</w:t>
                  </w:r>
                </w:p>
              </w:tc>
              <w:tc>
                <w:tcPr>
                  <w:tcW w:w="1346" w:type="pct"/>
                  <w:noWrap w:val="0"/>
                  <w:vAlign w:val="center"/>
                </w:tcPr>
                <w:p w14:paraId="3B04A055">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双面</w:t>
                  </w:r>
                  <w:r>
                    <w:rPr>
                      <w:rFonts w:hint="default" w:ascii="Times New Roman" w:hAnsi="Times New Roman" w:cs="Times New Roman"/>
                      <w:color w:val="000000" w:themeColor="text1"/>
                      <w:szCs w:val="21"/>
                      <w:lang w:eastAsia="zh-CN"/>
                      <w14:textFill>
                        <w14:solidFill>
                          <w14:schemeClr w14:val="tx1"/>
                        </w14:solidFill>
                      </w14:textFill>
                    </w:rPr>
                    <w:t>刷</w:t>
                  </w:r>
                  <w:r>
                    <w:rPr>
                      <w:rFonts w:hint="default" w:ascii="Times New Roman" w:hAnsi="Times New Roman" w:cs="Times New Roman"/>
                      <w:color w:val="000000" w:themeColor="text1"/>
                      <w:szCs w:val="21"/>
                      <w14:textFill>
                        <w14:solidFill>
                          <w14:schemeClr w14:val="tx1"/>
                        </w14:solidFill>
                      </w14:textFill>
                    </w:rPr>
                    <w:t>字</w:t>
                  </w:r>
                  <w:r>
                    <w:rPr>
                      <w:rFonts w:hint="default" w:ascii="Times New Roman" w:hAnsi="Times New Roman" w:cs="Times New Roman"/>
                      <w:color w:val="000000" w:themeColor="text1"/>
                      <w:szCs w:val="21"/>
                      <w:lang w:eastAsia="zh-CN"/>
                      <w14:textFill>
                        <w14:solidFill>
                          <w14:schemeClr w14:val="tx1"/>
                        </w14:solidFill>
                      </w14:textFill>
                    </w:rPr>
                    <w:t>设备</w:t>
                  </w:r>
                </w:p>
              </w:tc>
              <w:tc>
                <w:tcPr>
                  <w:tcW w:w="1235" w:type="pct"/>
                  <w:noWrap w:val="0"/>
                  <w:vAlign w:val="center"/>
                </w:tcPr>
                <w:p w14:paraId="4820565D">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p>
              </w:tc>
              <w:tc>
                <w:tcPr>
                  <w:tcW w:w="796" w:type="pct"/>
                  <w:noWrap w:val="0"/>
                  <w:vAlign w:val="center"/>
                </w:tcPr>
                <w:p w14:paraId="0B5901A3">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1套</w:t>
                  </w:r>
                </w:p>
              </w:tc>
              <w:tc>
                <w:tcPr>
                  <w:tcW w:w="1044" w:type="pct"/>
                  <w:noWrap w:val="0"/>
                  <w:vAlign w:val="center"/>
                </w:tcPr>
                <w:p w14:paraId="7B2B5D54">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2073F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6" w:type="pct"/>
                  <w:noWrap w:val="0"/>
                  <w:vAlign w:val="center"/>
                </w:tcPr>
                <w:p w14:paraId="15CF6352">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w:t>
                  </w:r>
                </w:p>
              </w:tc>
              <w:tc>
                <w:tcPr>
                  <w:tcW w:w="1346" w:type="pct"/>
                  <w:noWrap w:val="0"/>
                  <w:vAlign w:val="center"/>
                </w:tcPr>
                <w:p w14:paraId="29FD0057">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空压机</w:t>
                  </w:r>
                </w:p>
              </w:tc>
              <w:tc>
                <w:tcPr>
                  <w:tcW w:w="1235" w:type="pct"/>
                  <w:noWrap w:val="0"/>
                  <w:vAlign w:val="center"/>
                </w:tcPr>
                <w:p w14:paraId="4D7C3557">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w:t>
                  </w:r>
                  <w:r>
                    <w:rPr>
                      <w:rFonts w:hint="default" w:ascii="Times New Roman" w:hAnsi="Times New Roman" w:cs="Times New Roman"/>
                      <w:color w:val="000000" w:themeColor="text1"/>
                      <w:szCs w:val="21"/>
                      <w14:textFill>
                        <w14:solidFill>
                          <w14:schemeClr w14:val="tx1"/>
                        </w14:solidFill>
                      </w14:textFill>
                    </w:rPr>
                    <w:t>/8型</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2/25型</w:t>
                  </w:r>
                </w:p>
              </w:tc>
              <w:tc>
                <w:tcPr>
                  <w:tcW w:w="796" w:type="pct"/>
                  <w:noWrap w:val="0"/>
                  <w:vAlign w:val="center"/>
                </w:tcPr>
                <w:p w14:paraId="66E914A0">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台</w:t>
                  </w:r>
                </w:p>
              </w:tc>
              <w:tc>
                <w:tcPr>
                  <w:tcW w:w="1044" w:type="pct"/>
                  <w:noWrap w:val="0"/>
                  <w:vAlign w:val="center"/>
                </w:tcPr>
                <w:p w14:paraId="37057DD6">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r>
            <w:tr w14:paraId="7E851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6" w:type="pct"/>
                  <w:noWrap w:val="0"/>
                  <w:vAlign w:val="center"/>
                </w:tcPr>
                <w:p w14:paraId="2A6869EC">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11</w:t>
                  </w:r>
                </w:p>
              </w:tc>
              <w:tc>
                <w:tcPr>
                  <w:tcW w:w="1346" w:type="pct"/>
                  <w:noWrap w:val="0"/>
                  <w:vAlign w:val="center"/>
                </w:tcPr>
                <w:p w14:paraId="09BF510D">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高压储气罐</w:t>
                  </w:r>
                </w:p>
              </w:tc>
              <w:tc>
                <w:tcPr>
                  <w:tcW w:w="1235" w:type="pct"/>
                  <w:noWrap w:val="0"/>
                  <w:vAlign w:val="center"/>
                </w:tcPr>
                <w:p w14:paraId="7C6863E4">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2个</w:t>
                  </w:r>
                  <w:r>
                    <w:rPr>
                      <w:rFonts w:hint="default" w:ascii="Times New Roman" w:hAnsi="Times New Roman" w:cs="Times New Roman"/>
                      <w:color w:val="000000" w:themeColor="text1"/>
                      <w:szCs w:val="21"/>
                      <w:lang w:val="en-US" w:eastAsia="zh-CN"/>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/8型</w:t>
                  </w:r>
                  <w:r>
                    <w:rPr>
                      <w:rFonts w:hint="default" w:ascii="Times New Roman" w:hAnsi="Times New Roman" w:cs="Times New Roman"/>
                      <w:color w:val="000000" w:themeColor="text1"/>
                      <w:szCs w:val="21"/>
                      <w:lang w:val="en-US" w:eastAsia="zh-CN"/>
                      <w14:textFill>
                        <w14:solidFill>
                          <w14:schemeClr w14:val="tx1"/>
                        </w14:solidFill>
                      </w14:textFill>
                    </w:rPr>
                    <w:t>（容积2m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Cs w:val="21"/>
                      <w:lang w:val="en-US" w:eastAsia="zh-CN"/>
                      <w14:textFill>
                        <w14:solidFill>
                          <w14:schemeClr w14:val="tx1"/>
                        </w14:solidFill>
                      </w14:textFill>
                    </w:rPr>
                    <w:t>/压力8kg）、</w:t>
                  </w:r>
                  <w:r>
                    <w:rPr>
                      <w:rFonts w:hint="eastAsia" w:cs="Times New Roman"/>
                      <w:color w:val="000000" w:themeColor="text1"/>
                      <w:szCs w:val="21"/>
                      <w:lang w:val="en-US" w:eastAsia="zh-CN"/>
                      <w14:textFill>
                        <w14:solidFill>
                          <w14:schemeClr w14:val="tx1"/>
                        </w14:solidFill>
                      </w14:textFill>
                    </w:rPr>
                    <w:t>1个</w:t>
                  </w:r>
                  <w:r>
                    <w:rPr>
                      <w:rFonts w:hint="default" w:ascii="Times New Roman" w:hAnsi="Times New Roman" w:cs="Times New Roman"/>
                      <w:color w:val="000000" w:themeColor="text1"/>
                      <w:szCs w:val="21"/>
                      <w:lang w:val="en-US" w:eastAsia="zh-CN"/>
                      <w14:textFill>
                        <w14:solidFill>
                          <w14:schemeClr w14:val="tx1"/>
                        </w14:solidFill>
                      </w14:textFill>
                    </w:rPr>
                    <w:t>2/25型（容积2m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Cs w:val="21"/>
                      <w:lang w:val="en-US" w:eastAsia="zh-CN"/>
                      <w14:textFill>
                        <w14:solidFill>
                          <w14:schemeClr w14:val="tx1"/>
                        </w14:solidFill>
                      </w14:textFill>
                    </w:rPr>
                    <w:t>/压力25kg）</w:t>
                  </w:r>
                </w:p>
              </w:tc>
              <w:tc>
                <w:tcPr>
                  <w:tcW w:w="796" w:type="pct"/>
                  <w:noWrap w:val="0"/>
                  <w:vAlign w:val="center"/>
                </w:tcPr>
                <w:p w14:paraId="479F6F44">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个</w:t>
                  </w:r>
                </w:p>
              </w:tc>
              <w:tc>
                <w:tcPr>
                  <w:tcW w:w="1044" w:type="pct"/>
                  <w:noWrap w:val="0"/>
                  <w:vAlign w:val="center"/>
                </w:tcPr>
                <w:p w14:paraId="22431F84">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为空压机配套设备，主要用于存气缓冲，同时起稳定系统压力的作用，避免空压机频繁加卸载和除掉大部分的液态水。</w:t>
                  </w:r>
                </w:p>
              </w:tc>
            </w:tr>
            <w:tr w14:paraId="53B19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6" w:type="pct"/>
                  <w:noWrap w:val="0"/>
                  <w:vAlign w:val="center"/>
                </w:tcPr>
                <w:p w14:paraId="5E31047A">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p>
              </w:tc>
              <w:tc>
                <w:tcPr>
                  <w:tcW w:w="1346" w:type="pct"/>
                  <w:noWrap w:val="0"/>
                  <w:vAlign w:val="center"/>
                </w:tcPr>
                <w:p w14:paraId="4A14B693">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真空泵</w:t>
                  </w:r>
                </w:p>
              </w:tc>
              <w:tc>
                <w:tcPr>
                  <w:tcW w:w="1235" w:type="pct"/>
                  <w:noWrap w:val="0"/>
                  <w:vAlign w:val="center"/>
                </w:tcPr>
                <w:p w14:paraId="06410E4E">
                  <w:pPr>
                    <w:pStyle w:val="123"/>
                    <w:pageBreakBefore w:val="0"/>
                    <w:kinsoku/>
                    <w:overflowPunct/>
                    <w:topLinePunct w:val="0"/>
                    <w:bidi w:val="0"/>
                    <w:spacing w:before="0" w:after="0"/>
                    <w:ind w:left="0" w:leftChars="0" w:right="0" w:right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2X-15型</w:t>
                  </w:r>
                </w:p>
              </w:tc>
              <w:tc>
                <w:tcPr>
                  <w:tcW w:w="796" w:type="pct"/>
                  <w:noWrap w:val="0"/>
                  <w:vAlign w:val="center"/>
                </w:tcPr>
                <w:p w14:paraId="7ACA59D4">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1台</w:t>
                  </w:r>
                </w:p>
              </w:tc>
              <w:tc>
                <w:tcPr>
                  <w:tcW w:w="1044" w:type="pct"/>
                  <w:noWrap w:val="0"/>
                  <w:vAlign w:val="center"/>
                </w:tcPr>
                <w:p w14:paraId="348A252C">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560B5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76" w:type="pct"/>
                  <w:noWrap w:val="0"/>
                  <w:vAlign w:val="center"/>
                </w:tcPr>
                <w:p w14:paraId="4B4250CC">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13</w:t>
                  </w:r>
                </w:p>
              </w:tc>
              <w:tc>
                <w:tcPr>
                  <w:tcW w:w="1346" w:type="pct"/>
                  <w:noWrap w:val="0"/>
                  <w:vAlign w:val="center"/>
                </w:tcPr>
                <w:p w14:paraId="177A4A5E">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检验标识激光打标机</w:t>
                  </w:r>
                </w:p>
              </w:tc>
              <w:tc>
                <w:tcPr>
                  <w:tcW w:w="1235" w:type="pct"/>
                  <w:noWrap w:val="0"/>
                  <w:vAlign w:val="center"/>
                </w:tcPr>
                <w:p w14:paraId="2B5DE887">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796" w:type="pct"/>
                  <w:noWrap w:val="0"/>
                  <w:vAlign w:val="center"/>
                </w:tcPr>
                <w:p w14:paraId="3B8C50AB">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1台</w:t>
                  </w:r>
                </w:p>
              </w:tc>
              <w:tc>
                <w:tcPr>
                  <w:tcW w:w="1044" w:type="pct"/>
                  <w:noWrap w:val="0"/>
                  <w:vAlign w:val="center"/>
                </w:tcPr>
                <w:p w14:paraId="1D4D52B1">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144A4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76" w:type="pct"/>
                  <w:noWrap w:val="0"/>
                  <w:vAlign w:val="center"/>
                </w:tcPr>
                <w:p w14:paraId="5F05F0A0">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14</w:t>
                  </w:r>
                </w:p>
              </w:tc>
              <w:tc>
                <w:tcPr>
                  <w:tcW w:w="1346" w:type="pct"/>
                  <w:noWrap w:val="0"/>
                  <w:vAlign w:val="center"/>
                </w:tcPr>
                <w:p w14:paraId="0491EC2E">
                  <w:pPr>
                    <w:pStyle w:val="123"/>
                    <w:pageBreakBefore w:val="0"/>
                    <w:kinsoku/>
                    <w:overflowPunct/>
                    <w:topLinePunct w:val="0"/>
                    <w:bidi w:val="0"/>
                    <w:spacing w:before="0" w:after="0"/>
                    <w:ind w:left="0" w:leftChars="0" w:right="0" w:rightChars="0"/>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液化石油气钢瓶</w:t>
                  </w:r>
                  <w:r>
                    <w:rPr>
                      <w:rFonts w:hint="default" w:ascii="Times New Roman" w:hAnsi="Times New Roman" w:cs="Times New Roman"/>
                      <w:color w:val="000000" w:themeColor="text1"/>
                      <w:szCs w:val="21"/>
                      <w:highlight w:val="none"/>
                      <w:lang w:val="en-US" w:eastAsia="zh-CN"/>
                      <w14:textFill>
                        <w14:solidFill>
                          <w14:schemeClr w14:val="tx1"/>
                        </w14:solidFill>
                      </w14:textFill>
                    </w:rPr>
                    <w:t>判废压扁机</w:t>
                  </w:r>
                </w:p>
              </w:tc>
              <w:tc>
                <w:tcPr>
                  <w:tcW w:w="1235" w:type="pct"/>
                  <w:noWrap w:val="0"/>
                  <w:vAlign w:val="center"/>
                </w:tcPr>
                <w:p w14:paraId="4653EF3B">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796" w:type="pct"/>
                  <w:noWrap w:val="0"/>
                  <w:vAlign w:val="center"/>
                </w:tcPr>
                <w:p w14:paraId="5E2422CA">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1台</w:t>
                  </w:r>
                </w:p>
              </w:tc>
              <w:tc>
                <w:tcPr>
                  <w:tcW w:w="1044" w:type="pct"/>
                  <w:noWrap w:val="0"/>
                  <w:vAlign w:val="center"/>
                </w:tcPr>
                <w:p w14:paraId="2EF4AB33">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47F03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6" w:type="pct"/>
                  <w:noWrap w:val="0"/>
                  <w:vAlign w:val="center"/>
                </w:tcPr>
                <w:p w14:paraId="2BC02CF3">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w:t>
                  </w:r>
                </w:p>
              </w:tc>
              <w:tc>
                <w:tcPr>
                  <w:tcW w:w="1346" w:type="pct"/>
                  <w:noWrap w:val="0"/>
                  <w:vAlign w:val="center"/>
                </w:tcPr>
                <w:p w14:paraId="5B26E9E7">
                  <w:pPr>
                    <w:pStyle w:val="123"/>
                    <w:pageBreakBefore w:val="0"/>
                    <w:kinsoku/>
                    <w:overflowPunct/>
                    <w:topLinePunct w:val="0"/>
                    <w:bidi w:val="0"/>
                    <w:spacing w:before="0" w:after="0"/>
                    <w:ind w:left="0" w:leftChars="0" w:right="0" w:right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残气残液燃烧系统</w:t>
                  </w:r>
                </w:p>
              </w:tc>
              <w:tc>
                <w:tcPr>
                  <w:tcW w:w="1235" w:type="pct"/>
                  <w:noWrap w:val="0"/>
                  <w:vAlign w:val="center"/>
                </w:tcPr>
                <w:p w14:paraId="58E0A5FF">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796" w:type="pct"/>
                  <w:noWrap w:val="0"/>
                  <w:vAlign w:val="center"/>
                </w:tcPr>
                <w:p w14:paraId="2BBC9BD5">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1套</w:t>
                  </w:r>
                </w:p>
              </w:tc>
              <w:tc>
                <w:tcPr>
                  <w:tcW w:w="1044" w:type="pct"/>
                  <w:noWrap w:val="0"/>
                  <w:vAlign w:val="center"/>
                </w:tcPr>
                <w:p w14:paraId="72A544D1">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用于烘干固化环节</w:t>
                  </w:r>
                </w:p>
              </w:tc>
            </w:tr>
            <w:tr w14:paraId="7842D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6" w:type="pct"/>
                  <w:noWrap w:val="0"/>
                  <w:vAlign w:val="center"/>
                </w:tcPr>
                <w:p w14:paraId="004805EB">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16</w:t>
                  </w:r>
                </w:p>
              </w:tc>
              <w:tc>
                <w:tcPr>
                  <w:tcW w:w="1346" w:type="pct"/>
                  <w:noWrap w:val="0"/>
                  <w:vAlign w:val="center"/>
                </w:tcPr>
                <w:p w14:paraId="5631DE67">
                  <w:pPr>
                    <w:pStyle w:val="123"/>
                    <w:pageBreakBefore w:val="0"/>
                    <w:kinsoku/>
                    <w:overflowPunct/>
                    <w:topLinePunct w:val="0"/>
                    <w:bidi w:val="0"/>
                    <w:spacing w:before="0" w:after="0"/>
                    <w:ind w:left="0" w:leftChars="0" w:right="0" w:rightChars="0"/>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旋风+布袋+喷淋</w:t>
                  </w:r>
                  <w:r>
                    <w:rPr>
                      <w:rFonts w:hint="default" w:ascii="Times New Roman" w:hAnsi="Times New Roman" w:eastAsia="宋体" w:cs="Times New Roman"/>
                      <w:color w:val="000000" w:themeColor="text1"/>
                      <w:lang w:val="en-US" w:eastAsia="zh-CN"/>
                      <w14:textFill>
                        <w14:solidFill>
                          <w14:schemeClr w14:val="tx1"/>
                        </w14:solidFill>
                      </w14:textFill>
                    </w:rPr>
                    <w:t>”除尘设置</w:t>
                  </w:r>
                </w:p>
              </w:tc>
              <w:tc>
                <w:tcPr>
                  <w:tcW w:w="1235" w:type="pct"/>
                  <w:noWrap w:val="0"/>
                  <w:vAlign w:val="center"/>
                </w:tcPr>
                <w:p w14:paraId="7D1EFA1F">
                  <w:pPr>
                    <w:pStyle w:val="123"/>
                    <w:pageBreakBefore w:val="0"/>
                    <w:kinsoku/>
                    <w:overflowPunct/>
                    <w:topLinePunct w:val="0"/>
                    <w:bidi w:val="0"/>
                    <w:spacing w:before="0" w:after="0"/>
                    <w:ind w:left="0" w:leftChars="0" w:right="0" w:rightChars="0"/>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796" w:type="pct"/>
                  <w:noWrap w:val="0"/>
                  <w:vAlign w:val="center"/>
                </w:tcPr>
                <w:p w14:paraId="74D2B539">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1套</w:t>
                  </w:r>
                </w:p>
              </w:tc>
              <w:tc>
                <w:tcPr>
                  <w:tcW w:w="1044" w:type="pct"/>
                  <w:noWrap w:val="0"/>
                  <w:vAlign w:val="center"/>
                </w:tcPr>
                <w:p w14:paraId="2E72858B">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焚烧环节废气处置</w:t>
                  </w:r>
                </w:p>
              </w:tc>
            </w:tr>
            <w:tr w14:paraId="561EB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6" w:type="pct"/>
                  <w:noWrap w:val="0"/>
                  <w:vAlign w:val="center"/>
                </w:tcPr>
                <w:p w14:paraId="40AF6E14">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17</w:t>
                  </w:r>
                </w:p>
              </w:tc>
              <w:tc>
                <w:tcPr>
                  <w:tcW w:w="1346" w:type="pct"/>
                  <w:noWrap w:val="0"/>
                  <w:vAlign w:val="center"/>
                </w:tcPr>
                <w:p w14:paraId="50792C9C">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脉冲滤筒除尘设施</w:t>
                  </w:r>
                </w:p>
              </w:tc>
              <w:tc>
                <w:tcPr>
                  <w:tcW w:w="1235" w:type="pct"/>
                  <w:noWrap w:val="0"/>
                  <w:vAlign w:val="center"/>
                </w:tcPr>
                <w:p w14:paraId="1341BB08">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796" w:type="pct"/>
                  <w:noWrap w:val="0"/>
                  <w:vAlign w:val="center"/>
                </w:tcPr>
                <w:p w14:paraId="46DC954F">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2套</w:t>
                  </w:r>
                </w:p>
              </w:tc>
              <w:tc>
                <w:tcPr>
                  <w:tcW w:w="1044" w:type="pct"/>
                  <w:noWrap w:val="0"/>
                  <w:vAlign w:val="center"/>
                </w:tcPr>
                <w:p w14:paraId="168685FA">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抛丸除锈环节、喷塑环节废气处置</w:t>
                  </w:r>
                </w:p>
              </w:tc>
            </w:tr>
            <w:tr w14:paraId="3BBE7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6" w:type="pct"/>
                  <w:noWrap w:val="0"/>
                  <w:vAlign w:val="center"/>
                </w:tcPr>
                <w:p w14:paraId="10F9D6E1">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18</w:t>
                  </w:r>
                </w:p>
              </w:tc>
              <w:tc>
                <w:tcPr>
                  <w:tcW w:w="1346" w:type="pct"/>
                  <w:noWrap w:val="0"/>
                  <w:vAlign w:val="center"/>
                </w:tcPr>
                <w:p w14:paraId="52C038E7">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风机</w:t>
                  </w:r>
                </w:p>
              </w:tc>
              <w:tc>
                <w:tcPr>
                  <w:tcW w:w="1235" w:type="pct"/>
                  <w:noWrap w:val="0"/>
                  <w:vAlign w:val="center"/>
                </w:tcPr>
                <w:p w14:paraId="3CAE5747">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796" w:type="pct"/>
                  <w:noWrap w:val="0"/>
                  <w:vAlign w:val="center"/>
                </w:tcPr>
                <w:p w14:paraId="6A6CB3F8">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4台</w:t>
                  </w:r>
                </w:p>
              </w:tc>
              <w:tc>
                <w:tcPr>
                  <w:tcW w:w="1044" w:type="pct"/>
                  <w:noWrap w:val="0"/>
                  <w:vAlign w:val="center"/>
                </w:tcPr>
                <w:p w14:paraId="03B9E3C5">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r>
          </w:tbl>
          <w:p w14:paraId="2A1CE929">
            <w:pPr>
              <w:pStyle w:val="8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auto"/>
              <w:rPr>
                <w:rFonts w:hint="default" w:ascii="Times New Roman" w:hAnsi="Times New Roman" w:cs="Times New Roman"/>
                <w:b/>
                <w:bCs/>
                <w:snapToGrid w:val="0"/>
                <w:color w:val="000000" w:themeColor="text1"/>
                <w:sz w:val="24"/>
                <w:szCs w:val="24"/>
                <w:lang w:val="en-US" w:eastAsia="zh-CN"/>
                <w14:textFill>
                  <w14:solidFill>
                    <w14:schemeClr w14:val="tx1"/>
                  </w14:solidFill>
                </w14:textFill>
              </w:rPr>
            </w:pPr>
            <w:r>
              <w:rPr>
                <w:rFonts w:hint="default" w:ascii="Times New Roman" w:hAnsi="Times New Roman" w:cs="Times New Roman"/>
                <w:b/>
                <w:bCs/>
                <w:snapToGrid w:val="0"/>
                <w:color w:val="000000" w:themeColor="text1"/>
                <w:sz w:val="24"/>
                <w:szCs w:val="24"/>
                <w:lang w:val="en-US" w:eastAsia="zh-CN"/>
                <w14:textFill>
                  <w14:solidFill>
                    <w14:schemeClr w14:val="tx1"/>
                  </w14:solidFill>
                </w14:textFill>
              </w:rPr>
              <w:t>6、原辅材料消耗</w:t>
            </w:r>
          </w:p>
          <w:p w14:paraId="07F76B5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000000" w:themeColor="text1"/>
                <w:sz w:val="24"/>
                <w:szCs w:val="32"/>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lang w:val="en-US" w:eastAsia="zh-CN"/>
                <w14:textFill>
                  <w14:solidFill>
                    <w14:schemeClr w14:val="tx1"/>
                  </w14:solidFill>
                </w14:textFill>
              </w:rPr>
              <w:t>根据项目规划及业主提供的资料，本项目各原辅材料用量详见下表2-4。</w:t>
            </w:r>
          </w:p>
          <w:p w14:paraId="21B6951A">
            <w:pPr>
              <w:pStyle w:val="89"/>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bCs/>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sz w:val="21"/>
                <w:szCs w:val="21"/>
                <w:lang w:val="en-US" w:eastAsia="zh-CN"/>
                <w14:textFill>
                  <w14:solidFill>
                    <w14:schemeClr w14:val="tx1"/>
                  </w14:solidFill>
                </w14:textFill>
              </w:rPr>
              <w:t>表2-4项目原辅材料及用量</w:t>
            </w:r>
          </w:p>
          <w:tbl>
            <w:tblPr>
              <w:tblStyle w:val="33"/>
              <w:tblW w:w="4997"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731"/>
              <w:gridCol w:w="2025"/>
              <w:gridCol w:w="2084"/>
              <w:gridCol w:w="3554"/>
            </w:tblGrid>
            <w:tr w14:paraId="32C7E84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41" w:type="pct"/>
                  <w:gridSpan w:val="2"/>
                  <w:tcBorders>
                    <w:tl2br w:val="nil"/>
                    <w:tr2bl w:val="nil"/>
                  </w:tcBorders>
                  <w:noWrap w:val="0"/>
                  <w:vAlign w:val="center"/>
                </w:tcPr>
                <w:p w14:paraId="12FA1EA8">
                  <w:pPr>
                    <w:pStyle w:val="123"/>
                    <w:pageBreakBefore w:val="0"/>
                    <w:kinsoku/>
                    <w:overflowPunct/>
                    <w:topLinePunct w:val="0"/>
                    <w:bidi w:val="0"/>
                    <w:spacing w:before="0" w:after="0"/>
                    <w:ind w:left="0" w:leftChars="0" w:right="0"/>
                    <w:rPr>
                      <w:rFonts w:hint="default" w:ascii="Times New Roman" w:hAnsi="Times New Roman" w:eastAsia="宋体" w:cs="Times New Roman"/>
                      <w:b/>
                      <w:bCs w:val="0"/>
                      <w:color w:val="000000" w:themeColor="text1"/>
                      <w:lang w:val="en-US" w:eastAsia="zh-CN"/>
                      <w14:textFill>
                        <w14:solidFill>
                          <w14:schemeClr w14:val="tx1"/>
                        </w14:solidFill>
                      </w14:textFill>
                    </w:rPr>
                  </w:pPr>
                  <w:r>
                    <w:rPr>
                      <w:rFonts w:hint="default" w:ascii="Times New Roman" w:hAnsi="Times New Roman" w:eastAsia="宋体" w:cs="Times New Roman"/>
                      <w:b/>
                      <w:bCs w:val="0"/>
                      <w:color w:val="000000" w:themeColor="text1"/>
                      <w:lang w:val="en-US" w:eastAsia="zh-CN"/>
                      <w14:textFill>
                        <w14:solidFill>
                          <w14:schemeClr w14:val="tx1"/>
                        </w14:solidFill>
                      </w14:textFill>
                    </w:rPr>
                    <w:t>项目名称</w:t>
                  </w:r>
                </w:p>
              </w:tc>
              <w:tc>
                <w:tcPr>
                  <w:tcW w:w="1241" w:type="pct"/>
                  <w:tcBorders>
                    <w:tl2br w:val="nil"/>
                    <w:tr2bl w:val="nil"/>
                  </w:tcBorders>
                  <w:noWrap w:val="0"/>
                  <w:vAlign w:val="center"/>
                </w:tcPr>
                <w:p w14:paraId="071AD7E9">
                  <w:pPr>
                    <w:pStyle w:val="123"/>
                    <w:pageBreakBefore w:val="0"/>
                    <w:kinsoku/>
                    <w:overflowPunct/>
                    <w:topLinePunct w:val="0"/>
                    <w:bidi w:val="0"/>
                    <w:spacing w:before="0" w:after="0"/>
                    <w:ind w:left="0" w:leftChars="0" w:right="0"/>
                    <w:rPr>
                      <w:rFonts w:hint="default" w:ascii="Times New Roman" w:hAnsi="Times New Roman" w:eastAsia="宋体" w:cs="Times New Roman"/>
                      <w:b/>
                      <w:bCs w:val="0"/>
                      <w:color w:val="000000" w:themeColor="text1"/>
                      <w:lang w:val="en-US" w:eastAsia="zh-CN"/>
                      <w14:textFill>
                        <w14:solidFill>
                          <w14:schemeClr w14:val="tx1"/>
                        </w14:solidFill>
                      </w14:textFill>
                    </w:rPr>
                  </w:pPr>
                  <w:r>
                    <w:rPr>
                      <w:rFonts w:hint="default" w:ascii="Times New Roman" w:hAnsi="Times New Roman" w:cs="Times New Roman"/>
                      <w:b/>
                      <w:bCs w:val="0"/>
                      <w:color w:val="000000" w:themeColor="text1"/>
                      <w:lang w:val="en-US" w:eastAsia="zh-CN"/>
                      <w14:textFill>
                        <w14:solidFill>
                          <w14:schemeClr w14:val="tx1"/>
                        </w14:solidFill>
                      </w14:textFill>
                    </w:rPr>
                    <w:t>用量</w:t>
                  </w:r>
                </w:p>
              </w:tc>
              <w:tc>
                <w:tcPr>
                  <w:tcW w:w="2116" w:type="pct"/>
                  <w:tcBorders>
                    <w:tl2br w:val="nil"/>
                    <w:tr2bl w:val="nil"/>
                  </w:tcBorders>
                  <w:noWrap w:val="0"/>
                  <w:vAlign w:val="center"/>
                </w:tcPr>
                <w:p w14:paraId="50A1525C">
                  <w:pPr>
                    <w:pStyle w:val="123"/>
                    <w:pageBreakBefore w:val="0"/>
                    <w:kinsoku/>
                    <w:overflowPunct/>
                    <w:topLinePunct w:val="0"/>
                    <w:bidi w:val="0"/>
                    <w:spacing w:before="0" w:after="0"/>
                    <w:ind w:left="0" w:leftChars="0" w:right="0"/>
                    <w:rPr>
                      <w:rFonts w:hint="default" w:ascii="Times New Roman" w:hAnsi="Times New Roman" w:eastAsia="宋体" w:cs="Times New Roman"/>
                      <w:b/>
                      <w:bCs w:val="0"/>
                      <w:color w:val="000000" w:themeColor="text1"/>
                      <w:lang w:val="en-US" w:eastAsia="zh-CN"/>
                      <w14:textFill>
                        <w14:solidFill>
                          <w14:schemeClr w14:val="tx1"/>
                        </w14:solidFill>
                      </w14:textFill>
                    </w:rPr>
                  </w:pPr>
                  <w:r>
                    <w:rPr>
                      <w:rFonts w:hint="default" w:ascii="Times New Roman" w:hAnsi="Times New Roman" w:eastAsia="宋体" w:cs="Times New Roman"/>
                      <w:b/>
                      <w:bCs w:val="0"/>
                      <w:color w:val="000000" w:themeColor="text1"/>
                      <w:lang w:val="en-US" w:eastAsia="zh-CN"/>
                      <w14:textFill>
                        <w14:solidFill>
                          <w14:schemeClr w14:val="tx1"/>
                        </w14:solidFill>
                      </w14:textFill>
                    </w:rPr>
                    <w:t>备注</w:t>
                  </w:r>
                </w:p>
              </w:tc>
            </w:tr>
            <w:tr w14:paraId="2A2725E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35" w:type="pct"/>
                  <w:vMerge w:val="restart"/>
                  <w:tcBorders>
                    <w:tl2br w:val="nil"/>
                    <w:tr2bl w:val="nil"/>
                  </w:tcBorders>
                  <w:noWrap w:val="0"/>
                  <w:vAlign w:val="center"/>
                </w:tcPr>
                <w:p w14:paraId="6BDF2BB7">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液化石油气钢瓶</w:t>
                  </w:r>
                </w:p>
              </w:tc>
              <w:tc>
                <w:tcPr>
                  <w:tcW w:w="1206" w:type="pct"/>
                  <w:tcBorders>
                    <w:tl2br w:val="nil"/>
                    <w:tr2bl w:val="nil"/>
                  </w:tcBorders>
                  <w:noWrap w:val="0"/>
                  <w:vAlign w:val="center"/>
                </w:tcPr>
                <w:p w14:paraId="79B17AA5">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10kg（12L）液化石油气钢瓶</w:t>
                  </w:r>
                </w:p>
              </w:tc>
              <w:tc>
                <w:tcPr>
                  <w:tcW w:w="1241" w:type="pct"/>
                  <w:tcBorders>
                    <w:tl2br w:val="nil"/>
                    <w:tr2bl w:val="nil"/>
                  </w:tcBorders>
                  <w:noWrap w:val="0"/>
                  <w:vAlign w:val="center"/>
                </w:tcPr>
                <w:p w14:paraId="40968852">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万只</w:t>
                  </w:r>
                  <w:r>
                    <w:rPr>
                      <w:rFonts w:hint="default" w:ascii="Times New Roman" w:hAnsi="Times New Roman" w:cs="Times New Roman"/>
                      <w:color w:val="000000" w:themeColor="text1"/>
                      <w:sz w:val="21"/>
                      <w:szCs w:val="21"/>
                      <w:lang w:val="en-US" w:eastAsia="zh-CN"/>
                      <w14:textFill>
                        <w14:solidFill>
                          <w14:schemeClr w14:val="tx1"/>
                        </w14:solidFill>
                      </w14:textFill>
                    </w:rPr>
                    <w:t>/年</w:t>
                  </w:r>
                </w:p>
              </w:tc>
              <w:tc>
                <w:tcPr>
                  <w:tcW w:w="2116" w:type="pct"/>
                  <w:vMerge w:val="restart"/>
                  <w:tcBorders>
                    <w:tl2br w:val="nil"/>
                    <w:tr2bl w:val="nil"/>
                  </w:tcBorders>
                  <w:noWrap w:val="0"/>
                  <w:vAlign w:val="center"/>
                </w:tcPr>
                <w:p w14:paraId="44F8D778">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本项目年检测</w:t>
                  </w:r>
                  <w:r>
                    <w:rPr>
                      <w:rFonts w:hint="eastAsia" w:ascii="Times New Roman" w:hAnsi="Times New Roman" w:cs="Times New Roman"/>
                      <w:color w:val="000000" w:themeColor="text1"/>
                      <w:lang w:val="en-US" w:eastAsia="zh-CN"/>
                      <w14:textFill>
                        <w14:solidFill>
                          <w14:schemeClr w14:val="tx1"/>
                        </w14:solidFill>
                      </w14:textFill>
                    </w:rPr>
                    <w:t>液化石油气钢瓶</w:t>
                  </w:r>
                  <w:r>
                    <w:rPr>
                      <w:rFonts w:hint="default" w:ascii="Times New Roman" w:hAnsi="Times New Roman" w:cs="Times New Roman"/>
                      <w:color w:val="000000" w:themeColor="text1"/>
                      <w:lang w:val="en-US" w:eastAsia="zh-CN"/>
                      <w14:textFill>
                        <w14:solidFill>
                          <w14:schemeClr w14:val="tx1"/>
                        </w14:solidFill>
                      </w14:textFill>
                    </w:rPr>
                    <w:t>为30万只</w:t>
                  </w:r>
                </w:p>
              </w:tc>
            </w:tr>
            <w:tr w14:paraId="4FB71CF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35" w:type="pct"/>
                  <w:vMerge w:val="continue"/>
                  <w:tcBorders>
                    <w:tl2br w:val="nil"/>
                    <w:tr2bl w:val="nil"/>
                  </w:tcBorders>
                  <w:noWrap w:val="0"/>
                  <w:vAlign w:val="center"/>
                </w:tcPr>
                <w:p w14:paraId="34D7E00A">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p>
              </w:tc>
              <w:tc>
                <w:tcPr>
                  <w:tcW w:w="1206" w:type="pct"/>
                  <w:tcBorders>
                    <w:tl2br w:val="nil"/>
                    <w:tr2bl w:val="nil"/>
                  </w:tcBorders>
                  <w:noWrap w:val="0"/>
                  <w:vAlign w:val="center"/>
                </w:tcPr>
                <w:p w14:paraId="37F9B3C3">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15kg（35.5L）液化石油气钢瓶</w:t>
                  </w:r>
                </w:p>
              </w:tc>
              <w:tc>
                <w:tcPr>
                  <w:tcW w:w="1241" w:type="pct"/>
                  <w:tcBorders>
                    <w:tl2br w:val="nil"/>
                    <w:tr2bl w:val="nil"/>
                  </w:tcBorders>
                  <w:noWrap w:val="0"/>
                  <w:vAlign w:val="center"/>
                </w:tcPr>
                <w:p w14:paraId="6D902E4A">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万只</w:t>
                  </w:r>
                  <w:r>
                    <w:rPr>
                      <w:rFonts w:hint="default" w:ascii="Times New Roman" w:hAnsi="Times New Roman" w:cs="Times New Roman"/>
                      <w:color w:val="000000" w:themeColor="text1"/>
                      <w:sz w:val="21"/>
                      <w:szCs w:val="21"/>
                      <w:lang w:val="en-US" w:eastAsia="zh-CN"/>
                      <w14:textFill>
                        <w14:solidFill>
                          <w14:schemeClr w14:val="tx1"/>
                        </w14:solidFill>
                      </w14:textFill>
                    </w:rPr>
                    <w:t>/年</w:t>
                  </w:r>
                </w:p>
              </w:tc>
              <w:tc>
                <w:tcPr>
                  <w:tcW w:w="2116" w:type="pct"/>
                  <w:vMerge w:val="continue"/>
                  <w:tcBorders>
                    <w:tl2br w:val="nil"/>
                    <w:tr2bl w:val="nil"/>
                  </w:tcBorders>
                  <w:noWrap w:val="0"/>
                  <w:vAlign w:val="center"/>
                </w:tcPr>
                <w:p w14:paraId="139CB628">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p>
              </w:tc>
            </w:tr>
            <w:tr w14:paraId="1FF8738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35" w:type="pct"/>
                  <w:vMerge w:val="continue"/>
                  <w:tcBorders>
                    <w:tl2br w:val="nil"/>
                    <w:tr2bl w:val="nil"/>
                  </w:tcBorders>
                  <w:noWrap w:val="0"/>
                  <w:vAlign w:val="center"/>
                </w:tcPr>
                <w:p w14:paraId="43C20F36">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p>
              </w:tc>
              <w:tc>
                <w:tcPr>
                  <w:tcW w:w="1206" w:type="pct"/>
                  <w:tcBorders>
                    <w:tl2br w:val="nil"/>
                    <w:tr2bl w:val="nil"/>
                  </w:tcBorders>
                  <w:noWrap w:val="0"/>
                  <w:vAlign w:val="center"/>
                </w:tcPr>
                <w:p w14:paraId="12AF01F3">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50kg（118L）液化石油气钢瓶</w:t>
                  </w:r>
                </w:p>
              </w:tc>
              <w:tc>
                <w:tcPr>
                  <w:tcW w:w="1241" w:type="pct"/>
                  <w:tcBorders>
                    <w:tl2br w:val="nil"/>
                    <w:tr2bl w:val="nil"/>
                  </w:tcBorders>
                  <w:noWrap w:val="0"/>
                  <w:vAlign w:val="center"/>
                </w:tcPr>
                <w:p w14:paraId="5B707481">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万只</w:t>
                  </w:r>
                  <w:r>
                    <w:rPr>
                      <w:rFonts w:hint="default" w:ascii="Times New Roman" w:hAnsi="Times New Roman" w:cs="Times New Roman"/>
                      <w:color w:val="000000" w:themeColor="text1"/>
                      <w:sz w:val="21"/>
                      <w:szCs w:val="21"/>
                      <w:lang w:val="en-US" w:eastAsia="zh-CN"/>
                      <w14:textFill>
                        <w14:solidFill>
                          <w14:schemeClr w14:val="tx1"/>
                        </w14:solidFill>
                      </w14:textFill>
                    </w:rPr>
                    <w:t>/年</w:t>
                  </w:r>
                </w:p>
              </w:tc>
              <w:tc>
                <w:tcPr>
                  <w:tcW w:w="2116" w:type="pct"/>
                  <w:vMerge w:val="continue"/>
                  <w:tcBorders>
                    <w:tl2br w:val="nil"/>
                    <w:tr2bl w:val="nil"/>
                  </w:tcBorders>
                  <w:noWrap w:val="0"/>
                  <w:vAlign w:val="center"/>
                </w:tcPr>
                <w:p w14:paraId="6C268031">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p>
              </w:tc>
            </w:tr>
            <w:tr w14:paraId="76E80A2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41" w:type="pct"/>
                  <w:gridSpan w:val="2"/>
                  <w:tcBorders>
                    <w:tl2br w:val="nil"/>
                    <w:tr2bl w:val="nil"/>
                  </w:tcBorders>
                  <w:noWrap w:val="0"/>
                  <w:vAlign w:val="center"/>
                </w:tcPr>
                <w:p w14:paraId="6597AE92">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角阀</w:t>
                  </w:r>
                </w:p>
              </w:tc>
              <w:tc>
                <w:tcPr>
                  <w:tcW w:w="1241" w:type="pct"/>
                  <w:tcBorders>
                    <w:tl2br w:val="nil"/>
                    <w:tr2bl w:val="nil"/>
                  </w:tcBorders>
                  <w:noWrap w:val="0"/>
                  <w:vAlign w:val="center"/>
                </w:tcPr>
                <w:p w14:paraId="214FEC5E">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0万只</w:t>
                  </w:r>
                  <w:r>
                    <w:rPr>
                      <w:rFonts w:hint="default" w:ascii="Times New Roman" w:hAnsi="Times New Roman" w:cs="Times New Roman"/>
                      <w:color w:val="000000" w:themeColor="text1"/>
                      <w:sz w:val="21"/>
                      <w:szCs w:val="21"/>
                      <w:lang w:val="en-US" w:eastAsia="zh-CN"/>
                      <w14:textFill>
                        <w14:solidFill>
                          <w14:schemeClr w14:val="tx1"/>
                        </w14:solidFill>
                      </w14:textFill>
                    </w:rPr>
                    <w:t>/年</w:t>
                  </w:r>
                </w:p>
              </w:tc>
              <w:tc>
                <w:tcPr>
                  <w:tcW w:w="2116" w:type="pct"/>
                  <w:tcBorders>
                    <w:tl2br w:val="nil"/>
                    <w:tr2bl w:val="nil"/>
                  </w:tcBorders>
                  <w:noWrap w:val="0"/>
                  <w:vAlign w:val="center"/>
                </w:tcPr>
                <w:p w14:paraId="31D2DD1E">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外购；检测</w:t>
                  </w:r>
                  <w:r>
                    <w:rPr>
                      <w:rFonts w:hint="eastAsia" w:ascii="Times New Roman" w:hAnsi="Times New Roman" w:cs="Times New Roman"/>
                      <w:color w:val="000000" w:themeColor="text1"/>
                      <w:lang w:val="en-US" w:eastAsia="zh-CN"/>
                      <w14:textFill>
                        <w14:solidFill>
                          <w14:schemeClr w14:val="tx1"/>
                        </w14:solidFill>
                      </w14:textFill>
                    </w:rPr>
                    <w:t>液化石油气钢瓶</w:t>
                  </w:r>
                  <w:r>
                    <w:rPr>
                      <w:rFonts w:hint="default" w:ascii="Times New Roman" w:hAnsi="Times New Roman" w:cs="Times New Roman"/>
                      <w:color w:val="000000" w:themeColor="text1"/>
                      <w:lang w:val="en-US" w:eastAsia="zh-CN"/>
                      <w14:textFill>
                        <w14:solidFill>
                          <w14:schemeClr w14:val="tx1"/>
                        </w14:solidFill>
                      </w14:textFill>
                    </w:rPr>
                    <w:t>均使用外购新角阀，角阀每个约0.2kg</w:t>
                  </w:r>
                </w:p>
              </w:tc>
            </w:tr>
            <w:tr w14:paraId="19E9FCA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41" w:type="pct"/>
                  <w:gridSpan w:val="2"/>
                  <w:tcBorders>
                    <w:tl2br w:val="nil"/>
                    <w:tr2bl w:val="nil"/>
                  </w:tcBorders>
                  <w:noWrap w:val="0"/>
                  <w:vAlign w:val="center"/>
                </w:tcPr>
                <w:p w14:paraId="57E164EE">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热固型粉末</w:t>
                  </w:r>
                </w:p>
              </w:tc>
              <w:tc>
                <w:tcPr>
                  <w:tcW w:w="1241" w:type="pct"/>
                  <w:tcBorders>
                    <w:tl2br w:val="nil"/>
                    <w:tr2bl w:val="nil"/>
                  </w:tcBorders>
                  <w:noWrap w:val="0"/>
                  <w:vAlign w:val="center"/>
                </w:tcPr>
                <w:p w14:paraId="31718466">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lang w:val="en-US" w:eastAsia="zh-CN" w:bidi="ar"/>
                      <w14:textFill>
                        <w14:solidFill>
                          <w14:schemeClr w14:val="tx1"/>
                        </w14:solidFill>
                      </w14:textFill>
                    </w:rPr>
                    <w:t>14.9639t/a</w:t>
                  </w:r>
                </w:p>
              </w:tc>
              <w:tc>
                <w:tcPr>
                  <w:tcW w:w="2116" w:type="pct"/>
                  <w:tcBorders>
                    <w:tl2br w:val="nil"/>
                    <w:tr2bl w:val="nil"/>
                  </w:tcBorders>
                  <w:noWrap w:val="0"/>
                  <w:vAlign w:val="center"/>
                </w:tcPr>
                <w:p w14:paraId="6F340537">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热固型粉末主要为环氧聚酯粉末，无溶剂</w:t>
                  </w:r>
                  <w:r>
                    <w:rPr>
                      <w:rFonts w:hint="default" w:ascii="Times New Roman" w:hAnsi="Times New Roman" w:cs="Times New Roman"/>
                      <w:color w:val="000000" w:themeColor="text1"/>
                      <w:lang w:val="en-US" w:eastAsia="zh-CN"/>
                      <w14:textFill>
                        <w14:solidFill>
                          <w14:schemeClr w14:val="tx1"/>
                        </w14:solidFill>
                      </w14:textFill>
                    </w:rPr>
                    <w:t>，外购，桶装，每桶约25kg</w:t>
                  </w:r>
                </w:p>
              </w:tc>
            </w:tr>
            <w:tr w14:paraId="1E75797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41" w:type="pct"/>
                  <w:gridSpan w:val="2"/>
                  <w:tcBorders>
                    <w:tl2br w:val="nil"/>
                    <w:tr2bl w:val="nil"/>
                  </w:tcBorders>
                  <w:noWrap w:val="0"/>
                  <w:vAlign w:val="center"/>
                </w:tcPr>
                <w:p w14:paraId="6C5536B9">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橡胶圈</w:t>
                  </w:r>
                </w:p>
              </w:tc>
              <w:tc>
                <w:tcPr>
                  <w:tcW w:w="1241" w:type="pct"/>
                  <w:tcBorders>
                    <w:tl2br w:val="nil"/>
                    <w:tr2bl w:val="nil"/>
                  </w:tcBorders>
                  <w:noWrap w:val="0"/>
                  <w:vAlign w:val="center"/>
                </w:tcPr>
                <w:p w14:paraId="414A1DF7">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0.3</w:t>
                  </w:r>
                  <w:r>
                    <w:rPr>
                      <w:rFonts w:hint="default" w:ascii="Times New Roman" w:hAnsi="Times New Roman" w:cs="Times New Roman"/>
                      <w:b w:val="0"/>
                      <w:bCs w:val="0"/>
                      <w:color w:val="000000" w:themeColor="text1"/>
                      <w:kern w:val="0"/>
                      <w:sz w:val="21"/>
                      <w:szCs w:val="21"/>
                      <w:lang w:val="en-US" w:eastAsia="zh-CN" w:bidi="ar"/>
                      <w14:textFill>
                        <w14:solidFill>
                          <w14:schemeClr w14:val="tx1"/>
                        </w14:solidFill>
                      </w14:textFill>
                    </w:rPr>
                    <w:t>t/a</w:t>
                  </w:r>
                </w:p>
              </w:tc>
              <w:tc>
                <w:tcPr>
                  <w:tcW w:w="2116" w:type="pct"/>
                  <w:tcBorders>
                    <w:tl2br w:val="nil"/>
                    <w:tr2bl w:val="nil"/>
                  </w:tcBorders>
                  <w:noWrap w:val="0"/>
                  <w:vAlign w:val="center"/>
                </w:tcPr>
                <w:p w14:paraId="5BBE376D">
                  <w:pPr>
                    <w:pageBreakBefore w:val="0"/>
                    <w:kinsoku/>
                    <w:overflowPunct/>
                    <w:topLinePunct w:val="0"/>
                    <w:bidi w:val="0"/>
                    <w:spacing w:before="0" w:after="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外购</w:t>
                  </w:r>
                </w:p>
              </w:tc>
            </w:tr>
            <w:tr w14:paraId="543789F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41" w:type="pct"/>
                  <w:gridSpan w:val="2"/>
                  <w:tcBorders>
                    <w:tl2br w:val="nil"/>
                    <w:tr2bl w:val="nil"/>
                  </w:tcBorders>
                  <w:noWrap w:val="0"/>
                  <w:vAlign w:val="center"/>
                </w:tcPr>
                <w:p w14:paraId="67742B3F">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钢丸</w:t>
                  </w:r>
                </w:p>
              </w:tc>
              <w:tc>
                <w:tcPr>
                  <w:tcW w:w="1241" w:type="pct"/>
                  <w:tcBorders>
                    <w:tl2br w:val="nil"/>
                    <w:tr2bl w:val="nil"/>
                  </w:tcBorders>
                  <w:noWrap w:val="0"/>
                  <w:vAlign w:val="center"/>
                </w:tcPr>
                <w:p w14:paraId="18EA9EEF">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30</w:t>
                  </w:r>
                  <w:r>
                    <w:rPr>
                      <w:rFonts w:hint="default" w:ascii="Times New Roman" w:hAnsi="Times New Roman" w:cs="Times New Roman"/>
                      <w:b w:val="0"/>
                      <w:bCs w:val="0"/>
                      <w:color w:val="000000" w:themeColor="text1"/>
                      <w:kern w:val="0"/>
                      <w:sz w:val="21"/>
                      <w:szCs w:val="21"/>
                      <w:lang w:val="en-US" w:eastAsia="zh-CN" w:bidi="ar"/>
                      <w14:textFill>
                        <w14:solidFill>
                          <w14:schemeClr w14:val="tx1"/>
                        </w14:solidFill>
                      </w14:textFill>
                    </w:rPr>
                    <w:t>t/a</w:t>
                  </w:r>
                </w:p>
              </w:tc>
              <w:tc>
                <w:tcPr>
                  <w:tcW w:w="2116" w:type="pct"/>
                  <w:tcBorders>
                    <w:tl2br w:val="nil"/>
                    <w:tr2bl w:val="nil"/>
                  </w:tcBorders>
                  <w:noWrap w:val="0"/>
                  <w:vAlign w:val="center"/>
                </w:tcPr>
                <w:p w14:paraId="1A160B33">
                  <w:pPr>
                    <w:pageBreakBefore w:val="0"/>
                    <w:kinsoku/>
                    <w:overflowPunct/>
                    <w:topLinePunct w:val="0"/>
                    <w:bidi w:val="0"/>
                    <w:spacing w:before="0" w:after="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外购</w:t>
                  </w:r>
                </w:p>
              </w:tc>
            </w:tr>
            <w:tr w14:paraId="6EEBD5F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41" w:type="pct"/>
                  <w:gridSpan w:val="2"/>
                  <w:tcBorders>
                    <w:tl2br w:val="nil"/>
                    <w:tr2bl w:val="nil"/>
                  </w:tcBorders>
                  <w:noWrap w:val="0"/>
                  <w:vAlign w:val="center"/>
                </w:tcPr>
                <w:p w14:paraId="0C930701">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油墨</w:t>
                  </w:r>
                </w:p>
              </w:tc>
              <w:tc>
                <w:tcPr>
                  <w:tcW w:w="1241" w:type="pct"/>
                  <w:tcBorders>
                    <w:tl2br w:val="nil"/>
                    <w:tr2bl w:val="nil"/>
                  </w:tcBorders>
                  <w:noWrap w:val="0"/>
                  <w:vAlign w:val="center"/>
                </w:tcPr>
                <w:p w14:paraId="4C98F176">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0.488781</w:t>
                  </w:r>
                  <w:r>
                    <w:rPr>
                      <w:rFonts w:hint="default" w:ascii="Times New Roman" w:hAnsi="Times New Roman" w:cs="Times New Roman"/>
                      <w:b w:val="0"/>
                      <w:bCs w:val="0"/>
                      <w:color w:val="000000" w:themeColor="text1"/>
                      <w:kern w:val="0"/>
                      <w:sz w:val="21"/>
                      <w:szCs w:val="21"/>
                      <w:lang w:val="en-US" w:eastAsia="zh-CN" w:bidi="ar"/>
                      <w14:textFill>
                        <w14:solidFill>
                          <w14:schemeClr w14:val="tx1"/>
                        </w14:solidFill>
                      </w14:textFill>
                    </w:rPr>
                    <w:t>t/a</w:t>
                  </w:r>
                </w:p>
              </w:tc>
              <w:tc>
                <w:tcPr>
                  <w:tcW w:w="2116" w:type="pct"/>
                  <w:tcBorders>
                    <w:tl2br w:val="nil"/>
                    <w:tr2bl w:val="nil"/>
                  </w:tcBorders>
                  <w:noWrap w:val="0"/>
                  <w:vAlign w:val="center"/>
                </w:tcPr>
                <w:p w14:paraId="4D97FD56">
                  <w:pPr>
                    <w:pageBreakBefore w:val="0"/>
                    <w:kinsoku/>
                    <w:overflowPunct/>
                    <w:topLinePunct w:val="0"/>
                    <w:bidi w:val="0"/>
                    <w:spacing w:before="0" w:after="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外购，桶装，每桶约25kg，</w:t>
                  </w:r>
                  <w:r>
                    <w:rPr>
                      <w:rFonts w:hint="default" w:ascii="Times New Roman" w:hAnsi="Times New Roman" w:eastAsia="宋体" w:cs="Times New Roman"/>
                      <w:color w:val="000000" w:themeColor="text1"/>
                      <w:lang w:val="en-US" w:eastAsia="zh-CN"/>
                      <w14:textFill>
                        <w14:solidFill>
                          <w14:schemeClr w14:val="tx1"/>
                        </w14:solidFill>
                      </w14:textFill>
                    </w:rPr>
                    <w:t>单次外购最大量为5桶。</w:t>
                  </w:r>
                </w:p>
              </w:tc>
            </w:tr>
            <w:tr w14:paraId="52C62F7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41" w:type="pct"/>
                  <w:gridSpan w:val="2"/>
                  <w:tcBorders>
                    <w:tl2br w:val="nil"/>
                    <w:tr2bl w:val="nil"/>
                  </w:tcBorders>
                  <w:noWrap w:val="0"/>
                  <w:vAlign w:val="center"/>
                </w:tcPr>
                <w:p w14:paraId="1F777185">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网板</w:t>
                  </w:r>
                </w:p>
              </w:tc>
              <w:tc>
                <w:tcPr>
                  <w:tcW w:w="1241" w:type="pct"/>
                  <w:tcBorders>
                    <w:tl2br w:val="nil"/>
                    <w:tr2bl w:val="nil"/>
                  </w:tcBorders>
                  <w:noWrap w:val="0"/>
                  <w:vAlign w:val="center"/>
                </w:tcPr>
                <w:p w14:paraId="30625B4C">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w:t>
                  </w:r>
                  <w:r>
                    <w:rPr>
                      <w:rFonts w:hint="default" w:ascii="Times New Roman" w:hAnsi="Times New Roman" w:cs="Times New Roman"/>
                      <w:b w:val="0"/>
                      <w:bCs w:val="0"/>
                      <w:color w:val="000000" w:themeColor="text1"/>
                      <w:kern w:val="0"/>
                      <w:sz w:val="21"/>
                      <w:szCs w:val="21"/>
                      <w:lang w:val="en-US" w:eastAsia="zh-CN" w:bidi="ar"/>
                      <w14:textFill>
                        <w14:solidFill>
                          <w14:schemeClr w14:val="tx1"/>
                        </w14:solidFill>
                      </w14:textFill>
                    </w:rPr>
                    <w:t>t/a</w:t>
                  </w:r>
                </w:p>
              </w:tc>
              <w:tc>
                <w:tcPr>
                  <w:tcW w:w="2116" w:type="pct"/>
                  <w:tcBorders>
                    <w:tl2br w:val="nil"/>
                    <w:tr2bl w:val="nil"/>
                  </w:tcBorders>
                  <w:noWrap w:val="0"/>
                  <w:vAlign w:val="center"/>
                </w:tcPr>
                <w:p w14:paraId="674096EF">
                  <w:pPr>
                    <w:pageBreakBefore w:val="0"/>
                    <w:kinsoku/>
                    <w:overflowPunct/>
                    <w:topLinePunct w:val="0"/>
                    <w:bidi w:val="0"/>
                    <w:spacing w:before="0" w:after="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外购</w:t>
                  </w:r>
                </w:p>
              </w:tc>
            </w:tr>
            <w:tr w14:paraId="21F066D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41" w:type="pct"/>
                  <w:gridSpan w:val="2"/>
                  <w:tcBorders>
                    <w:tl2br w:val="nil"/>
                    <w:tr2bl w:val="nil"/>
                  </w:tcBorders>
                  <w:noWrap w:val="0"/>
                  <w:vAlign w:val="center"/>
                </w:tcPr>
                <w:p w14:paraId="057D7EFD">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生石灰</w:t>
                  </w:r>
                </w:p>
              </w:tc>
              <w:tc>
                <w:tcPr>
                  <w:tcW w:w="1241" w:type="pct"/>
                  <w:tcBorders>
                    <w:tl2br w:val="nil"/>
                    <w:tr2bl w:val="nil"/>
                  </w:tcBorders>
                  <w:noWrap w:val="0"/>
                  <w:vAlign w:val="center"/>
                </w:tcPr>
                <w:p w14:paraId="3E0ECBF3">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0.1225t/a</w:t>
                  </w:r>
                </w:p>
              </w:tc>
              <w:tc>
                <w:tcPr>
                  <w:tcW w:w="2116" w:type="pct"/>
                  <w:vMerge w:val="restart"/>
                  <w:tcBorders>
                    <w:tl2br w:val="nil"/>
                    <w:tr2bl w:val="nil"/>
                  </w:tcBorders>
                  <w:noWrap w:val="0"/>
                  <w:vAlign w:val="center"/>
                </w:tcPr>
                <w:p w14:paraId="6EF21EEA">
                  <w:pPr>
                    <w:pageBreakBefore w:val="0"/>
                    <w:kinsoku/>
                    <w:overflowPunct/>
                    <w:topLinePunct w:val="0"/>
                    <w:bidi w:val="0"/>
                    <w:spacing w:before="0" w:after="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外购，桶装，固态，用于喷淋脱硫使用</w:t>
                  </w:r>
                </w:p>
              </w:tc>
            </w:tr>
            <w:tr w14:paraId="7042A73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41" w:type="pct"/>
                  <w:gridSpan w:val="2"/>
                  <w:tcBorders>
                    <w:tl2br w:val="nil"/>
                    <w:tr2bl w:val="nil"/>
                  </w:tcBorders>
                  <w:noWrap w:val="0"/>
                  <w:vAlign w:val="center"/>
                </w:tcPr>
                <w:p w14:paraId="46D0E1A8">
                  <w:pPr>
                    <w:pStyle w:val="123"/>
                    <w:pageBreakBefore w:val="0"/>
                    <w:kinsoku/>
                    <w:overflowPunct/>
                    <w:topLinePunct w:val="0"/>
                    <w:bidi w:val="0"/>
                    <w:spacing w:before="0" w:after="0"/>
                    <w:ind w:left="0" w:leftChars="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NaOH</w:t>
                  </w:r>
                </w:p>
              </w:tc>
              <w:tc>
                <w:tcPr>
                  <w:tcW w:w="1241" w:type="pct"/>
                  <w:tcBorders>
                    <w:tl2br w:val="nil"/>
                    <w:tr2bl w:val="nil"/>
                  </w:tcBorders>
                  <w:noWrap w:val="0"/>
                  <w:vAlign w:val="center"/>
                </w:tcPr>
                <w:p w14:paraId="48F255ED">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0.06t/a</w:t>
                  </w:r>
                </w:p>
              </w:tc>
              <w:tc>
                <w:tcPr>
                  <w:tcW w:w="2116" w:type="pct"/>
                  <w:vMerge w:val="continue"/>
                  <w:tcBorders>
                    <w:tl2br w:val="nil"/>
                    <w:tr2bl w:val="nil"/>
                  </w:tcBorders>
                  <w:noWrap w:val="0"/>
                  <w:vAlign w:val="center"/>
                </w:tcPr>
                <w:p w14:paraId="2358D9AA">
                  <w:pPr>
                    <w:pageBreakBefore w:val="0"/>
                    <w:kinsoku/>
                    <w:overflowPunct/>
                    <w:topLinePunct w:val="0"/>
                    <w:bidi w:val="0"/>
                    <w:spacing w:before="0" w:after="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r>
            <w:tr w14:paraId="7EB3E8E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41" w:type="pct"/>
                  <w:gridSpan w:val="2"/>
                  <w:tcBorders>
                    <w:tl2br w:val="nil"/>
                    <w:tr2bl w:val="nil"/>
                  </w:tcBorders>
                  <w:noWrap w:val="0"/>
                  <w:vAlign w:val="center"/>
                </w:tcPr>
                <w:p w14:paraId="1B2B7910">
                  <w:pPr>
                    <w:pStyle w:val="123"/>
                    <w:pageBreakBefore w:val="0"/>
                    <w:kinsoku/>
                    <w:overflowPunct/>
                    <w:topLinePunct w:val="0"/>
                    <w:bidi w:val="0"/>
                    <w:spacing w:before="0" w:after="0"/>
                    <w:ind w:left="0" w:leftChars="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机油</w:t>
                  </w:r>
                </w:p>
              </w:tc>
              <w:tc>
                <w:tcPr>
                  <w:tcW w:w="1241" w:type="pct"/>
                  <w:tcBorders>
                    <w:tl2br w:val="nil"/>
                    <w:tr2bl w:val="nil"/>
                  </w:tcBorders>
                  <w:noWrap w:val="0"/>
                  <w:vAlign w:val="center"/>
                </w:tcPr>
                <w:p w14:paraId="3A12691D">
                  <w:pPr>
                    <w:pStyle w:val="123"/>
                    <w:pageBreakBefore w:val="0"/>
                    <w:kinsoku/>
                    <w:overflowPunct/>
                    <w:topLinePunct w:val="0"/>
                    <w:bidi w:val="0"/>
                    <w:spacing w:before="0" w:after="0"/>
                    <w:ind w:left="0" w:leftChars="0" w:right="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0.1t/a</w:t>
                  </w:r>
                </w:p>
              </w:tc>
              <w:tc>
                <w:tcPr>
                  <w:tcW w:w="2116" w:type="pct"/>
                  <w:tcBorders>
                    <w:tl2br w:val="nil"/>
                    <w:tr2bl w:val="nil"/>
                  </w:tcBorders>
                  <w:noWrap w:val="0"/>
                  <w:vAlign w:val="center"/>
                </w:tcPr>
                <w:p w14:paraId="638A7C5F">
                  <w:pPr>
                    <w:pageBreakBefore w:val="0"/>
                    <w:kinsoku/>
                    <w:overflowPunct/>
                    <w:topLinePunct w:val="0"/>
                    <w:bidi w:val="0"/>
                    <w:spacing w:before="0" w:after="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外购，桶装，每桶约25kg，</w:t>
                  </w:r>
                  <w:r>
                    <w:rPr>
                      <w:rFonts w:hint="default" w:ascii="Times New Roman" w:hAnsi="Times New Roman" w:eastAsia="宋体" w:cs="Times New Roman"/>
                      <w:color w:val="000000" w:themeColor="text1"/>
                      <w:lang w:val="en-US" w:eastAsia="zh-CN"/>
                      <w14:textFill>
                        <w14:solidFill>
                          <w14:schemeClr w14:val="tx1"/>
                        </w14:solidFill>
                      </w14:textFill>
                    </w:rPr>
                    <w:t>单次外购最大量为4瓶。</w:t>
                  </w:r>
                </w:p>
              </w:tc>
            </w:tr>
            <w:tr w14:paraId="432E26B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41" w:type="pct"/>
                  <w:gridSpan w:val="2"/>
                  <w:tcBorders>
                    <w:tl2br w:val="nil"/>
                    <w:tr2bl w:val="nil"/>
                  </w:tcBorders>
                  <w:noWrap w:val="0"/>
                  <w:vAlign w:val="center"/>
                </w:tcPr>
                <w:p w14:paraId="7E2C0174">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电</w:t>
                  </w:r>
                </w:p>
              </w:tc>
              <w:tc>
                <w:tcPr>
                  <w:tcW w:w="1241" w:type="pct"/>
                  <w:tcBorders>
                    <w:tl2br w:val="nil"/>
                    <w:tr2bl w:val="nil"/>
                  </w:tcBorders>
                  <w:noWrap w:val="0"/>
                  <w:vAlign w:val="center"/>
                </w:tcPr>
                <w:p w14:paraId="4D071963">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20万kwh</w:t>
                  </w:r>
                </w:p>
              </w:tc>
              <w:tc>
                <w:tcPr>
                  <w:tcW w:w="2116" w:type="pct"/>
                  <w:tcBorders>
                    <w:tl2br w:val="nil"/>
                    <w:tr2bl w:val="nil"/>
                  </w:tcBorders>
                  <w:noWrap w:val="0"/>
                  <w:vAlign w:val="center"/>
                </w:tcPr>
                <w:p w14:paraId="1117CCDD">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当地电力系统供应</w:t>
                  </w:r>
                </w:p>
              </w:tc>
            </w:tr>
            <w:tr w14:paraId="71EEA77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41" w:type="pct"/>
                  <w:gridSpan w:val="2"/>
                  <w:tcBorders>
                    <w:tl2br w:val="nil"/>
                    <w:tr2bl w:val="nil"/>
                  </w:tcBorders>
                  <w:noWrap w:val="0"/>
                  <w:vAlign w:val="center"/>
                </w:tcPr>
                <w:p w14:paraId="6AFE2EE9">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水</w:t>
                  </w:r>
                </w:p>
              </w:tc>
              <w:tc>
                <w:tcPr>
                  <w:tcW w:w="1241" w:type="pct"/>
                  <w:tcBorders>
                    <w:tl2br w:val="nil"/>
                    <w:tr2bl w:val="nil"/>
                  </w:tcBorders>
                  <w:noWrap w:val="0"/>
                  <w:vAlign w:val="center"/>
                </w:tcPr>
                <w:p w14:paraId="4B9FFB91">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376.8m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/a</w:t>
                  </w:r>
                </w:p>
              </w:tc>
              <w:tc>
                <w:tcPr>
                  <w:tcW w:w="2116" w:type="pct"/>
                  <w:tcBorders>
                    <w:tl2br w:val="nil"/>
                    <w:tr2bl w:val="nil"/>
                  </w:tcBorders>
                  <w:noWrap w:val="0"/>
                  <w:vAlign w:val="center"/>
                </w:tcPr>
                <w:p w14:paraId="498B7AFB">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生产用水循环使用，定期补水；生活用水由自来水管网接入</w:t>
                  </w:r>
                </w:p>
              </w:tc>
            </w:tr>
            <w:tr w14:paraId="5DA2985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41" w:type="pct"/>
                  <w:gridSpan w:val="2"/>
                  <w:tcBorders>
                    <w:tl2br w:val="nil"/>
                    <w:tr2bl w:val="nil"/>
                  </w:tcBorders>
                  <w:noWrap w:val="0"/>
                  <w:vAlign w:val="center"/>
                </w:tcPr>
                <w:p w14:paraId="41B09CAD">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生物质燃料</w:t>
                  </w:r>
                </w:p>
              </w:tc>
              <w:tc>
                <w:tcPr>
                  <w:tcW w:w="1241" w:type="pct"/>
                  <w:tcBorders>
                    <w:tl2br w:val="nil"/>
                    <w:tr2bl w:val="nil"/>
                  </w:tcBorders>
                  <w:noWrap w:val="0"/>
                  <w:vAlign w:val="center"/>
                </w:tcPr>
                <w:p w14:paraId="0B258D13">
                  <w:pPr>
                    <w:pStyle w:val="123"/>
                    <w:pageBreakBefore w:val="0"/>
                    <w:kinsoku/>
                    <w:overflowPunct/>
                    <w:topLinePunct w:val="0"/>
                    <w:bidi w:val="0"/>
                    <w:spacing w:before="0" w:after="0"/>
                    <w:ind w:left="0" w:leftChars="0" w:right="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225.375t/a</w:t>
                  </w:r>
                </w:p>
              </w:tc>
              <w:tc>
                <w:tcPr>
                  <w:tcW w:w="2116" w:type="pct"/>
                  <w:tcBorders>
                    <w:tl2br w:val="nil"/>
                    <w:tr2bl w:val="nil"/>
                  </w:tcBorders>
                  <w:noWrap w:val="0"/>
                  <w:vAlign w:val="center"/>
                </w:tcPr>
                <w:p w14:paraId="3FDFE6B3">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为焚烧炉使用燃料</w:t>
                  </w:r>
                </w:p>
              </w:tc>
            </w:tr>
            <w:tr w14:paraId="51F9A2B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41" w:type="pct"/>
                  <w:gridSpan w:val="2"/>
                  <w:tcBorders>
                    <w:tl2br w:val="nil"/>
                    <w:tr2bl w:val="nil"/>
                  </w:tcBorders>
                  <w:noWrap w:val="0"/>
                  <w:vAlign w:val="center"/>
                </w:tcPr>
                <w:p w14:paraId="48E76E8A">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液化石油气</w:t>
                  </w:r>
                </w:p>
              </w:tc>
              <w:tc>
                <w:tcPr>
                  <w:tcW w:w="1241" w:type="pct"/>
                  <w:tcBorders>
                    <w:tl2br w:val="nil"/>
                    <w:tr2bl w:val="nil"/>
                  </w:tcBorders>
                  <w:noWrap w:val="0"/>
                  <w:vAlign w:val="center"/>
                </w:tcPr>
                <w:p w14:paraId="578C099F">
                  <w:pPr>
                    <w:keepNext w:val="0"/>
                    <w:keepLines w:val="0"/>
                    <w:widowControl/>
                    <w:suppressLineNumbers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39.99t/a</w:t>
                  </w:r>
                </w:p>
              </w:tc>
              <w:tc>
                <w:tcPr>
                  <w:tcW w:w="2116" w:type="pct"/>
                  <w:tcBorders>
                    <w:tl2br w:val="nil"/>
                    <w:tr2bl w:val="nil"/>
                  </w:tcBorders>
                  <w:noWrap w:val="0"/>
                  <w:vAlign w:val="center"/>
                </w:tcPr>
                <w:p w14:paraId="764BBD16">
                  <w:pPr>
                    <w:keepNext w:val="0"/>
                    <w:keepLines w:val="0"/>
                    <w:widowControl/>
                    <w:suppressLineNumbers w:val="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为烘干固化炉使用燃料，其中旧</w:t>
                  </w:r>
                  <w:r>
                    <w:rPr>
                      <w:rFonts w:hint="eastAsia" w:ascii="Times New Roman" w:hAnsi="Times New Roman" w:cs="Times New Roman"/>
                      <w:color w:val="000000" w:themeColor="text1"/>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lang w:val="en-US" w:eastAsia="zh-CN"/>
                      <w14:textFill>
                        <w14:solidFill>
                          <w14:schemeClr w14:val="tx1"/>
                        </w14:solidFill>
                      </w14:textFill>
                    </w:rPr>
                    <w:t>抽残2.985t，外购使用37.005t。本项目外购周边合规液化气销售单位50kg（118L）液化石油气瓶使用，单次外购最大量为5瓶。由该单位负责配送。</w:t>
                  </w:r>
                </w:p>
              </w:tc>
            </w:tr>
          </w:tbl>
          <w:p w14:paraId="0B6F2436">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snapToGrid w:val="0"/>
                <w:color w:val="000000" w:themeColor="text1"/>
                <w:sz w:val="24"/>
                <w:szCs w:val="24"/>
                <w:lang w:eastAsia="zh-CN"/>
                <w14:textFill>
                  <w14:solidFill>
                    <w14:schemeClr w14:val="tx1"/>
                  </w14:solidFill>
                </w14:textFill>
              </w:rPr>
              <w:t>备注</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w:t>
            </w:r>
          </w:p>
          <w:p w14:paraId="10338FF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1）粉末涂料用量核算</w:t>
            </w:r>
          </w:p>
          <w:p w14:paraId="5C589F8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b w:val="0"/>
                <w:bCs w:val="0"/>
                <w:color w:val="000000" w:themeColor="text1"/>
                <w:kern w:val="0"/>
                <w:sz w:val="24"/>
                <w:szCs w:val="24"/>
                <w:lang w:val="en-US" w:eastAsia="zh-CN" w:bidi="ar"/>
                <w14:textFill>
                  <w14:solidFill>
                    <w14:schemeClr w14:val="tx1"/>
                  </w14:solidFill>
                </w14:textFill>
              </w:rPr>
            </w:pPr>
            <w:r>
              <w:rPr>
                <w:rFonts w:hint="eastAsia" w:cs="Times New Roman"/>
                <w:b w:val="0"/>
                <w:bCs w:val="0"/>
                <w:color w:val="000000" w:themeColor="text1"/>
                <w:kern w:val="0"/>
                <w:sz w:val="24"/>
                <w:szCs w:val="24"/>
                <w:lang w:val="en-US" w:eastAsia="zh-CN" w:bidi="ar"/>
                <w14:textFill>
                  <w14:solidFill>
                    <w14:schemeClr w14:val="tx1"/>
                  </w14:solidFill>
                </w14:textFill>
              </w:rPr>
              <w:t>本项目使用</w:t>
            </w:r>
            <w:r>
              <w:rPr>
                <w:rFonts w:hint="default" w:cs="Times New Roman"/>
                <w:b w:val="0"/>
                <w:bCs w:val="0"/>
                <w:color w:val="000000" w:themeColor="text1"/>
                <w:kern w:val="0"/>
                <w:sz w:val="24"/>
                <w:szCs w:val="24"/>
                <w:lang w:val="en-US" w:eastAsia="zh-CN" w:bidi="ar"/>
                <w14:textFill>
                  <w14:solidFill>
                    <w14:schemeClr w14:val="tx1"/>
                  </w14:solidFill>
                </w14:textFill>
              </w:rPr>
              <w:t>热固性粉末</w:t>
            </w:r>
            <w:r>
              <w:rPr>
                <w:rFonts w:hint="eastAsia" w:cs="Times New Roman"/>
                <w:b w:val="0"/>
                <w:bCs w:val="0"/>
                <w:color w:val="000000" w:themeColor="text1"/>
                <w:kern w:val="0"/>
                <w:sz w:val="24"/>
                <w:szCs w:val="24"/>
                <w:lang w:val="en-US" w:eastAsia="zh-CN" w:bidi="ar"/>
                <w14:textFill>
                  <w14:solidFill>
                    <w14:schemeClr w14:val="tx1"/>
                  </w14:solidFill>
                </w14:textFill>
              </w:rPr>
              <w:t>进行</w:t>
            </w:r>
            <w:r>
              <w:rPr>
                <w:rFonts w:hint="default" w:cs="Times New Roman"/>
                <w:b w:val="0"/>
                <w:bCs w:val="0"/>
                <w:color w:val="000000" w:themeColor="text1"/>
                <w:kern w:val="0"/>
                <w:sz w:val="24"/>
                <w:szCs w:val="24"/>
                <w:lang w:val="en-US" w:eastAsia="zh-CN" w:bidi="ar"/>
                <w14:textFill>
                  <w14:solidFill>
                    <w14:schemeClr w14:val="tx1"/>
                  </w14:solidFill>
                </w14:textFill>
              </w:rPr>
              <w:t>喷塑</w:t>
            </w:r>
            <w:r>
              <w:rPr>
                <w:rFonts w:hint="eastAsia" w:cs="Times New Roman"/>
                <w:b w:val="0"/>
                <w:bCs w:val="0"/>
                <w:color w:val="000000" w:themeColor="text1"/>
                <w:kern w:val="0"/>
                <w:sz w:val="24"/>
                <w:szCs w:val="24"/>
                <w:lang w:val="en-US" w:eastAsia="zh-CN" w:bidi="ar"/>
                <w14:textFill>
                  <w14:solidFill>
                    <w14:schemeClr w14:val="tx1"/>
                  </w14:solidFill>
                </w14:textFill>
              </w:rPr>
              <w:t>，根据《低挥发性有机化合物含量涂料产品技术要求》（GB/T38597-2020）中“8.1粉末涂料、无机建筑涂料、建筑用有机粉体涂料中VOC含量通常很少，属于低挥发性有机化合物含量涂料产品”，故本项目</w:t>
            </w:r>
            <w:r>
              <w:rPr>
                <w:rFonts w:hint="default" w:cs="Times New Roman"/>
                <w:b w:val="0"/>
                <w:bCs w:val="0"/>
                <w:color w:val="000000" w:themeColor="text1"/>
                <w:kern w:val="0"/>
                <w:sz w:val="24"/>
                <w:szCs w:val="24"/>
                <w:lang w:val="en-US" w:eastAsia="zh-CN" w:bidi="ar"/>
                <w14:textFill>
                  <w14:solidFill>
                    <w14:schemeClr w14:val="tx1"/>
                  </w14:solidFill>
                </w14:textFill>
              </w:rPr>
              <w:t>热固性粉末</w:t>
            </w:r>
            <w:r>
              <w:rPr>
                <w:rFonts w:hint="eastAsia" w:cs="Times New Roman"/>
                <w:b w:val="0"/>
                <w:bCs w:val="0"/>
                <w:color w:val="000000" w:themeColor="text1"/>
                <w:kern w:val="0"/>
                <w:sz w:val="24"/>
                <w:szCs w:val="24"/>
                <w:lang w:val="en-US" w:eastAsia="zh-CN" w:bidi="ar"/>
                <w14:textFill>
                  <w14:solidFill>
                    <w14:schemeClr w14:val="tx1"/>
                  </w14:solidFill>
                </w14:textFill>
              </w:rPr>
              <w:t>属于</w:t>
            </w:r>
            <w:r>
              <w:rPr>
                <w:rFonts w:hint="default" w:cs="Times New Roman"/>
                <w:b w:val="0"/>
                <w:bCs w:val="0"/>
                <w:color w:val="000000" w:themeColor="text1"/>
                <w:kern w:val="0"/>
                <w:sz w:val="24"/>
                <w:szCs w:val="24"/>
                <w:lang w:val="en-US" w:eastAsia="zh-CN" w:bidi="ar"/>
                <w14:textFill>
                  <w14:solidFill>
                    <w14:schemeClr w14:val="tx1"/>
                  </w14:solidFill>
                </w14:textFill>
              </w:rPr>
              <w:t>低VOCs含量涂料</w:t>
            </w:r>
            <w:r>
              <w:rPr>
                <w:rFonts w:hint="eastAsia" w:cs="Times New Roman"/>
                <w:b w:val="0"/>
                <w:bCs w:val="0"/>
                <w:color w:val="000000" w:themeColor="text1"/>
                <w:kern w:val="0"/>
                <w:sz w:val="24"/>
                <w:szCs w:val="24"/>
                <w:lang w:val="en-US" w:eastAsia="zh-CN" w:bidi="ar"/>
                <w14:textFill>
                  <w14:solidFill>
                    <w14:schemeClr w14:val="tx1"/>
                  </w14:solidFill>
                </w14:textFill>
              </w:rPr>
              <w:t>。</w:t>
            </w:r>
          </w:p>
          <w:p w14:paraId="6C181D5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项目采用静电喷涂流水线进行热固性粉末喷塑，内部自带脉冲反吹式过滤装置，</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喷塑附着率、粉末回收率参考《喷塑行业污染物源强估算及治理防范探讨》（原中国环境管理干部学院学报，现河北环境工程学院学报2006年12月第26卷第6期）“根据统计，塑粉平均附着率为80~90%，负压吸气对粉尘回收效率为95%左右”，同时</w:t>
            </w:r>
            <w:r>
              <w:rPr>
                <w:rFonts w:hint="default" w:ascii="Times New Roman" w:hAnsi="Times New Roman" w:cs="Times New Roman"/>
                <w:color w:val="000000" w:themeColor="text1"/>
                <w:kern w:val="24"/>
                <w:sz w:val="24"/>
                <w:szCs w:val="24"/>
                <w:lang w:val="en-US" w:eastAsia="zh-CN"/>
                <w14:textFill>
                  <w14:solidFill>
                    <w14:schemeClr w14:val="tx1"/>
                  </w14:solidFill>
                </w14:textFill>
              </w:rPr>
              <w:t>参照《33-37，431-434 机械行业系数手册》中“管式除尘末端治理效率为95%”</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。故本次</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喷粉附着率</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按8</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0%</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计</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，粉末回收效率</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按95</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计。</w:t>
            </w:r>
          </w:p>
          <w:p w14:paraId="5114612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根据工艺流程说明，进入静电喷涂流水线的</w:t>
            </w:r>
            <w:r>
              <w:rPr>
                <w:rFonts w:hint="eastAsia" w:ascii="Times New Roman" w:hAnsi="Times New Roman" w:cs="Times New Roman"/>
                <w:b w:val="0"/>
                <w:bCs w:val="0"/>
                <w:color w:val="000000" w:themeColor="text1"/>
                <w:kern w:val="0"/>
                <w:sz w:val="24"/>
                <w:szCs w:val="24"/>
                <w:lang w:val="en-US" w:eastAsia="zh-CN" w:bidi="ar"/>
                <w14:textFill>
                  <w14:solidFill>
                    <w14:schemeClr w14:val="tx1"/>
                  </w14:solidFill>
                </w14:textFill>
              </w:rPr>
              <w:t>液化石油气钢瓶</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共计</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19.55</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万只，</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约</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包含</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5.865万</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只10kg（12L）、</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9.775万</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只15kg（35.5L）、</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3.91万</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只50kg（118L）三种类型的液化石油气钢瓶。其中10kg（12L）液化石油气钢瓶全身高0.43m，瓶身直径为0.24m；15kg（35.5L）液化石油气钢瓶全身高0.68m，瓶身直径为0.32m；50kg（118L）液化石油气钢瓶全身高1.20m，瓶身直径为0.4m。</w:t>
            </w:r>
          </w:p>
          <w:p w14:paraId="644C838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液化石油气瓶结构为瓶身圆筒形，瓶顶和瓶底近似为圆形，根据圆的面积计算公式πr²及圆柱的侧面积计算公式2πrh，计算得1个10kg（12L）液化石油气钢瓶的总表面积为0.844m</w:t>
            </w:r>
            <w:r>
              <w:rPr>
                <w:rFonts w:hint="default" w:ascii="Times New Roman" w:hAnsi="Times New Roman" w:eastAsia="宋体" w:cs="Times New Roman"/>
                <w:b w:val="0"/>
                <w:bCs w:val="0"/>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，1个15kg（35.5L）液化石油气钢瓶的总表面积为0.415m</w:t>
            </w:r>
            <w:r>
              <w:rPr>
                <w:rFonts w:hint="default" w:ascii="Times New Roman" w:hAnsi="Times New Roman" w:eastAsia="宋体" w:cs="Times New Roman"/>
                <w:b w:val="0"/>
                <w:bCs w:val="0"/>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，1个50kg（118L）液化石油气钢瓶的总表面积为1.76m</w:t>
            </w:r>
            <w:r>
              <w:rPr>
                <w:rFonts w:hint="default" w:ascii="Times New Roman" w:hAnsi="Times New Roman" w:eastAsia="宋体" w:cs="Times New Roman"/>
                <w:b w:val="0"/>
                <w:bCs w:val="0"/>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w:t>
            </w:r>
          </w:p>
          <w:p w14:paraId="06765E1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项目</w:t>
            </w:r>
            <w:r>
              <w:rPr>
                <w:rFonts w:hint="eastAsia" w:ascii="Times New Roman" w:hAnsi="Times New Roman" w:cs="Times New Roman"/>
                <w:b w:val="0"/>
                <w:bCs w:val="0"/>
                <w:color w:val="000000" w:themeColor="text1"/>
                <w:kern w:val="0"/>
                <w:sz w:val="24"/>
                <w:szCs w:val="24"/>
                <w:lang w:val="en-US" w:eastAsia="zh-CN" w:bidi="ar"/>
                <w14:textFill>
                  <w14:solidFill>
                    <w14:schemeClr w14:val="tx1"/>
                  </w14:solidFill>
                </w14:textFill>
              </w:rPr>
              <w:t>液化石油气钢瓶</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表面喷涂厚度约为</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50</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μm，塑粉的密度为1.</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5</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g/cm³</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（参考厂商廊坊市燕美化工有限公司“环氧粉末安全技术说明书”，环氧粉末密度为1.3~1.5</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g/cm³</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，本次按1.5</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g/cm³</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计）</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w:t>
            </w:r>
          </w:p>
          <w:p w14:paraId="12721F24">
            <w:pPr>
              <w:keepNext w:val="0"/>
              <w:keepLines w:val="0"/>
              <w:pageBreakBefore w:val="0"/>
              <w:widowControl/>
              <w:suppressLineNumbers w:val="0"/>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项目粉末涂料年用量=喷涂总面积×喷涂厚度×密度÷综合利用率，其中，综合利用率=1-（1-附着率）×（1-回收率），因此项目粉末涂料年用量=（0.415*</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58650</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+0.884*</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97750</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+1.76*</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39100</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）×50μm×1.</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5</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g/cm³÷</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1-（1-</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8</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0%）×（1-95%）</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14.9639</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吨。</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 xml:space="preserve">   </w:t>
            </w:r>
          </w:p>
          <w:p w14:paraId="1B5CC14F">
            <w:pPr>
              <w:keepNext w:val="0"/>
              <w:keepLines w:val="0"/>
              <w:pageBreakBefore w:val="0"/>
              <w:widowControl/>
              <w:suppressLineNumbers w:val="0"/>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2）油墨用量核算</w:t>
            </w:r>
          </w:p>
          <w:p w14:paraId="18BDCE4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项目在每一个</w:t>
            </w:r>
            <w:r>
              <w:rPr>
                <w:rFonts w:hint="eastAsia" w:ascii="Times New Roman" w:hAnsi="Times New Roman" w:cs="Times New Roman"/>
                <w:b w:val="0"/>
                <w:bCs w:val="0"/>
                <w:color w:val="000000" w:themeColor="text1"/>
                <w:kern w:val="0"/>
                <w:sz w:val="24"/>
                <w:szCs w:val="24"/>
                <w:lang w:val="en-US" w:eastAsia="zh-CN" w:bidi="ar"/>
                <w14:textFill>
                  <w14:solidFill>
                    <w14:schemeClr w14:val="tx1"/>
                  </w14:solidFill>
                </w14:textFill>
              </w:rPr>
              <w:t>液化石油气钢瓶</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上需要</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刷写</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标识文字等内容，使用</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网板刷字</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技术（湿膜</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刷字</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，湿膜厚度约为80μm）。</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根据市场调查，油墨密度为0.5g/cm</w:t>
            </w:r>
            <w:r>
              <w:rPr>
                <w:rFonts w:hint="default" w:ascii="Times New Roman" w:hAnsi="Times New Roman" w:cs="Times New Roman"/>
                <w:b w:val="0"/>
                <w:bCs w:val="0"/>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项目使用油墨利用率约为95%</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，本项目</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单个</w:t>
            </w:r>
            <w:r>
              <w:rPr>
                <w:rFonts w:hint="eastAsia" w:ascii="Times New Roman" w:hAnsi="Times New Roman" w:cs="Times New Roman"/>
                <w:b w:val="0"/>
                <w:bCs w:val="0"/>
                <w:color w:val="000000" w:themeColor="text1"/>
                <w:kern w:val="0"/>
                <w:sz w:val="24"/>
                <w:szCs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刷字</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面积约为0.06㎡左右，根据油墨使用量=</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刷字</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面积×湿膜厚度×油墨密度÷油墨利用率，可以推算出单个</w:t>
            </w:r>
            <w:r>
              <w:rPr>
                <w:rFonts w:hint="eastAsia" w:ascii="Times New Roman" w:hAnsi="Times New Roman" w:cs="Times New Roman"/>
                <w:b w:val="0"/>
                <w:bCs w:val="0"/>
                <w:color w:val="000000" w:themeColor="text1"/>
                <w:kern w:val="0"/>
                <w:sz w:val="24"/>
                <w:szCs w:val="24"/>
                <w:lang w:val="en-US" w:eastAsia="zh-CN" w:bidi="ar"/>
                <w14:textFill>
                  <w14:solidFill>
                    <w14:schemeClr w14:val="tx1"/>
                  </w14:solidFill>
                </w14:textFill>
              </w:rPr>
              <w:t>液化石油气钢瓶</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所需的油墨的量为0.000002526t。项目检验</w:t>
            </w:r>
            <w:r>
              <w:rPr>
                <w:rFonts w:hint="eastAsia" w:ascii="Times New Roman" w:hAnsi="Times New Roman" w:cs="Times New Roman"/>
                <w:b w:val="0"/>
                <w:bCs w:val="0"/>
                <w:color w:val="000000" w:themeColor="text1"/>
                <w:kern w:val="0"/>
                <w:sz w:val="24"/>
                <w:szCs w:val="24"/>
                <w:lang w:val="en-US" w:eastAsia="zh-CN" w:bidi="ar"/>
                <w14:textFill>
                  <w14:solidFill>
                    <w14:schemeClr w14:val="tx1"/>
                  </w14:solidFill>
                </w14:textFill>
              </w:rPr>
              <w:t>液化石油气钢瓶</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20万个/年，经检验、水压试验、气密性试验不合格</w:t>
            </w:r>
            <w:r>
              <w:rPr>
                <w:rFonts w:hint="eastAsia" w:ascii="Times New Roman" w:hAnsi="Times New Roman" w:cs="Times New Roman"/>
                <w:b w:val="0"/>
                <w:bCs w:val="0"/>
                <w:color w:val="000000" w:themeColor="text1"/>
                <w:kern w:val="0"/>
                <w:sz w:val="24"/>
                <w:szCs w:val="24"/>
                <w:lang w:val="en-US" w:eastAsia="zh-CN" w:bidi="ar"/>
                <w14:textFill>
                  <w14:solidFill>
                    <w14:schemeClr w14:val="tx1"/>
                  </w14:solidFill>
                </w14:textFill>
              </w:rPr>
              <w:t>液化石油气钢瓶</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为6500个，则进入刷字工段</w:t>
            </w:r>
            <w:r>
              <w:rPr>
                <w:rFonts w:hint="eastAsia" w:ascii="Times New Roman" w:hAnsi="Times New Roman" w:cs="Times New Roman"/>
                <w:b w:val="0"/>
                <w:bCs w:val="0"/>
                <w:color w:val="000000" w:themeColor="text1"/>
                <w:kern w:val="0"/>
                <w:sz w:val="24"/>
                <w:szCs w:val="24"/>
                <w:lang w:val="en-US" w:eastAsia="zh-CN" w:bidi="ar"/>
                <w14:textFill>
                  <w14:solidFill>
                    <w14:schemeClr w14:val="tx1"/>
                  </w14:solidFill>
                </w14:textFill>
              </w:rPr>
              <w:t>液化石油气钢瓶</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数量为19.35万个，则所需油墨的总量约0.488781t/a。</w:t>
            </w:r>
          </w:p>
          <w:p w14:paraId="65B0736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3）</w:t>
            </w:r>
            <w:r>
              <w:rPr>
                <w:rFonts w:hint="default" w:ascii="Times New Roman" w:hAnsi="Times New Roman" w:cs="Times New Roman"/>
                <w:b/>
                <w:bCs/>
                <w:color w:val="000000" w:themeColor="text1"/>
                <w:kern w:val="0"/>
                <w:sz w:val="24"/>
                <w:szCs w:val="24"/>
                <w:lang w:val="en-US" w:eastAsia="zh-CN" w:bidi="ar"/>
                <w14:textFill>
                  <w14:solidFill>
                    <w14:schemeClr w14:val="tx1"/>
                  </w14:solidFill>
                </w14:textFill>
              </w:rPr>
              <w:t>生物质燃料</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用量</w:t>
            </w:r>
          </w:p>
          <w:p w14:paraId="68BE457F">
            <w:pPr>
              <w:spacing w:line="348" w:lineRule="auto"/>
              <w:ind w:firstLine="480" w:firstLineChars="200"/>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项目设置1台焚烧炉，单台焚烧炉发热量为30万大卡。焚烧炉日运行时间约为8h，即项目生产线需热值为240万kcal，约10046044.37kJ/d。</w:t>
            </w:r>
          </w:p>
          <w:p w14:paraId="720F218E">
            <w:pPr>
              <w:spacing w:line="348" w:lineRule="auto"/>
              <w:ind w:firstLine="480" w:firstLineChars="200"/>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生物质燃料为由秸秆、稻草、稻壳、花生壳、玉米芯、油茶壳、棉籽壳等以及“三剩物”经过加工产生的柱状环保新能源。生物质燃料的直径一般为6~10毫米。其优点是充分利用生物质能源替代煤炭，减少CO</w:t>
            </w:r>
            <w:r>
              <w:rPr>
                <w:rFonts w:hint="default" w:ascii="Times New Roman" w:hAnsi="Times New Roman" w:eastAsia="宋体" w:cs="Times New Roman"/>
                <w:b w:val="0"/>
                <w:bCs w:val="0"/>
                <w:color w:val="000000" w:themeColor="text1"/>
                <w:sz w:val="24"/>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和SO</w:t>
            </w:r>
            <w:r>
              <w:rPr>
                <w:rFonts w:hint="default" w:ascii="Times New Roman" w:hAnsi="Times New Roman" w:eastAsia="宋体" w:cs="Times New Roman"/>
                <w:b w:val="0"/>
                <w:bCs w:val="0"/>
                <w:color w:val="000000" w:themeColor="text1"/>
                <w:sz w:val="24"/>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排放量，有利于环保和控制温室气体的排放，减缓气候变坏，减少自然灾害的发生。</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本次参考</w:t>
            </w:r>
            <w:r>
              <w:rPr>
                <w:rFonts w:hint="default" w:ascii="Times New Roman" w:hAnsi="Times New Roman" w:eastAsia="宋体" w:cs="Times New Roman"/>
                <w:b w:val="0"/>
                <w:bCs w:val="0"/>
                <w:color w:val="000000" w:themeColor="text1"/>
                <w:sz w:val="24"/>
                <w14:textFill>
                  <w14:solidFill>
                    <w14:schemeClr w14:val="tx1"/>
                  </w14:solidFill>
                </w14:textFill>
              </w:rPr>
              <w:t>颗粒帮</w:t>
            </w:r>
            <w:r>
              <w:rPr>
                <w:rFonts w:hint="default"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云南</w:t>
            </w:r>
            <w:r>
              <w:rPr>
                <w:rFonts w:hint="default"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科技有限公司</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（原</w:t>
            </w:r>
            <w:r>
              <w:rPr>
                <w:rFonts w:hint="default" w:ascii="Times New Roman" w:hAnsi="Times New Roman" w:eastAsia="宋体" w:cs="Times New Roman"/>
                <w:b w:val="0"/>
                <w:bCs w:val="0"/>
                <w:color w:val="000000" w:themeColor="text1"/>
                <w:sz w:val="24"/>
                <w14:textFill>
                  <w14:solidFill>
                    <w14:schemeClr w14:val="tx1"/>
                  </w14:solidFill>
                </w14:textFill>
              </w:rPr>
              <w:t>昆明翰朗伯宏</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新</w:t>
            </w:r>
            <w:r>
              <w:rPr>
                <w:rFonts w:hint="default" w:ascii="Times New Roman" w:hAnsi="Times New Roman" w:eastAsia="宋体" w:cs="Times New Roman"/>
                <w:b w:val="0"/>
                <w:bCs w:val="0"/>
                <w:color w:val="000000" w:themeColor="text1"/>
                <w:sz w:val="24"/>
                <w14:textFill>
                  <w14:solidFill>
                    <w14:schemeClr w14:val="tx1"/>
                  </w14:solidFill>
                </w14:textFill>
              </w:rPr>
              <w:t>能源有限公司</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的固体生物质</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成分指标</w:t>
            </w:r>
            <w:r>
              <w:rPr>
                <w:rFonts w:hint="default" w:ascii="Times New Roman" w:hAnsi="Times New Roman" w:eastAsia="宋体" w:cs="Times New Roman"/>
                <w:b w:val="0"/>
                <w:bCs w:val="0"/>
                <w:color w:val="000000" w:themeColor="text1"/>
                <w:sz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主要的参数指标</w:t>
            </w:r>
            <w:r>
              <w:rPr>
                <w:rFonts w:hint="default" w:ascii="Times New Roman" w:hAnsi="Times New Roman" w:cs="Times New Roman"/>
                <w:color w:val="000000" w:themeColor="text1"/>
                <w:sz w:val="24"/>
                <w:lang w:eastAsia="zh-CN"/>
                <w14:textFill>
                  <w14:solidFill>
                    <w14:schemeClr w14:val="tx1"/>
                  </w14:solidFill>
                </w14:textFill>
              </w:rPr>
              <w:t>如下</w:t>
            </w:r>
            <w:r>
              <w:rPr>
                <w:rFonts w:hint="default" w:ascii="Times New Roman" w:hAnsi="Times New Roman" w:cs="Times New Roman"/>
                <w:color w:val="000000" w:themeColor="text1"/>
                <w:sz w:val="24"/>
                <w14:textFill>
                  <w14:solidFill>
                    <w14:schemeClr w14:val="tx1"/>
                  </w14:solidFill>
                </w14:textFill>
              </w:rPr>
              <w:t>表：</w:t>
            </w:r>
          </w:p>
          <w:p w14:paraId="4A8E6A3D">
            <w:pPr>
              <w:pStyle w:val="45"/>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生物质燃料参数指标</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1257"/>
              <w:gridCol w:w="1046"/>
              <w:gridCol w:w="1222"/>
              <w:gridCol w:w="1332"/>
              <w:gridCol w:w="1244"/>
              <w:gridCol w:w="1415"/>
            </w:tblGrid>
            <w:tr w14:paraId="09645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814" w:type="dxa"/>
                  <w:tcBorders>
                    <w:tl2br w:val="nil"/>
                    <w:tr2bl w:val="nil"/>
                  </w:tcBorders>
                  <w:noWrap w:val="0"/>
                  <w:vAlign w:val="center"/>
                </w:tcPr>
                <w:p w14:paraId="40047905">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全水分（M</w:t>
                  </w:r>
                  <w:r>
                    <w:rPr>
                      <w:rFonts w:hint="default" w:ascii="Times New Roman" w:hAnsi="Times New Roman" w:cs="Times New Roman"/>
                      <w:b w:val="0"/>
                      <w:bCs w:val="0"/>
                      <w:color w:val="000000" w:themeColor="text1"/>
                      <w:szCs w:val="21"/>
                      <w:vertAlign w:val="subscript"/>
                      <w14:textFill>
                        <w14:solidFill>
                          <w14:schemeClr w14:val="tx1"/>
                        </w14:solidFill>
                      </w14:textFill>
                    </w:rPr>
                    <w:t>t</w:t>
                  </w:r>
                  <w:r>
                    <w:rPr>
                      <w:rFonts w:hint="default" w:ascii="Times New Roman" w:hAnsi="Times New Roman" w:cs="Times New Roman"/>
                      <w:b w:val="0"/>
                      <w:bCs w:val="0"/>
                      <w:color w:val="000000" w:themeColor="text1"/>
                      <w:szCs w:val="21"/>
                      <w14:textFill>
                        <w14:solidFill>
                          <w14:schemeClr w14:val="tx1"/>
                        </w14:solidFill>
                      </w14:textFill>
                    </w:rPr>
                    <w:t>）</w:t>
                  </w:r>
                </w:p>
              </w:tc>
              <w:tc>
                <w:tcPr>
                  <w:tcW w:w="1211" w:type="dxa"/>
                  <w:tcBorders>
                    <w:tl2br w:val="nil"/>
                    <w:tr2bl w:val="nil"/>
                  </w:tcBorders>
                  <w:noWrap w:val="0"/>
                  <w:vAlign w:val="center"/>
                </w:tcPr>
                <w:p w14:paraId="24EC3A3D">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空气干燥基水分（M</w:t>
                  </w:r>
                  <w:r>
                    <w:rPr>
                      <w:rFonts w:hint="default" w:ascii="Times New Roman" w:hAnsi="Times New Roman" w:cs="Times New Roman"/>
                      <w:b w:val="0"/>
                      <w:bCs w:val="0"/>
                      <w:color w:val="000000" w:themeColor="text1"/>
                      <w:szCs w:val="21"/>
                      <w:vertAlign w:val="subscript"/>
                      <w14:textFill>
                        <w14:solidFill>
                          <w14:schemeClr w14:val="tx1"/>
                        </w14:solidFill>
                      </w14:textFill>
                    </w:rPr>
                    <w:t>ad</w:t>
                  </w:r>
                  <w:r>
                    <w:rPr>
                      <w:rFonts w:hint="default" w:ascii="Times New Roman" w:hAnsi="Times New Roman" w:cs="Times New Roman"/>
                      <w:b w:val="0"/>
                      <w:bCs w:val="0"/>
                      <w:color w:val="000000" w:themeColor="text1"/>
                      <w:szCs w:val="21"/>
                      <w14:textFill>
                        <w14:solidFill>
                          <w14:schemeClr w14:val="tx1"/>
                        </w14:solidFill>
                      </w14:textFill>
                    </w:rPr>
                    <w:t>）</w:t>
                  </w:r>
                </w:p>
              </w:tc>
              <w:tc>
                <w:tcPr>
                  <w:tcW w:w="1008" w:type="dxa"/>
                  <w:tcBorders>
                    <w:tl2br w:val="nil"/>
                    <w:tr2bl w:val="nil"/>
                  </w:tcBorders>
                  <w:noWrap w:val="0"/>
                  <w:vAlign w:val="center"/>
                </w:tcPr>
                <w:p w14:paraId="261C41D3">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干燥基灰分（A</w:t>
                  </w:r>
                  <w:r>
                    <w:rPr>
                      <w:rFonts w:hint="default" w:ascii="Times New Roman" w:hAnsi="Times New Roman" w:cs="Times New Roman"/>
                      <w:b w:val="0"/>
                      <w:bCs w:val="0"/>
                      <w:color w:val="000000" w:themeColor="text1"/>
                      <w:szCs w:val="21"/>
                      <w:vertAlign w:val="subscript"/>
                      <w14:textFill>
                        <w14:solidFill>
                          <w14:schemeClr w14:val="tx1"/>
                        </w14:solidFill>
                      </w14:textFill>
                    </w:rPr>
                    <w:t>d</w:t>
                  </w:r>
                  <w:r>
                    <w:rPr>
                      <w:rFonts w:hint="default" w:ascii="Times New Roman" w:hAnsi="Times New Roman" w:cs="Times New Roman"/>
                      <w:b w:val="0"/>
                      <w:bCs w:val="0"/>
                      <w:color w:val="000000" w:themeColor="text1"/>
                      <w:szCs w:val="21"/>
                      <w14:textFill>
                        <w14:solidFill>
                          <w14:schemeClr w14:val="tx1"/>
                        </w14:solidFill>
                      </w14:textFill>
                    </w:rPr>
                    <w:t>）</w:t>
                  </w:r>
                </w:p>
              </w:tc>
              <w:tc>
                <w:tcPr>
                  <w:tcW w:w="1177" w:type="dxa"/>
                  <w:tcBorders>
                    <w:tl2br w:val="nil"/>
                    <w:tr2bl w:val="nil"/>
                  </w:tcBorders>
                  <w:noWrap w:val="0"/>
                  <w:vAlign w:val="center"/>
                </w:tcPr>
                <w:p w14:paraId="2800FF91">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干燥无灰基挥发分（V</w:t>
                  </w:r>
                  <w:r>
                    <w:rPr>
                      <w:rFonts w:hint="default" w:ascii="Times New Roman" w:hAnsi="Times New Roman" w:cs="Times New Roman"/>
                      <w:b w:val="0"/>
                      <w:bCs w:val="0"/>
                      <w:color w:val="000000" w:themeColor="text1"/>
                      <w:szCs w:val="21"/>
                      <w:vertAlign w:val="subscript"/>
                      <w14:textFill>
                        <w14:solidFill>
                          <w14:schemeClr w14:val="tx1"/>
                        </w14:solidFill>
                      </w14:textFill>
                    </w:rPr>
                    <w:t>daf</w:t>
                  </w:r>
                  <w:r>
                    <w:rPr>
                      <w:rFonts w:hint="default" w:ascii="Times New Roman" w:hAnsi="Times New Roman" w:cs="Times New Roman"/>
                      <w:b w:val="0"/>
                      <w:bCs w:val="0"/>
                      <w:color w:val="000000" w:themeColor="text1"/>
                      <w:szCs w:val="21"/>
                      <w14:textFill>
                        <w14:solidFill>
                          <w14:schemeClr w14:val="tx1"/>
                        </w14:solidFill>
                      </w14:textFill>
                    </w:rPr>
                    <w:t>）</w:t>
                  </w:r>
                </w:p>
              </w:tc>
              <w:tc>
                <w:tcPr>
                  <w:tcW w:w="1283" w:type="dxa"/>
                  <w:tcBorders>
                    <w:tl2br w:val="nil"/>
                    <w:tr2bl w:val="nil"/>
                  </w:tcBorders>
                  <w:noWrap w:val="0"/>
                  <w:vAlign w:val="center"/>
                </w:tcPr>
                <w:p w14:paraId="21551D86">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干燥基固定碳（FC</w:t>
                  </w:r>
                  <w:r>
                    <w:rPr>
                      <w:rFonts w:hint="default" w:ascii="Times New Roman" w:hAnsi="Times New Roman" w:cs="Times New Roman"/>
                      <w:b w:val="0"/>
                      <w:bCs w:val="0"/>
                      <w:color w:val="000000" w:themeColor="text1"/>
                      <w:szCs w:val="21"/>
                      <w:vertAlign w:val="subscript"/>
                      <w14:textFill>
                        <w14:solidFill>
                          <w14:schemeClr w14:val="tx1"/>
                        </w14:solidFill>
                      </w14:textFill>
                    </w:rPr>
                    <w:t>d</w:t>
                  </w:r>
                  <w:r>
                    <w:rPr>
                      <w:rFonts w:hint="default" w:ascii="Times New Roman" w:hAnsi="Times New Roman" w:cs="Times New Roman"/>
                      <w:b w:val="0"/>
                      <w:bCs w:val="0"/>
                      <w:color w:val="000000" w:themeColor="text1"/>
                      <w:szCs w:val="21"/>
                      <w14:textFill>
                        <w14:solidFill>
                          <w14:schemeClr w14:val="tx1"/>
                        </w14:solidFill>
                      </w14:textFill>
                    </w:rPr>
                    <w:t>）</w:t>
                  </w:r>
                </w:p>
              </w:tc>
              <w:tc>
                <w:tcPr>
                  <w:tcW w:w="1199" w:type="dxa"/>
                  <w:tcBorders>
                    <w:tl2br w:val="nil"/>
                    <w:tr2bl w:val="nil"/>
                  </w:tcBorders>
                  <w:noWrap w:val="0"/>
                  <w:vAlign w:val="center"/>
                </w:tcPr>
                <w:p w14:paraId="3D3EB7BB">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空气干燥基全硫（S</w:t>
                  </w:r>
                  <w:r>
                    <w:rPr>
                      <w:rFonts w:hint="default" w:ascii="Times New Roman" w:hAnsi="Times New Roman" w:cs="Times New Roman"/>
                      <w:b w:val="0"/>
                      <w:bCs w:val="0"/>
                      <w:color w:val="000000" w:themeColor="text1"/>
                      <w:szCs w:val="21"/>
                      <w:vertAlign w:val="subscript"/>
                      <w14:textFill>
                        <w14:solidFill>
                          <w14:schemeClr w14:val="tx1"/>
                        </w14:solidFill>
                      </w14:textFill>
                    </w:rPr>
                    <w:t>t,ad</w:t>
                  </w:r>
                  <w:r>
                    <w:rPr>
                      <w:rFonts w:hint="default" w:ascii="Times New Roman" w:hAnsi="Times New Roman" w:cs="Times New Roman"/>
                      <w:b w:val="0"/>
                      <w:bCs w:val="0"/>
                      <w:color w:val="000000" w:themeColor="text1"/>
                      <w:szCs w:val="21"/>
                      <w14:textFill>
                        <w14:solidFill>
                          <w14:schemeClr w14:val="tx1"/>
                        </w14:solidFill>
                      </w14:textFill>
                    </w:rPr>
                    <w:t>）</w:t>
                  </w:r>
                </w:p>
              </w:tc>
              <w:tc>
                <w:tcPr>
                  <w:tcW w:w="1363" w:type="dxa"/>
                  <w:tcBorders>
                    <w:tl2br w:val="nil"/>
                    <w:tr2bl w:val="nil"/>
                  </w:tcBorders>
                  <w:noWrap w:val="0"/>
                  <w:vAlign w:val="center"/>
                </w:tcPr>
                <w:p w14:paraId="2C7872DF">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空气干燥基氢元素（H</w:t>
                  </w:r>
                  <w:r>
                    <w:rPr>
                      <w:rFonts w:hint="default" w:ascii="Times New Roman" w:hAnsi="Times New Roman" w:cs="Times New Roman"/>
                      <w:b w:val="0"/>
                      <w:bCs w:val="0"/>
                      <w:color w:val="000000" w:themeColor="text1"/>
                      <w:szCs w:val="21"/>
                      <w:vertAlign w:val="subscript"/>
                      <w14:textFill>
                        <w14:solidFill>
                          <w14:schemeClr w14:val="tx1"/>
                        </w14:solidFill>
                      </w14:textFill>
                    </w:rPr>
                    <w:t>ad</w:t>
                  </w:r>
                  <w:r>
                    <w:rPr>
                      <w:rFonts w:hint="default" w:ascii="Times New Roman" w:hAnsi="Times New Roman" w:cs="Times New Roman"/>
                      <w:b w:val="0"/>
                      <w:bCs w:val="0"/>
                      <w:color w:val="000000" w:themeColor="text1"/>
                      <w:szCs w:val="21"/>
                      <w14:textFill>
                        <w14:solidFill>
                          <w14:schemeClr w14:val="tx1"/>
                        </w14:solidFill>
                      </w14:textFill>
                    </w:rPr>
                    <w:t>）</w:t>
                  </w:r>
                </w:p>
              </w:tc>
            </w:tr>
            <w:tr w14:paraId="08529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Borders>
                    <w:tl2br w:val="nil"/>
                    <w:tr2bl w:val="nil"/>
                  </w:tcBorders>
                  <w:noWrap w:val="0"/>
                  <w:vAlign w:val="center"/>
                </w:tcPr>
                <w:p w14:paraId="40E8C3D5">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5.7%</w:t>
                  </w:r>
                </w:p>
              </w:tc>
              <w:tc>
                <w:tcPr>
                  <w:tcW w:w="1211" w:type="dxa"/>
                  <w:tcBorders>
                    <w:tl2br w:val="nil"/>
                    <w:tr2bl w:val="nil"/>
                  </w:tcBorders>
                  <w:noWrap w:val="0"/>
                  <w:vAlign w:val="center"/>
                </w:tcPr>
                <w:p w14:paraId="0DFCAF14">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0.91%</w:t>
                  </w:r>
                </w:p>
              </w:tc>
              <w:tc>
                <w:tcPr>
                  <w:tcW w:w="1008" w:type="dxa"/>
                  <w:tcBorders>
                    <w:tl2br w:val="nil"/>
                    <w:tr2bl w:val="nil"/>
                  </w:tcBorders>
                  <w:noWrap w:val="0"/>
                  <w:vAlign w:val="center"/>
                </w:tcPr>
                <w:p w14:paraId="3AEA2356">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4.02%</w:t>
                  </w:r>
                </w:p>
              </w:tc>
              <w:tc>
                <w:tcPr>
                  <w:tcW w:w="1177" w:type="dxa"/>
                  <w:tcBorders>
                    <w:tl2br w:val="nil"/>
                    <w:tr2bl w:val="nil"/>
                  </w:tcBorders>
                  <w:noWrap w:val="0"/>
                  <w:vAlign w:val="center"/>
                </w:tcPr>
                <w:p w14:paraId="63EFBA2A">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80.37%</w:t>
                  </w:r>
                </w:p>
              </w:tc>
              <w:tc>
                <w:tcPr>
                  <w:tcW w:w="1283" w:type="dxa"/>
                  <w:tcBorders>
                    <w:tl2br w:val="nil"/>
                    <w:tr2bl w:val="nil"/>
                  </w:tcBorders>
                  <w:noWrap w:val="0"/>
                  <w:vAlign w:val="center"/>
                </w:tcPr>
                <w:p w14:paraId="4CC8DB71">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18.84%</w:t>
                  </w:r>
                </w:p>
              </w:tc>
              <w:tc>
                <w:tcPr>
                  <w:tcW w:w="1199" w:type="dxa"/>
                  <w:tcBorders>
                    <w:tl2br w:val="nil"/>
                    <w:tr2bl w:val="nil"/>
                  </w:tcBorders>
                  <w:noWrap w:val="0"/>
                  <w:vAlign w:val="center"/>
                </w:tcPr>
                <w:p w14:paraId="24E7B37A">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0.03%</w:t>
                  </w:r>
                </w:p>
              </w:tc>
              <w:tc>
                <w:tcPr>
                  <w:tcW w:w="1363" w:type="dxa"/>
                  <w:tcBorders>
                    <w:tl2br w:val="nil"/>
                    <w:tr2bl w:val="nil"/>
                  </w:tcBorders>
                  <w:noWrap w:val="0"/>
                  <w:vAlign w:val="center"/>
                </w:tcPr>
                <w:p w14:paraId="41D91A9F">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5.76%</w:t>
                  </w:r>
                </w:p>
              </w:tc>
            </w:tr>
            <w:tr w14:paraId="404F1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3" w:type="dxa"/>
                  <w:gridSpan w:val="3"/>
                  <w:tcBorders>
                    <w:tl2br w:val="nil"/>
                    <w:tr2bl w:val="nil"/>
                  </w:tcBorders>
                  <w:noWrap w:val="0"/>
                  <w:vAlign w:val="center"/>
                </w:tcPr>
                <w:p w14:paraId="681C130C">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空气干燥基弹筒发热量（Q</w:t>
                  </w:r>
                  <w:r>
                    <w:rPr>
                      <w:rFonts w:hint="default" w:ascii="Times New Roman" w:hAnsi="Times New Roman" w:cs="Times New Roman"/>
                      <w:b w:val="0"/>
                      <w:bCs w:val="0"/>
                      <w:color w:val="000000" w:themeColor="text1"/>
                      <w:szCs w:val="21"/>
                      <w:vertAlign w:val="subscript"/>
                      <w14:textFill>
                        <w14:solidFill>
                          <w14:schemeClr w14:val="tx1"/>
                        </w14:solidFill>
                      </w14:textFill>
                    </w:rPr>
                    <w:t>b,ad</w:t>
                  </w:r>
                  <w:r>
                    <w:rPr>
                      <w:rFonts w:hint="default" w:ascii="Times New Roman" w:hAnsi="Times New Roman" w:cs="Times New Roman"/>
                      <w:b w:val="0"/>
                      <w:bCs w:val="0"/>
                      <w:color w:val="000000" w:themeColor="text1"/>
                      <w:szCs w:val="21"/>
                      <w14:textFill>
                        <w14:solidFill>
                          <w14:schemeClr w14:val="tx1"/>
                        </w14:solidFill>
                      </w14:textFill>
                    </w:rPr>
                    <w:t>）</w:t>
                  </w:r>
                </w:p>
                <w:p w14:paraId="713A6531">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（MJ/kg）</w:t>
                  </w:r>
                </w:p>
              </w:tc>
              <w:tc>
                <w:tcPr>
                  <w:tcW w:w="2460" w:type="dxa"/>
                  <w:gridSpan w:val="2"/>
                  <w:tcBorders>
                    <w:tl2br w:val="nil"/>
                    <w:tr2bl w:val="nil"/>
                  </w:tcBorders>
                  <w:noWrap w:val="0"/>
                  <w:vAlign w:val="center"/>
                </w:tcPr>
                <w:p w14:paraId="297C4A95">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空气干燥基高位发热量（Q</w:t>
                  </w:r>
                  <w:r>
                    <w:rPr>
                      <w:rFonts w:hint="default" w:ascii="Times New Roman" w:hAnsi="Times New Roman" w:cs="Times New Roman"/>
                      <w:b w:val="0"/>
                      <w:bCs w:val="0"/>
                      <w:color w:val="000000" w:themeColor="text1"/>
                      <w:szCs w:val="21"/>
                      <w:vertAlign w:val="subscript"/>
                      <w14:textFill>
                        <w14:solidFill>
                          <w14:schemeClr w14:val="tx1"/>
                        </w14:solidFill>
                      </w14:textFill>
                    </w:rPr>
                    <w:t>gr,ad</w:t>
                  </w:r>
                  <w:r>
                    <w:rPr>
                      <w:rFonts w:hint="default" w:ascii="Times New Roman" w:hAnsi="Times New Roman" w:cs="Times New Roman"/>
                      <w:b w:val="0"/>
                      <w:bCs w:val="0"/>
                      <w:color w:val="000000" w:themeColor="text1"/>
                      <w:szCs w:val="21"/>
                      <w14:textFill>
                        <w14:solidFill>
                          <w14:schemeClr w14:val="tx1"/>
                        </w14:solidFill>
                      </w14:textFill>
                    </w:rPr>
                    <w:t>）</w:t>
                  </w:r>
                </w:p>
              </w:tc>
              <w:tc>
                <w:tcPr>
                  <w:tcW w:w="2562" w:type="dxa"/>
                  <w:gridSpan w:val="2"/>
                  <w:tcBorders>
                    <w:tl2br w:val="nil"/>
                    <w:tr2bl w:val="nil"/>
                  </w:tcBorders>
                  <w:noWrap w:val="0"/>
                  <w:vAlign w:val="center"/>
                </w:tcPr>
                <w:p w14:paraId="4F75C478">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收到基恒容低位发热量（Q</w:t>
                  </w:r>
                  <w:r>
                    <w:rPr>
                      <w:rFonts w:hint="default" w:ascii="Times New Roman" w:hAnsi="Times New Roman" w:cs="Times New Roman"/>
                      <w:b w:val="0"/>
                      <w:bCs w:val="0"/>
                      <w:color w:val="000000" w:themeColor="text1"/>
                      <w:szCs w:val="21"/>
                      <w:vertAlign w:val="subscript"/>
                      <w14:textFill>
                        <w14:solidFill>
                          <w14:schemeClr w14:val="tx1"/>
                        </w14:solidFill>
                      </w14:textFill>
                    </w:rPr>
                    <w:t>net,v,ar</w:t>
                  </w:r>
                  <w:r>
                    <w:rPr>
                      <w:rFonts w:hint="default" w:ascii="Times New Roman" w:hAnsi="Times New Roman" w:cs="Times New Roman"/>
                      <w:b w:val="0"/>
                      <w:bCs w:val="0"/>
                      <w:color w:val="000000" w:themeColor="text1"/>
                      <w:szCs w:val="21"/>
                      <w14:textFill>
                        <w14:solidFill>
                          <w14:schemeClr w14:val="tx1"/>
                        </w14:solidFill>
                      </w14:textFill>
                    </w:rPr>
                    <w:t>）</w:t>
                  </w:r>
                </w:p>
              </w:tc>
            </w:tr>
            <w:tr w14:paraId="69D50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3" w:type="dxa"/>
                  <w:gridSpan w:val="3"/>
                  <w:tcBorders>
                    <w:tl2br w:val="nil"/>
                    <w:tr2bl w:val="nil"/>
                  </w:tcBorders>
                  <w:noWrap w:val="0"/>
                  <w:vAlign w:val="center"/>
                </w:tcPr>
                <w:p w14:paraId="1B85C263">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18.92MJ/kg</w:t>
                  </w:r>
                </w:p>
              </w:tc>
              <w:tc>
                <w:tcPr>
                  <w:tcW w:w="2460" w:type="dxa"/>
                  <w:gridSpan w:val="2"/>
                  <w:tcBorders>
                    <w:tl2br w:val="nil"/>
                    <w:tr2bl w:val="nil"/>
                  </w:tcBorders>
                  <w:noWrap w:val="0"/>
                  <w:vAlign w:val="center"/>
                </w:tcPr>
                <w:p w14:paraId="7DBB516D">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18.89MJ/kg</w:t>
                  </w:r>
                </w:p>
              </w:tc>
              <w:tc>
                <w:tcPr>
                  <w:tcW w:w="2562" w:type="dxa"/>
                  <w:gridSpan w:val="2"/>
                  <w:tcBorders>
                    <w:tl2br w:val="nil"/>
                    <w:tr2bl w:val="nil"/>
                  </w:tcBorders>
                  <w:noWrap w:val="0"/>
                  <w:vAlign w:val="center"/>
                </w:tcPr>
                <w:p w14:paraId="5CA4594E">
                  <w:pPr>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16.72MJ/kg</w:t>
                  </w:r>
                </w:p>
              </w:tc>
            </w:tr>
          </w:tbl>
          <w:p w14:paraId="7CB9DE0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0"/>
                <w:szCs w:val="20"/>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生物质燃料</w:t>
            </w:r>
            <w:r>
              <w:rPr>
                <w:rFonts w:hint="default" w:ascii="Times New Roman" w:hAnsi="Times New Roman" w:eastAsia="宋体" w:cs="Times New Roman"/>
                <w:b w:val="0"/>
                <w:bCs w:val="0"/>
                <w:color w:val="000000" w:themeColor="text1"/>
                <w:sz w:val="24"/>
                <w14:textFill>
                  <w14:solidFill>
                    <w14:schemeClr w14:val="tx1"/>
                  </w14:solidFill>
                </w14:textFill>
              </w:rPr>
              <w:t>燃料低位发热值为16720kJ/kg</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cs="Times New Roman"/>
                <w:b w:val="0"/>
                <w:bCs w:val="0"/>
                <w:color w:val="000000" w:themeColor="text1"/>
                <w:sz w:val="24"/>
                <w:lang w:eastAsia="zh-CN"/>
                <w14:textFill>
                  <w14:solidFill>
                    <w14:schemeClr w14:val="tx1"/>
                  </w14:solidFill>
                </w14:textFill>
              </w:rPr>
              <w:t>焚烧炉</w:t>
            </w:r>
            <w:r>
              <w:rPr>
                <w:rFonts w:hint="default" w:ascii="Times New Roman" w:hAnsi="Times New Roman" w:cs="Times New Roman"/>
                <w:b w:val="0"/>
                <w:bCs w:val="0"/>
                <w:color w:val="000000" w:themeColor="text1"/>
                <w:sz w:val="24"/>
                <w:lang w:val="en-US" w:eastAsia="zh-CN"/>
                <w14:textFill>
                  <w14:solidFill>
                    <w14:schemeClr w14:val="tx1"/>
                  </w14:solidFill>
                </w14:textFill>
              </w:rPr>
              <w:t>热效率按80%计，则</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生物质用量为</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0.</w:t>
            </w:r>
            <w:r>
              <w:rPr>
                <w:rFonts w:hint="default" w:ascii="Times New Roman" w:hAnsi="Times New Roman" w:cs="Times New Roman"/>
                <w:b w:val="0"/>
                <w:bCs w:val="0"/>
                <w:color w:val="000000" w:themeColor="text1"/>
                <w:sz w:val="24"/>
                <w:lang w:val="en-US" w:eastAsia="zh-CN"/>
                <w14:textFill>
                  <w14:solidFill>
                    <w14:schemeClr w14:val="tx1"/>
                  </w14:solidFill>
                </w14:textFill>
              </w:rPr>
              <w:t>75125</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t/d，即225.375t/a。</w:t>
            </w:r>
          </w:p>
          <w:p w14:paraId="55CE9AB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4）液化石油气用量</w:t>
            </w:r>
          </w:p>
          <w:p w14:paraId="40AD81B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项目设置1台固化炉，单台固化炉发热量为20万大卡。固化炉日运行时间约为8h，即项目生产线需热值为160万kcal，约6697362.91kJ/d。</w:t>
            </w:r>
          </w:p>
          <w:p w14:paraId="05C4018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查阅《</w:t>
            </w:r>
            <w:r>
              <w:rPr>
                <w:rFonts w:hint="default" w:ascii="Times New Roman" w:hAnsi="Times New Roman" w:cs="Times New Roman"/>
                <w:color w:val="000000" w:themeColor="text1"/>
                <w:sz w:val="24"/>
                <w:lang w:val="en-US" w:eastAsia="zh-CN"/>
                <w14:textFill>
                  <w14:solidFill>
                    <w14:schemeClr w14:val="tx1"/>
                  </w14:solidFill>
                </w14:textFill>
              </w:rPr>
              <w:t>综合能耗计算通则</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（GB/T 2589-2020）</w:t>
            </w:r>
            <w:r>
              <w:rPr>
                <w:rFonts w:hint="default" w:ascii="Times New Roman" w:hAnsi="Times New Roman" w:eastAsia="宋体" w:cs="Times New Roman"/>
                <w:color w:val="000000" w:themeColor="text1"/>
                <w:sz w:val="24"/>
                <w:lang w:val="en-US" w:eastAsia="zh-CN"/>
                <w14:textFill>
                  <w14:solidFill>
                    <w14:schemeClr w14:val="tx1"/>
                  </w14:solidFill>
                </w14:textFill>
              </w:rPr>
              <w:t>，液化石油气的</w:t>
            </w:r>
            <w:r>
              <w:rPr>
                <w:rFonts w:hint="default" w:ascii="Times New Roman" w:hAnsi="Times New Roman" w:cs="Times New Roman"/>
                <w:color w:val="000000" w:themeColor="text1"/>
                <w:sz w:val="24"/>
                <w:lang w:val="en-US" w:eastAsia="zh-CN"/>
                <w14:textFill>
                  <w14:solidFill>
                    <w14:schemeClr w14:val="tx1"/>
                  </w14:solidFill>
                </w14:textFill>
              </w:rPr>
              <w:t>平均</w:t>
            </w:r>
            <w:r>
              <w:rPr>
                <w:rFonts w:hint="default" w:ascii="Times New Roman" w:hAnsi="Times New Roman" w:eastAsia="宋体" w:cs="Times New Roman"/>
                <w:color w:val="000000" w:themeColor="text1"/>
                <w:sz w:val="24"/>
                <w:lang w:val="en-US" w:eastAsia="zh-CN"/>
                <w14:textFill>
                  <w14:solidFill>
                    <w14:schemeClr w14:val="tx1"/>
                  </w14:solidFill>
                </w14:textFill>
              </w:rPr>
              <w:t>低位热值</w:t>
            </w:r>
            <w:r>
              <w:rPr>
                <w:rFonts w:hint="default" w:ascii="Times New Roman" w:hAnsi="Times New Roman" w:cs="Times New Roman"/>
                <w:color w:val="000000" w:themeColor="text1"/>
                <w:sz w:val="24"/>
                <w:lang w:val="en-US" w:eastAsia="zh-CN"/>
                <w14:textFill>
                  <w14:solidFill>
                    <w14:schemeClr w14:val="tx1"/>
                  </w14:solidFill>
                </w14:textFill>
              </w:rPr>
              <w:t>为50242</w:t>
            </w:r>
            <w:r>
              <w:rPr>
                <w:rFonts w:hint="default" w:ascii="Times New Roman" w:hAnsi="Times New Roman" w:eastAsia="宋体" w:cs="Times New Roman"/>
                <w:color w:val="000000" w:themeColor="text1"/>
                <w:sz w:val="24"/>
                <w:lang w:val="en-US" w:eastAsia="zh-CN"/>
                <w14:textFill>
                  <w14:solidFill>
                    <w14:schemeClr w14:val="tx1"/>
                  </w14:solidFill>
                </w14:textFill>
              </w:rPr>
              <w:t>kJ/</w:t>
            </w:r>
            <w:r>
              <w:rPr>
                <w:rFonts w:hint="default" w:ascii="Times New Roman" w:hAnsi="Times New Roman" w:cs="Times New Roman"/>
                <w:color w:val="000000" w:themeColor="text1"/>
                <w:sz w:val="24"/>
                <w:lang w:val="en-US" w:eastAsia="zh-CN"/>
                <w14:textFill>
                  <w14:solidFill>
                    <w14:schemeClr w14:val="tx1"/>
                  </w14:solidFill>
                </w14:textFill>
              </w:rPr>
              <w:t>kg，</w:t>
            </w:r>
            <w:r>
              <w:rPr>
                <w:rFonts w:hint="default" w:ascii="Times New Roman" w:hAnsi="Times New Roman" w:eastAsia="宋体" w:cs="Times New Roman"/>
                <w:color w:val="000000" w:themeColor="text1"/>
                <w:sz w:val="24"/>
                <w:lang w:val="en-US" w:eastAsia="zh-CN"/>
                <w14:textFill>
                  <w14:solidFill>
                    <w14:schemeClr w14:val="tx1"/>
                  </w14:solidFill>
                </w14:textFill>
              </w:rPr>
              <w:t>则项目生产线需消耗的液化石油气的量约为</w:t>
            </w:r>
            <w:r>
              <w:rPr>
                <w:rFonts w:hint="default" w:ascii="Times New Roman" w:hAnsi="Times New Roman" w:cs="Times New Roman"/>
                <w:color w:val="000000" w:themeColor="text1"/>
                <w:sz w:val="24"/>
                <w:lang w:val="en-US" w:eastAsia="zh-CN"/>
                <w14:textFill>
                  <w14:solidFill>
                    <w14:schemeClr w14:val="tx1"/>
                  </w14:solidFill>
                </w14:textFill>
              </w:rPr>
              <w:t>0.1333t/d（39.99t/a）。</w:t>
            </w:r>
            <w:r>
              <w:rPr>
                <w:rFonts w:hint="default" w:ascii="Times New Roman" w:hAnsi="Times New Roman" w:eastAsia="宋体" w:cs="Times New Roman"/>
                <w:color w:val="000000" w:themeColor="text1"/>
                <w:sz w:val="24"/>
                <w:lang w:val="en-US" w:eastAsia="zh-CN"/>
                <w14:textFill>
                  <w14:solidFill>
                    <w14:schemeClr w14:val="tx1"/>
                  </w14:solidFill>
                </w14:textFill>
              </w:rPr>
              <w:t>根据行业经验统计，</w:t>
            </w:r>
            <w:r>
              <w:rPr>
                <w:rFonts w:hint="eastAsia" w:ascii="Times New Roman" w:hAnsi="Times New Roman" w:cs="Times New Roman"/>
                <w:color w:val="000000" w:themeColor="text1"/>
                <w:sz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lang w:val="en-US" w:eastAsia="zh-CN"/>
                <w14:textFill>
                  <w14:solidFill>
                    <w14:schemeClr w14:val="tx1"/>
                  </w14:solidFill>
                </w14:textFill>
              </w:rPr>
              <w:t>残气量约为0.01kg/个。本项目30万个液化石油气钢瓶均需要抽残，因此本项目</w:t>
            </w:r>
            <w:r>
              <w:rPr>
                <w:rFonts w:hint="eastAsia" w:ascii="Times New Roman" w:hAnsi="Times New Roman" w:cs="Times New Roman"/>
                <w:color w:val="000000" w:themeColor="text1"/>
                <w:sz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lang w:val="en-US" w:eastAsia="zh-CN"/>
                <w14:textFill>
                  <w14:solidFill>
                    <w14:schemeClr w14:val="tx1"/>
                  </w14:solidFill>
                </w14:textFill>
              </w:rPr>
              <w:t>残液总量约为3t/a，</w:t>
            </w:r>
            <w:r>
              <w:rPr>
                <w:rFonts w:hint="eastAsia" w:cs="Times New Roman"/>
                <w:color w:val="000000" w:themeColor="text1"/>
                <w:sz w:val="24"/>
                <w:lang w:val="en-US" w:eastAsia="zh-CN"/>
                <w14:textFill>
                  <w14:solidFill>
                    <w14:schemeClr w14:val="tx1"/>
                  </w14:solidFill>
                </w14:textFill>
              </w:rPr>
              <w:t>残液回收</w:t>
            </w:r>
            <w:r>
              <w:rPr>
                <w:rFonts w:hint="default" w:ascii="Times New Roman" w:hAnsi="Times New Roman" w:eastAsia="宋体" w:cs="Times New Roman"/>
                <w:color w:val="000000" w:themeColor="text1"/>
                <w:sz w:val="24"/>
                <w:lang w:val="en-US" w:eastAsia="zh-CN"/>
                <w14:textFill>
                  <w14:solidFill>
                    <w14:schemeClr w14:val="tx1"/>
                  </w14:solidFill>
                </w14:textFill>
              </w:rPr>
              <w:t>过程回收装置回收效率约99.5%，可回收到2.985t液化石油气，因此项目液化石油气还需</w:t>
            </w:r>
            <w:r>
              <w:rPr>
                <w:rFonts w:hint="default" w:ascii="Times New Roman" w:hAnsi="Times New Roman" w:cs="Times New Roman"/>
                <w:color w:val="000000" w:themeColor="text1"/>
                <w:sz w:val="24"/>
                <w:lang w:val="en-US" w:eastAsia="zh-CN"/>
                <w14:textFill>
                  <w14:solidFill>
                    <w14:schemeClr w14:val="tx1"/>
                  </w14:solidFill>
                </w14:textFill>
              </w:rPr>
              <w:t>37.005</w:t>
            </w:r>
            <w:r>
              <w:rPr>
                <w:rFonts w:hint="default" w:ascii="Times New Roman" w:hAnsi="Times New Roman" w:eastAsia="宋体" w:cs="Times New Roman"/>
                <w:color w:val="000000" w:themeColor="text1"/>
                <w:sz w:val="24"/>
                <w:lang w:val="en-US" w:eastAsia="zh-CN"/>
                <w14:textFill>
                  <w14:solidFill>
                    <w14:schemeClr w14:val="tx1"/>
                  </w14:solidFill>
                </w14:textFill>
              </w:rPr>
              <w:t>t/a。</w:t>
            </w:r>
          </w:p>
          <w:p w14:paraId="4C8C8DAD">
            <w:pPr>
              <w:pStyle w:val="8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auto"/>
              <w:rPr>
                <w:rFonts w:hint="default" w:ascii="Times New Roman" w:hAnsi="Times New Roman" w:cs="Times New Roman"/>
                <w:b/>
                <w:bCs/>
                <w:snapToGrid w:val="0"/>
                <w:color w:val="000000" w:themeColor="text1"/>
                <w:sz w:val="24"/>
                <w:szCs w:val="24"/>
                <w:lang w:eastAsia="zh-CN"/>
                <w14:textFill>
                  <w14:solidFill>
                    <w14:schemeClr w14:val="tx1"/>
                  </w14:solidFill>
                </w14:textFill>
              </w:rPr>
            </w:pPr>
            <w:r>
              <w:rPr>
                <w:rFonts w:hint="default" w:ascii="Times New Roman" w:hAnsi="Times New Roman" w:cs="Times New Roman"/>
                <w:b/>
                <w:bCs/>
                <w:snapToGrid w:val="0"/>
                <w:color w:val="000000" w:themeColor="text1"/>
                <w:sz w:val="24"/>
                <w:szCs w:val="24"/>
                <w:lang w:eastAsia="zh-CN"/>
                <w14:textFill>
                  <w14:solidFill>
                    <w14:schemeClr w14:val="tx1"/>
                  </w14:solidFill>
                </w14:textFill>
              </w:rPr>
              <w:t>（</w:t>
            </w:r>
            <w:r>
              <w:rPr>
                <w:rFonts w:hint="default" w:ascii="Times New Roman" w:hAnsi="Times New Roman" w:cs="Times New Roman"/>
                <w:b/>
                <w:bCs/>
                <w:snapToGrid w:val="0"/>
                <w:color w:val="000000" w:themeColor="text1"/>
                <w:sz w:val="24"/>
                <w:szCs w:val="24"/>
                <w:lang w:val="en-US" w:eastAsia="zh-CN"/>
                <w14:textFill>
                  <w14:solidFill>
                    <w14:schemeClr w14:val="tx1"/>
                  </w14:solidFill>
                </w14:textFill>
              </w:rPr>
              <w:t>4</w:t>
            </w:r>
            <w:r>
              <w:rPr>
                <w:rFonts w:hint="default" w:ascii="Times New Roman" w:hAnsi="Times New Roman" w:cs="Times New Roman"/>
                <w:b/>
                <w:bCs/>
                <w:snapToGrid w:val="0"/>
                <w:color w:val="000000" w:themeColor="text1"/>
                <w:sz w:val="24"/>
                <w:szCs w:val="24"/>
                <w:lang w:eastAsia="zh-CN"/>
                <w14:textFill>
                  <w14:solidFill>
                    <w14:schemeClr w14:val="tx1"/>
                  </w14:solidFill>
                </w14:textFill>
              </w:rPr>
              <w:t>）理化性质</w:t>
            </w:r>
          </w:p>
          <w:p w14:paraId="6323B1B2">
            <w:pPr>
              <w:pStyle w:val="89"/>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cs="Times New Roman"/>
                <w:b/>
                <w:bCs/>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b/>
                <w:bCs/>
                <w:snapToGrid w:val="0"/>
                <w:color w:val="000000" w:themeColor="text1"/>
                <w:sz w:val="21"/>
                <w:szCs w:val="21"/>
                <w:lang w:eastAsia="zh-CN"/>
                <w14:textFill>
                  <w14:solidFill>
                    <w14:schemeClr w14:val="tx1"/>
                  </w14:solidFill>
                </w14:textFill>
              </w:rPr>
              <w:t>表</w:t>
            </w:r>
            <w:r>
              <w:rPr>
                <w:rFonts w:hint="default" w:ascii="Times New Roman" w:hAnsi="Times New Roman" w:cs="Times New Roman"/>
                <w:b/>
                <w:bCs/>
                <w:snapToGrid w:val="0"/>
                <w:color w:val="000000" w:themeColor="text1"/>
                <w:sz w:val="21"/>
                <w:szCs w:val="21"/>
                <w:lang w:val="en-US" w:eastAsia="zh-CN"/>
                <w14:textFill>
                  <w14:solidFill>
                    <w14:schemeClr w14:val="tx1"/>
                  </w14:solidFill>
                </w14:textFill>
              </w:rPr>
              <w:t>2-6理化性质一览表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530"/>
              <w:gridCol w:w="3514"/>
              <w:gridCol w:w="2537"/>
            </w:tblGrid>
            <w:tr w14:paraId="1A4A7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51352DA3">
                  <w:pPr>
                    <w:pStyle w:val="89"/>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名称</w:t>
                  </w:r>
                </w:p>
              </w:tc>
              <w:tc>
                <w:tcPr>
                  <w:tcW w:w="1530" w:type="dxa"/>
                  <w:vAlign w:val="center"/>
                </w:tcPr>
                <w:p w14:paraId="6A86E45D">
                  <w:pPr>
                    <w:pStyle w:val="89"/>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组成</w:t>
                  </w:r>
                </w:p>
              </w:tc>
              <w:tc>
                <w:tcPr>
                  <w:tcW w:w="3514" w:type="dxa"/>
                  <w:vAlign w:val="center"/>
                </w:tcPr>
                <w:p w14:paraId="24979594">
                  <w:pPr>
                    <w:pStyle w:val="89"/>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物理及化学性质</w:t>
                  </w:r>
                </w:p>
              </w:tc>
              <w:tc>
                <w:tcPr>
                  <w:tcW w:w="2537" w:type="dxa"/>
                  <w:vAlign w:val="center"/>
                </w:tcPr>
                <w:p w14:paraId="13333571">
                  <w:pPr>
                    <w:pStyle w:val="89"/>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危险性概述</w:t>
                  </w:r>
                </w:p>
              </w:tc>
            </w:tr>
            <w:tr w14:paraId="50134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4B80CE77">
                  <w:pPr>
                    <w:pStyle w:val="89"/>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液化石油气</w:t>
                  </w:r>
                </w:p>
              </w:tc>
              <w:tc>
                <w:tcPr>
                  <w:tcW w:w="1530" w:type="dxa"/>
                  <w:vAlign w:val="center"/>
                </w:tcPr>
                <w:p w14:paraId="432BC9A7">
                  <w:pPr>
                    <w:pStyle w:val="89"/>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残液及液化石油气，液化石油气主要是</w:t>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instrText xml:space="preserve"> HYPERLINK "https://baike.baidu.com/item/%E7%A2%B3%E6%B0%A2%E5%8C%96%E5%90%88%E7%89%A9/256902?fromModule=lemma_inlink" \t "https://baike.baidu.com/item/%E6%B6%B2%E5%8C%96%E7%9F%B3%E6%B2%B9%E6%B0%94/_blank" </w:instrText>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fldChar w:fldCharType="separate"/>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碳氢化合物</w:t>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fldChar w:fldCharType="end"/>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所组成的，其主要成分为丙烷、丁烷以及其他的</w:t>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instrText xml:space="preserve"> HYPERLINK "https://baike.baidu.com/item/%E7%83%B7%E7%83%83/1138261?fromModule=lemma_inlink" \t "https://baike.baidu.com/item/%E6%B6%B2%E5%8C%96%E7%9F%B3%E6%B2%B9%E6%B0%94/_blank" </w:instrText>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fldChar w:fldCharType="separate"/>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烷烃</w:t>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fldChar w:fldCharType="end"/>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等。</w:t>
                  </w:r>
                </w:p>
              </w:tc>
              <w:tc>
                <w:tcPr>
                  <w:tcW w:w="3514" w:type="dxa"/>
                  <w:vAlign w:val="center"/>
                </w:tcPr>
                <w:p w14:paraId="0E216B8D">
                  <w:pPr>
                    <w:pStyle w:val="89"/>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液化石油气气态相对密度2.35kg/m3，引燃温度426~537℃，爆炸上限9.5%，爆炸下限1.5%，燃烧值45.22~50.23MJ/kg</w:t>
                  </w:r>
                </w:p>
              </w:tc>
              <w:tc>
                <w:tcPr>
                  <w:tcW w:w="2537" w:type="dxa"/>
                  <w:vAlign w:val="center"/>
                </w:tcPr>
                <w:p w14:paraId="1F2D0BD8">
                  <w:pPr>
                    <w:pStyle w:val="89"/>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与空气混合能形成爆炸性混合物，遇明火、高温极易燃烧爆炸。与氟、氯等能发生剧烈的化学反应。</w:t>
                  </w:r>
                </w:p>
              </w:tc>
            </w:tr>
            <w:tr w14:paraId="08F9B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0B1343EF">
                  <w:pPr>
                    <w:pStyle w:val="89"/>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热固型粉末</w:t>
                  </w:r>
                </w:p>
              </w:tc>
              <w:tc>
                <w:tcPr>
                  <w:tcW w:w="1530" w:type="dxa"/>
                  <w:vAlign w:val="center"/>
                </w:tcPr>
                <w:p w14:paraId="7F8FEC57">
                  <w:pPr>
                    <w:pStyle w:val="89"/>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聚酯环氧粉末涂料</w:t>
                  </w:r>
                </w:p>
              </w:tc>
              <w:tc>
                <w:tcPr>
                  <w:tcW w:w="3514" w:type="dxa"/>
                  <w:vAlign w:val="center"/>
                </w:tcPr>
                <w:p w14:paraId="3BE54D2C">
                  <w:pPr>
                    <w:pStyle w:val="89"/>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环氧树脂粉末是一种具有耐腐蚀性和坚韧性的热固性树脂粉末涂料，主要成分为环氧树脂，不燃、不爆，无毒、无害，由环氧树脂、颜填料、添加剂和固化剂组成。比重：1.2~1.8（因类型和颜色不同而异）。水平流动性（180℃)：22~35mm。粒度分布：100%小于125μm其中85%以上在60~90μm之间。固化条件：160℃（工件温度）下20分钟即固化。分解温度：260℃~440℃</w:t>
                  </w:r>
                </w:p>
              </w:tc>
              <w:tc>
                <w:tcPr>
                  <w:tcW w:w="2537" w:type="dxa"/>
                  <w:vAlign w:val="center"/>
                </w:tcPr>
                <w:p w14:paraId="2153DCA4">
                  <w:pPr>
                    <w:pStyle w:val="89"/>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w:t>
                  </w:r>
                </w:p>
              </w:tc>
            </w:tr>
            <w:tr w14:paraId="3DAE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0EF2227F">
                  <w:pPr>
                    <w:pStyle w:val="89"/>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油墨</w:t>
                  </w:r>
                </w:p>
              </w:tc>
              <w:tc>
                <w:tcPr>
                  <w:tcW w:w="1530" w:type="dxa"/>
                  <w:vAlign w:val="center"/>
                </w:tcPr>
                <w:p w14:paraId="70E53C6A">
                  <w:pPr>
                    <w:pStyle w:val="89"/>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丙烯酸树脂（25%-40%）、乙二醇丁醚（30%-80%）、着色料（0%-40%）</w:t>
                  </w:r>
                </w:p>
              </w:tc>
              <w:tc>
                <w:tcPr>
                  <w:tcW w:w="3514" w:type="dxa"/>
                  <w:vAlign w:val="center"/>
                </w:tcPr>
                <w:p w14:paraId="4F9557E0">
                  <w:pPr>
                    <w:pStyle w:val="89"/>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参考油墨厂商检测报告，油墨中VOCS含量为32.3%</w:t>
                  </w:r>
                </w:p>
              </w:tc>
              <w:tc>
                <w:tcPr>
                  <w:tcW w:w="2537" w:type="dxa"/>
                  <w:vAlign w:val="center"/>
                </w:tcPr>
                <w:p w14:paraId="0277DF51">
                  <w:pPr>
                    <w:pStyle w:val="89"/>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有颜色液体，有特殊芳香气味，易燃液体和蒸气，遇明火、高热易引起燃烧，其蒸气能与空气形成爆炸性混合物。吸入高浓度的蒸气可引起眼结膜、头晕、头痛、恶心、呕吐、胸闷、四肢无力、意识模糊、步态蹒跚。</w:t>
                  </w:r>
                </w:p>
              </w:tc>
            </w:tr>
            <w:tr w14:paraId="49BD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5CF541F7">
                  <w:pPr>
                    <w:pStyle w:val="123"/>
                    <w:pageBreakBefore w:val="0"/>
                    <w:kinsoku/>
                    <w:overflowPunct/>
                    <w:topLinePunct w:val="0"/>
                    <w:bidi w:val="0"/>
                    <w:spacing w:before="0" w:after="0"/>
                    <w:ind w:left="0" w:leftChars="0" w:right="0" w:rightChars="0"/>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生石灰</w:t>
                  </w:r>
                </w:p>
              </w:tc>
              <w:tc>
                <w:tcPr>
                  <w:tcW w:w="1530" w:type="dxa"/>
                  <w:vAlign w:val="center"/>
                </w:tcPr>
                <w:p w14:paraId="54521B1B">
                  <w:pPr>
                    <w:pStyle w:val="89"/>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主要成分为</w:t>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instrText xml:space="preserve"> HYPERLINK "https://baike.baidu.com/item/%E6%B0%A7%E5%8C%96%E9%92%99/2815549?fromModule=lemma_inlink" \t "https://baike.baidu.com/item/%E7%94%9F%E7%9F%B3%E7%81%B0/_blank" </w:instrText>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fldChar w:fldCharType="separate"/>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氧化钙</w:t>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fldChar w:fldCharType="end"/>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（CaO）</w:t>
                  </w:r>
                </w:p>
              </w:tc>
              <w:tc>
                <w:tcPr>
                  <w:tcW w:w="3514" w:type="dxa"/>
                  <w:vAlign w:val="center"/>
                </w:tcPr>
                <w:p w14:paraId="7E00D8FB">
                  <w:pPr>
                    <w:pStyle w:val="89"/>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物理性质是表面白色粉末，不纯者为灰白色，含有杂质时呈淡黄色或灰色，具有吸湿性。氧化钙与水作用生成氢氧化钙，并放出热量。溶于酸水，不溶于醇。</w:t>
                  </w:r>
                </w:p>
              </w:tc>
              <w:tc>
                <w:tcPr>
                  <w:tcW w:w="2537" w:type="dxa"/>
                  <w:vAlign w:val="center"/>
                </w:tcPr>
                <w:p w14:paraId="62A4A9F6">
                  <w:pPr>
                    <w:pStyle w:val="89"/>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本品属</w:t>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instrText xml:space="preserve"> HYPERLINK "https://baike.baidu.com/item/%E7%A2%B1%E6%80%A7%E6%B0%A7%E5%8C%96%E7%89%A9/0?fromModule=lemma_inlink" \t "https://baike.baidu.com/item/%E6%B0%A7%E5%8C%96%E9%92%99/_blank" </w:instrText>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fldChar w:fldCharType="separate"/>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碱性氧化物</w:t>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fldChar w:fldCharType="end"/>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，与人体中的水反应，生成强碱氢氧化钙并放出大量热，有刺激和腐蚀作用。对呼吸道有强烈刺激性，吸入本品粉尘可致化学性肺炎。对眼和皮肤有强烈刺激性，可致灼伤。</w:t>
                  </w:r>
                </w:p>
              </w:tc>
            </w:tr>
            <w:tr w14:paraId="15930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B5625A4">
                  <w:pPr>
                    <w:pStyle w:val="123"/>
                    <w:pageBreakBefore w:val="0"/>
                    <w:kinsoku/>
                    <w:overflowPunct/>
                    <w:topLinePunct w:val="0"/>
                    <w:bidi w:val="0"/>
                    <w:spacing w:before="0" w:after="0"/>
                    <w:ind w:left="0" w:leftChars="0" w:right="0" w:rightChars="0"/>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NaOH</w:t>
                  </w:r>
                </w:p>
              </w:tc>
              <w:tc>
                <w:tcPr>
                  <w:tcW w:w="1530" w:type="dxa"/>
                  <w:vAlign w:val="center"/>
                </w:tcPr>
                <w:p w14:paraId="48119FDD">
                  <w:pPr>
                    <w:pStyle w:val="89"/>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氢氧化钠也称</w:t>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instrText xml:space="preserve"> HYPERLINK "https://baike.baidu.com/item/%E8%8B%9B%E6%80%A7%E9%92%A0/3926819?fromModule=lemma_inlink" \t "https://baike.baidu.com/item/%E6%B0%A2%E6%B0%A7%E5%8C%96%E9%92%A0/_blank" </w:instrText>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fldChar w:fldCharType="separate"/>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苛性钠</w:t>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fldChar w:fldCharType="end"/>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instrText xml:space="preserve"> HYPERLINK "https://baike.baidu.com/item/%E7%83%A7%E7%A2%B1/1400538?fromModule=lemma_inlink" \t "https://baike.baidu.com/item/%E6%B0%A2%E6%B0%A7%E5%8C%96%E9%92%A0/_blank" </w:instrText>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fldChar w:fldCharType="separate"/>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烧碱</w:t>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fldChar w:fldCharType="end"/>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instrText xml:space="preserve"> HYPERLINK "https://baike.baidu.com/item/%E7%81%AB%E7%A2%B1/2751638?fromModule=lemma_inlink" \t "https://baike.baidu.com/item/%E6%B0%A2%E6%B0%A7%E5%8C%96%E9%92%A0/_blank" </w:instrText>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fldChar w:fldCharType="separate"/>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火碱</w:t>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fldChar w:fldCharType="end"/>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instrText xml:space="preserve"> HYPERLINK "https://baike.baidu.com/item/%E7%89%87%E7%A2%B1/10779075?fromModule=lemma_inlink" \t "https://baike.baidu.com/item/%E6%B0%A2%E6%B0%A7%E5%8C%96%E9%92%A0/_blank" </w:instrText>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fldChar w:fldCharType="separate"/>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片碱</w:t>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fldChar w:fldCharType="end"/>
                  </w: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，是一种无机化合物</w:t>
                  </w:r>
                </w:p>
              </w:tc>
              <w:tc>
                <w:tcPr>
                  <w:tcW w:w="3514" w:type="dxa"/>
                  <w:vAlign w:val="center"/>
                </w:tcPr>
                <w:p w14:paraId="17154D11">
                  <w:pPr>
                    <w:pStyle w:val="89"/>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default" w:ascii="Times New Roman" w:hAnsi="Times New Roman" w:eastAsia="Helvetica"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lang w:val="en-US" w:eastAsia="zh-CN"/>
                      <w14:textFill>
                        <w14:solidFill>
                          <w14:schemeClr w14:val="tx1"/>
                        </w14:solidFill>
                      </w14:textFill>
                    </w:rPr>
                    <w:t>密度：2.130 g/cm³</w:t>
                  </w:r>
                  <w: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t>；</w:t>
                  </w:r>
                  <w:r>
                    <w:rPr>
                      <w:rFonts w:hint="default" w:ascii="Times New Roman" w:hAnsi="Times New Roman" w:eastAsia="Helvetica" w:cs="Times New Roman"/>
                      <w:i w:val="0"/>
                      <w:iCs w:val="0"/>
                      <w:caps w:val="0"/>
                      <w:color w:val="000000" w:themeColor="text1"/>
                      <w:spacing w:val="0"/>
                      <w:sz w:val="21"/>
                      <w:szCs w:val="21"/>
                      <w:shd w:val="clear" w:fill="FFFFFF"/>
                      <w:lang w:val="en-US" w:eastAsia="zh-CN"/>
                      <w14:textFill>
                        <w14:solidFill>
                          <w14:schemeClr w14:val="tx1"/>
                        </w14:solidFill>
                      </w14:textFill>
                    </w:rPr>
                    <w:t>熔点：318.4℃(591 K)</w:t>
                  </w:r>
                  <w: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t>；</w:t>
                  </w:r>
                  <w:r>
                    <w:rPr>
                      <w:rFonts w:hint="default" w:ascii="Times New Roman" w:hAnsi="Times New Roman" w:eastAsia="Helvetica" w:cs="Times New Roman"/>
                      <w:i w:val="0"/>
                      <w:iCs w:val="0"/>
                      <w:caps w:val="0"/>
                      <w:color w:val="000000" w:themeColor="text1"/>
                      <w:spacing w:val="0"/>
                      <w:sz w:val="21"/>
                      <w:szCs w:val="21"/>
                      <w:shd w:val="clear" w:fill="FFFFFF"/>
                      <w:lang w:val="en-US" w:eastAsia="zh-CN"/>
                      <w14:textFill>
                        <w14:solidFill>
                          <w14:schemeClr w14:val="tx1"/>
                        </w14:solidFill>
                      </w14:textFill>
                    </w:rPr>
                    <w:t>沸点：1390 ℃ (1663 K)</w:t>
                  </w:r>
                  <w: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t>；</w:t>
                  </w:r>
                  <w:r>
                    <w:rPr>
                      <w:rFonts w:hint="default" w:ascii="Times New Roman" w:hAnsi="Times New Roman" w:eastAsia="Helvetica" w:cs="Times New Roman"/>
                      <w:i w:val="0"/>
                      <w:iCs w:val="0"/>
                      <w:caps w:val="0"/>
                      <w:color w:val="000000" w:themeColor="text1"/>
                      <w:spacing w:val="0"/>
                      <w:sz w:val="21"/>
                      <w:szCs w:val="21"/>
                      <w:shd w:val="clear" w:fill="FFFFFF"/>
                      <w:lang w:val="en-US" w:eastAsia="zh-CN"/>
                      <w14:textFill>
                        <w14:solidFill>
                          <w14:schemeClr w14:val="tx1"/>
                        </w14:solidFill>
                      </w14:textFill>
                    </w:rPr>
                    <w:t>蒸气压：24.5mmHg( 25°C) </w:t>
                  </w:r>
                  <w: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t>；</w:t>
                  </w:r>
                  <w:r>
                    <w:rPr>
                      <w:rFonts w:hint="default" w:ascii="Times New Roman" w:hAnsi="Times New Roman" w:eastAsia="Helvetica" w:cs="Times New Roman"/>
                      <w:i w:val="0"/>
                      <w:iCs w:val="0"/>
                      <w:caps w:val="0"/>
                      <w:color w:val="000000" w:themeColor="text1"/>
                      <w:spacing w:val="0"/>
                      <w:sz w:val="21"/>
                      <w:szCs w:val="21"/>
                      <w:shd w:val="clear" w:fill="FFFFFF"/>
                      <w:lang w:val="en-US" w:eastAsia="zh-CN"/>
                      <w14:textFill>
                        <w14:solidFill>
                          <w14:schemeClr w14:val="tx1"/>
                        </w14:solidFill>
                      </w14:textFill>
                    </w:rPr>
                    <w:t>饱和蒸气压：0.13 Kpa（739℃）</w:t>
                  </w:r>
                  <w: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t>；</w:t>
                  </w:r>
                  <w:r>
                    <w:rPr>
                      <w:rFonts w:hint="default" w:ascii="Times New Roman" w:hAnsi="Times New Roman" w:eastAsia="Helvetica" w:cs="Times New Roman"/>
                      <w:i w:val="0"/>
                      <w:iCs w:val="0"/>
                      <w:caps w:val="0"/>
                      <w:color w:val="000000" w:themeColor="text1"/>
                      <w:spacing w:val="0"/>
                      <w:sz w:val="21"/>
                      <w:szCs w:val="21"/>
                      <w:shd w:val="clear" w:fill="FFFFFF"/>
                      <w:lang w:val="en-US" w:eastAsia="zh-CN"/>
                      <w14:textFill>
                        <w14:solidFill>
                          <w14:schemeClr w14:val="tx1"/>
                        </w14:solidFill>
                      </w14:textFill>
                    </w:rPr>
                    <w:t>外观：白色结晶性粉末</w:t>
                  </w:r>
                  <w: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t>；</w:t>
                  </w:r>
                  <w:r>
                    <w:rPr>
                      <w:rFonts w:hint="default" w:ascii="Times New Roman" w:hAnsi="Times New Roman" w:eastAsia="Helvetica" w:cs="Times New Roman"/>
                      <w:i w:val="0"/>
                      <w:iCs w:val="0"/>
                      <w:caps w:val="0"/>
                      <w:color w:val="000000" w:themeColor="text1"/>
                      <w:spacing w:val="0"/>
                      <w:sz w:val="21"/>
                      <w:szCs w:val="21"/>
                      <w:shd w:val="clear" w:fill="FFFFFF"/>
                      <w:lang w:val="en-US" w:eastAsia="zh-CN"/>
                      <w14:textFill>
                        <w14:solidFill>
                          <w14:schemeClr w14:val="tx1"/>
                        </w14:solidFill>
                      </w14:textFill>
                    </w:rPr>
                    <w:t>溶解性：易溶于水、乙醇、甘油，不溶于丙酮、乙醚</w:t>
                  </w:r>
                </w:p>
              </w:tc>
              <w:tc>
                <w:tcPr>
                  <w:tcW w:w="2537" w:type="dxa"/>
                  <w:vAlign w:val="center"/>
                </w:tcPr>
                <w:p w14:paraId="5AD38848">
                  <w:pPr>
                    <w:pStyle w:val="89"/>
                    <w:keepNext w:val="0"/>
                    <w:keepLines w:val="0"/>
                    <w:pageBreakBefore w:val="0"/>
                    <w:widowControl w:val="0"/>
                    <w:kinsoku/>
                    <w:wordWrap w:val="0"/>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z w:val="21"/>
                      <w:szCs w:val="21"/>
                      <w:vertAlign w:val="baseline"/>
                      <w:lang w:val="en-US" w:eastAsia="zh-CN"/>
                      <w14:textFill>
                        <w14:solidFill>
                          <w14:schemeClr w14:val="tx1"/>
                        </w14:solidFill>
                      </w14:textFill>
                    </w:rPr>
                    <w:t>本品有强烈刺激和腐蚀性。粉尘或烟雾刺激眼和呼吸道，腐蚀鼻中隔，皮肤和眼直接接触可引起灼伤;误服可造成消化道灼伤，粘膜糜烂、出血和休克。</w:t>
                  </w:r>
                </w:p>
              </w:tc>
            </w:tr>
          </w:tbl>
          <w:p w14:paraId="47C3648B">
            <w:pPr>
              <w:pStyle w:val="8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auto"/>
              <w:rPr>
                <w:rFonts w:hint="default" w:ascii="Times New Roman" w:hAnsi="Times New Roman" w:eastAsia="宋体" w:cs="Times New Roman"/>
                <w:b/>
                <w:bCs/>
                <w:snapToGrid w:val="0"/>
                <w:color w:val="000000" w:themeColor="text1"/>
                <w:sz w:val="24"/>
                <w:szCs w:val="24"/>
                <w:lang w:val="en-US" w:eastAsia="zh-CN"/>
                <w14:textFill>
                  <w14:solidFill>
                    <w14:schemeClr w14:val="tx1"/>
                  </w14:solidFill>
                </w14:textFill>
              </w:rPr>
            </w:pPr>
            <w:r>
              <w:rPr>
                <w:rFonts w:hint="default" w:ascii="Times New Roman" w:hAnsi="Times New Roman" w:cs="Times New Roman"/>
                <w:b/>
                <w:bCs/>
                <w:snapToGrid w:val="0"/>
                <w:color w:val="000000" w:themeColor="text1"/>
                <w:sz w:val="24"/>
                <w:szCs w:val="24"/>
                <w:lang w:val="en-US" w:eastAsia="zh-CN"/>
                <w14:textFill>
                  <w14:solidFill>
                    <w14:schemeClr w14:val="tx1"/>
                  </w14:solidFill>
                </w14:textFill>
              </w:rPr>
              <w:t>（5）物料平衡</w:t>
            </w:r>
          </w:p>
          <w:p w14:paraId="34797185">
            <w:pPr>
              <w:pStyle w:val="155"/>
              <w:ind w:firstLine="0" w:firstLineChars="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表2-</w:t>
            </w:r>
            <w:r>
              <w:rPr>
                <w:rFonts w:hint="default" w:ascii="Times New Roman" w:hAnsi="Times New Roman" w:cs="Times New Roman"/>
                <w:b/>
                <w:color w:val="000000" w:themeColor="text1"/>
                <w:szCs w:val="21"/>
                <w:lang w:val="en-US" w:eastAsia="zh-CN"/>
                <w14:textFill>
                  <w14:solidFill>
                    <w14:schemeClr w14:val="tx1"/>
                  </w14:solidFill>
                </w14:textFill>
              </w:rPr>
              <w:t>7</w:t>
            </w:r>
            <w:r>
              <w:rPr>
                <w:rFonts w:hint="default" w:ascii="Times New Roman" w:hAnsi="Times New Roman" w:cs="Times New Roman"/>
                <w:b/>
                <w:color w:val="000000" w:themeColor="text1"/>
                <w:szCs w:val="21"/>
                <w14:textFill>
                  <w14:solidFill>
                    <w14:schemeClr w14:val="tx1"/>
                  </w14:solidFill>
                </w14:textFill>
              </w:rPr>
              <w:t xml:space="preserve">  生产线物料平衡表</w:t>
            </w:r>
          </w:p>
          <w:tbl>
            <w:tblPr>
              <w:tblStyle w:val="33"/>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1381"/>
              <w:gridCol w:w="1653"/>
              <w:gridCol w:w="2392"/>
              <w:gridCol w:w="2042"/>
            </w:tblGrid>
            <w:tr w14:paraId="394B1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vMerge w:val="restart"/>
                  <w:noWrap w:val="0"/>
                  <w:vAlign w:val="center"/>
                </w:tcPr>
                <w:p w14:paraId="7210B09F">
                  <w:pPr>
                    <w:pStyle w:val="156"/>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Cs w:val="21"/>
                      <w:lang w:val="en-US" w:eastAsia="zh-CN"/>
                      <w14:textFill>
                        <w14:solidFill>
                          <w14:schemeClr w14:val="tx1"/>
                        </w14:solidFill>
                      </w14:textFill>
                    </w:rPr>
                    <w:t>序号</w:t>
                  </w:r>
                </w:p>
              </w:tc>
              <w:tc>
                <w:tcPr>
                  <w:tcW w:w="1806" w:type="pct"/>
                  <w:gridSpan w:val="2"/>
                  <w:noWrap w:val="0"/>
                  <w:vAlign w:val="center"/>
                </w:tcPr>
                <w:p w14:paraId="34634E92">
                  <w:pPr>
                    <w:pStyle w:val="156"/>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Cs w:val="21"/>
                      <w:lang w:val="en-US" w:eastAsia="zh-CN"/>
                      <w14:textFill>
                        <w14:solidFill>
                          <w14:schemeClr w14:val="tx1"/>
                        </w14:solidFill>
                      </w14:textFill>
                    </w:rPr>
                    <w:t>输入</w:t>
                  </w:r>
                </w:p>
              </w:tc>
              <w:tc>
                <w:tcPr>
                  <w:tcW w:w="2640" w:type="pct"/>
                  <w:gridSpan w:val="2"/>
                  <w:noWrap w:val="0"/>
                  <w:vAlign w:val="center"/>
                </w:tcPr>
                <w:p w14:paraId="454F3B72">
                  <w:pPr>
                    <w:pStyle w:val="156"/>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Cs w:val="21"/>
                      <w:lang w:val="en-US" w:eastAsia="zh-CN"/>
                      <w14:textFill>
                        <w14:solidFill>
                          <w14:schemeClr w14:val="tx1"/>
                        </w14:solidFill>
                      </w14:textFill>
                    </w:rPr>
                    <w:t>输出</w:t>
                  </w:r>
                </w:p>
              </w:tc>
            </w:tr>
            <w:tr w14:paraId="327F5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553" w:type="pct"/>
                  <w:vMerge w:val="continue"/>
                  <w:noWrap w:val="0"/>
                  <w:vAlign w:val="center"/>
                </w:tcPr>
                <w:p w14:paraId="7F044CB5">
                  <w:pPr>
                    <w:pStyle w:val="156"/>
                    <w:rPr>
                      <w:rFonts w:hint="default" w:ascii="Times New Roman" w:hAnsi="Times New Roman" w:eastAsia="宋体" w:cs="Times New Roman"/>
                      <w:b/>
                      <w:bCs/>
                      <w:color w:val="000000" w:themeColor="text1"/>
                      <w:szCs w:val="21"/>
                      <w:lang w:val="en-US" w:eastAsia="zh-CN"/>
                      <w14:textFill>
                        <w14:solidFill>
                          <w14:schemeClr w14:val="tx1"/>
                        </w14:solidFill>
                      </w14:textFill>
                    </w:rPr>
                  </w:pPr>
                </w:p>
              </w:tc>
              <w:tc>
                <w:tcPr>
                  <w:tcW w:w="821" w:type="pct"/>
                  <w:noWrap w:val="0"/>
                  <w:vAlign w:val="center"/>
                </w:tcPr>
                <w:p w14:paraId="19E22550">
                  <w:pPr>
                    <w:pStyle w:val="156"/>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Cs w:val="21"/>
                      <w:lang w:val="en-US" w:eastAsia="zh-CN"/>
                      <w14:textFill>
                        <w14:solidFill>
                          <w14:schemeClr w14:val="tx1"/>
                        </w14:solidFill>
                      </w14:textFill>
                    </w:rPr>
                    <w:t>名称</w:t>
                  </w:r>
                </w:p>
              </w:tc>
              <w:tc>
                <w:tcPr>
                  <w:tcW w:w="984" w:type="pct"/>
                  <w:noWrap w:val="0"/>
                  <w:vAlign w:val="center"/>
                </w:tcPr>
                <w:p w14:paraId="31C0F9E9">
                  <w:pPr>
                    <w:pStyle w:val="156"/>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Cs w:val="21"/>
                      <w:lang w:val="en-US" w:eastAsia="zh-CN"/>
                      <w14:textFill>
                        <w14:solidFill>
                          <w14:schemeClr w14:val="tx1"/>
                        </w14:solidFill>
                      </w14:textFill>
                    </w:rPr>
                    <w:t>用量（t/a）</w:t>
                  </w:r>
                </w:p>
              </w:tc>
              <w:tc>
                <w:tcPr>
                  <w:tcW w:w="1424" w:type="pct"/>
                  <w:noWrap w:val="0"/>
                  <w:vAlign w:val="center"/>
                </w:tcPr>
                <w:p w14:paraId="53A8DCC7">
                  <w:pPr>
                    <w:pStyle w:val="156"/>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Cs w:val="21"/>
                      <w:lang w:val="en-US" w:eastAsia="zh-CN"/>
                      <w14:textFill>
                        <w14:solidFill>
                          <w14:schemeClr w14:val="tx1"/>
                        </w14:solidFill>
                      </w14:textFill>
                    </w:rPr>
                    <w:t>名称</w:t>
                  </w:r>
                </w:p>
              </w:tc>
              <w:tc>
                <w:tcPr>
                  <w:tcW w:w="1216" w:type="pct"/>
                  <w:noWrap w:val="0"/>
                  <w:vAlign w:val="center"/>
                </w:tcPr>
                <w:p w14:paraId="2CB8DD93">
                  <w:pPr>
                    <w:pStyle w:val="156"/>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Cs w:val="21"/>
                      <w:lang w:val="en-US" w:eastAsia="zh-CN"/>
                      <w14:textFill>
                        <w14:solidFill>
                          <w14:schemeClr w14:val="tx1"/>
                        </w14:solidFill>
                      </w14:textFill>
                    </w:rPr>
                    <w:t>产生量（t/a）</w:t>
                  </w:r>
                </w:p>
              </w:tc>
            </w:tr>
            <w:tr w14:paraId="57E7A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3" w:type="pct"/>
                  <w:noWrap w:val="0"/>
                  <w:vAlign w:val="center"/>
                </w:tcPr>
                <w:p w14:paraId="483CA65B">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w:t>
                  </w:r>
                </w:p>
              </w:tc>
              <w:tc>
                <w:tcPr>
                  <w:tcW w:w="821" w:type="pct"/>
                  <w:noWrap w:val="0"/>
                  <w:vAlign w:val="center"/>
                </w:tcPr>
                <w:p w14:paraId="56BADF1B">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液化石油气钢瓶</w:t>
                  </w:r>
                </w:p>
              </w:tc>
              <w:tc>
                <w:tcPr>
                  <w:tcW w:w="984" w:type="pct"/>
                  <w:noWrap w:val="0"/>
                  <w:vAlign w:val="center"/>
                </w:tcPr>
                <w:p w14:paraId="368543AC">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6150</w:t>
                  </w:r>
                </w:p>
              </w:tc>
              <w:tc>
                <w:tcPr>
                  <w:tcW w:w="1424" w:type="pct"/>
                  <w:noWrap w:val="0"/>
                  <w:vAlign w:val="center"/>
                </w:tcPr>
                <w:p w14:paraId="184686E8">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检测合格</w:t>
                  </w:r>
                  <w:r>
                    <w:rPr>
                      <w:rFonts w:hint="eastAsia" w:ascii="Times New Roman" w:hAnsi="Times New Roman" w:eastAsia="宋体" w:cs="Times New Roman"/>
                      <w:color w:val="000000" w:themeColor="text1"/>
                      <w:szCs w:val="21"/>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Cs w:val="21"/>
                      <w:lang w:val="en-US" w:eastAsia="zh-CN"/>
                      <w14:textFill>
                        <w14:solidFill>
                          <w14:schemeClr w14:val="tx1"/>
                        </w14:solidFill>
                      </w14:textFill>
                    </w:rPr>
                    <w:t>（19.35万只）</w:t>
                  </w:r>
                </w:p>
              </w:tc>
              <w:tc>
                <w:tcPr>
                  <w:tcW w:w="1216" w:type="pct"/>
                  <w:shd w:val="clear" w:color="auto" w:fill="auto"/>
                  <w:noWrap w:val="0"/>
                  <w:vAlign w:val="center"/>
                </w:tcPr>
                <w:p w14:paraId="761DE561">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3965.307936</w:t>
                  </w:r>
                </w:p>
              </w:tc>
            </w:tr>
            <w:tr w14:paraId="5D8B8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3" w:type="pct"/>
                  <w:noWrap w:val="0"/>
                  <w:vAlign w:val="center"/>
                </w:tcPr>
                <w:p w14:paraId="6C7EFB8E">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w:t>
                  </w:r>
                </w:p>
              </w:tc>
              <w:tc>
                <w:tcPr>
                  <w:tcW w:w="821" w:type="pct"/>
                  <w:noWrap w:val="0"/>
                  <w:vAlign w:val="center"/>
                </w:tcPr>
                <w:p w14:paraId="69BE1E43">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检测钢瓶新角阀</w:t>
                  </w:r>
                </w:p>
              </w:tc>
              <w:tc>
                <w:tcPr>
                  <w:tcW w:w="984" w:type="pct"/>
                  <w:noWrap w:val="0"/>
                  <w:vAlign w:val="center"/>
                </w:tcPr>
                <w:p w14:paraId="7E7F7D3D">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40</w:t>
                  </w:r>
                </w:p>
              </w:tc>
              <w:tc>
                <w:tcPr>
                  <w:tcW w:w="1424" w:type="pct"/>
                  <w:noWrap w:val="0"/>
                  <w:vAlign w:val="center"/>
                </w:tcPr>
                <w:p w14:paraId="2908A886">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不合格</w:t>
                  </w:r>
                  <w:r>
                    <w:rPr>
                      <w:rFonts w:hint="eastAsia" w:ascii="Times New Roman" w:hAnsi="Times New Roman" w:eastAsia="宋体" w:cs="Times New Roman"/>
                      <w:color w:val="000000" w:themeColor="text1"/>
                      <w:szCs w:val="21"/>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Cs w:val="21"/>
                      <w:lang w:val="en-US" w:eastAsia="zh-CN"/>
                      <w14:textFill>
                        <w14:solidFill>
                          <w14:schemeClr w14:val="tx1"/>
                        </w14:solidFill>
                      </w14:textFill>
                    </w:rPr>
                    <w:t>（0.65只）</w:t>
                  </w:r>
                </w:p>
              </w:tc>
              <w:tc>
                <w:tcPr>
                  <w:tcW w:w="1216" w:type="pct"/>
                  <w:noWrap w:val="0"/>
                  <w:vAlign w:val="center"/>
                </w:tcPr>
                <w:p w14:paraId="1189376C">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133.25</w:t>
                  </w:r>
                </w:p>
              </w:tc>
            </w:tr>
            <w:tr w14:paraId="4473E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3" w:type="pct"/>
                  <w:noWrap w:val="0"/>
                  <w:vAlign w:val="center"/>
                </w:tcPr>
                <w:p w14:paraId="78EC041A">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w:t>
                  </w:r>
                </w:p>
              </w:tc>
              <w:tc>
                <w:tcPr>
                  <w:tcW w:w="821" w:type="pct"/>
                  <w:noWrap w:val="0"/>
                  <w:vAlign w:val="center"/>
                </w:tcPr>
                <w:p w14:paraId="3FF7C41A">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钢丸</w:t>
                  </w:r>
                </w:p>
              </w:tc>
              <w:tc>
                <w:tcPr>
                  <w:tcW w:w="984" w:type="pct"/>
                  <w:noWrap w:val="0"/>
                  <w:vAlign w:val="center"/>
                </w:tcPr>
                <w:p w14:paraId="1A406128">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30</w:t>
                  </w:r>
                </w:p>
              </w:tc>
              <w:tc>
                <w:tcPr>
                  <w:tcW w:w="1424" w:type="pct"/>
                  <w:noWrap w:val="0"/>
                  <w:vAlign w:val="center"/>
                </w:tcPr>
                <w:p w14:paraId="590AA2E6">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报废</w:t>
                  </w:r>
                  <w:r>
                    <w:rPr>
                      <w:rFonts w:hint="eastAsia" w:ascii="Times New Roman" w:hAnsi="Times New Roman" w:eastAsia="宋体" w:cs="Times New Roman"/>
                      <w:color w:val="000000" w:themeColor="text1"/>
                      <w:szCs w:val="21"/>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Cs w:val="21"/>
                      <w:lang w:val="en-US" w:eastAsia="zh-CN"/>
                      <w14:textFill>
                        <w14:solidFill>
                          <w14:schemeClr w14:val="tx1"/>
                        </w14:solidFill>
                      </w14:textFill>
                    </w:rPr>
                    <w:t>（10万只）</w:t>
                  </w:r>
                </w:p>
              </w:tc>
              <w:tc>
                <w:tcPr>
                  <w:tcW w:w="1216" w:type="pct"/>
                  <w:noWrap w:val="0"/>
                  <w:vAlign w:val="center"/>
                </w:tcPr>
                <w:p w14:paraId="32CD60CB">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2030</w:t>
                  </w:r>
                </w:p>
              </w:tc>
            </w:tr>
            <w:tr w14:paraId="049FD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3" w:type="pct"/>
                  <w:noWrap w:val="0"/>
                  <w:vAlign w:val="center"/>
                </w:tcPr>
                <w:p w14:paraId="3B8C1275">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w:t>
                  </w:r>
                </w:p>
              </w:tc>
              <w:tc>
                <w:tcPr>
                  <w:tcW w:w="821" w:type="pct"/>
                  <w:noWrap w:val="0"/>
                  <w:vAlign w:val="center"/>
                </w:tcPr>
                <w:p w14:paraId="42F3D180">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热固性粉末</w:t>
                  </w:r>
                </w:p>
              </w:tc>
              <w:tc>
                <w:tcPr>
                  <w:tcW w:w="984" w:type="pct"/>
                  <w:noWrap w:val="0"/>
                  <w:vAlign w:val="center"/>
                </w:tcPr>
                <w:p w14:paraId="7F3A79DB">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14.9639</w:t>
                  </w:r>
                </w:p>
              </w:tc>
              <w:tc>
                <w:tcPr>
                  <w:tcW w:w="1424" w:type="pct"/>
                  <w:noWrap w:val="0"/>
                  <w:vAlign w:val="center"/>
                </w:tcPr>
                <w:p w14:paraId="61178FD6">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废瓶阀</w:t>
                  </w:r>
                </w:p>
              </w:tc>
              <w:tc>
                <w:tcPr>
                  <w:tcW w:w="1216" w:type="pct"/>
                  <w:noWrap w:val="0"/>
                  <w:vAlign w:val="center"/>
                </w:tcPr>
                <w:p w14:paraId="1E16A448">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60</w:t>
                  </w:r>
                </w:p>
              </w:tc>
            </w:tr>
            <w:tr w14:paraId="7F0A9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3" w:type="pct"/>
                  <w:noWrap w:val="0"/>
                  <w:vAlign w:val="center"/>
                </w:tcPr>
                <w:p w14:paraId="7435A4A1">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w:t>
                  </w:r>
                </w:p>
              </w:tc>
              <w:tc>
                <w:tcPr>
                  <w:tcW w:w="821" w:type="pct"/>
                  <w:noWrap w:val="0"/>
                  <w:vAlign w:val="center"/>
                </w:tcPr>
                <w:p w14:paraId="1F5FF45F">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油墨</w:t>
                  </w:r>
                </w:p>
              </w:tc>
              <w:tc>
                <w:tcPr>
                  <w:tcW w:w="984" w:type="pct"/>
                  <w:noWrap w:val="0"/>
                  <w:vAlign w:val="center"/>
                </w:tcPr>
                <w:p w14:paraId="6405C2FE">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0.488781</w:t>
                  </w:r>
                </w:p>
              </w:tc>
              <w:tc>
                <w:tcPr>
                  <w:tcW w:w="1424" w:type="pct"/>
                  <w:noWrap w:val="0"/>
                  <w:vAlign w:val="center"/>
                </w:tcPr>
                <w:p w14:paraId="0560CE10">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废钢丸</w:t>
                  </w:r>
                </w:p>
              </w:tc>
              <w:tc>
                <w:tcPr>
                  <w:tcW w:w="1216" w:type="pct"/>
                  <w:noWrap w:val="0"/>
                  <w:vAlign w:val="center"/>
                </w:tcPr>
                <w:p w14:paraId="70126CD7">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30</w:t>
                  </w:r>
                </w:p>
              </w:tc>
            </w:tr>
            <w:tr w14:paraId="4E88E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3" w:type="pct"/>
                  <w:noWrap w:val="0"/>
                  <w:vAlign w:val="center"/>
                </w:tcPr>
                <w:p w14:paraId="06124662">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6</w:t>
                  </w:r>
                </w:p>
              </w:tc>
              <w:tc>
                <w:tcPr>
                  <w:tcW w:w="821" w:type="pct"/>
                  <w:noWrap w:val="0"/>
                  <w:vAlign w:val="center"/>
                </w:tcPr>
                <w:p w14:paraId="4107B174">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橡胶圈</w:t>
                  </w:r>
                </w:p>
              </w:tc>
              <w:tc>
                <w:tcPr>
                  <w:tcW w:w="984" w:type="pct"/>
                  <w:noWrap w:val="0"/>
                  <w:vAlign w:val="center"/>
                </w:tcPr>
                <w:p w14:paraId="2BB528AD">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0.3</w:t>
                  </w:r>
                </w:p>
              </w:tc>
              <w:tc>
                <w:tcPr>
                  <w:tcW w:w="1424" w:type="pct"/>
                  <w:noWrap w:val="0"/>
                  <w:vAlign w:val="center"/>
                </w:tcPr>
                <w:p w14:paraId="2583B633">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废橡胶圈</w:t>
                  </w:r>
                </w:p>
              </w:tc>
              <w:tc>
                <w:tcPr>
                  <w:tcW w:w="1216" w:type="pct"/>
                  <w:noWrap w:val="0"/>
                  <w:vAlign w:val="center"/>
                </w:tcPr>
                <w:p w14:paraId="308676AF">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0.3</w:t>
                  </w:r>
                </w:p>
              </w:tc>
            </w:tr>
            <w:tr w14:paraId="15D08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3" w:type="pct"/>
                  <w:noWrap w:val="0"/>
                  <w:vAlign w:val="center"/>
                </w:tcPr>
                <w:p w14:paraId="7B736685">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7</w:t>
                  </w:r>
                </w:p>
              </w:tc>
              <w:tc>
                <w:tcPr>
                  <w:tcW w:w="821" w:type="pct"/>
                  <w:noWrap w:val="0"/>
                  <w:vAlign w:val="center"/>
                </w:tcPr>
                <w:p w14:paraId="0CAEE583">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984" w:type="pct"/>
                  <w:noWrap w:val="0"/>
                  <w:vAlign w:val="center"/>
                </w:tcPr>
                <w:p w14:paraId="6E8CD97E">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424" w:type="pct"/>
                  <w:noWrap w:val="0"/>
                  <w:vAlign w:val="center"/>
                </w:tcPr>
                <w:p w14:paraId="74E85A94">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Cs w:val="21"/>
                      <w:lang w:val="en-US" w:eastAsia="zh-CN"/>
                      <w14:textFill>
                        <w14:solidFill>
                          <w14:schemeClr w14:val="tx1"/>
                        </w14:solidFill>
                      </w14:textFill>
                    </w:rPr>
                    <w:t>表面焚烧颗粒物产生量</w:t>
                  </w:r>
                </w:p>
              </w:tc>
              <w:tc>
                <w:tcPr>
                  <w:tcW w:w="1216" w:type="pct"/>
                  <w:noWrap w:val="0"/>
                  <w:vAlign w:val="center"/>
                </w:tcPr>
                <w:p w14:paraId="164BE477">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w:t>
                  </w:r>
                </w:p>
              </w:tc>
            </w:tr>
            <w:tr w14:paraId="370A1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3" w:type="pct"/>
                  <w:noWrap w:val="0"/>
                  <w:vAlign w:val="center"/>
                </w:tcPr>
                <w:p w14:paraId="7B9F86FD">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8</w:t>
                  </w:r>
                </w:p>
              </w:tc>
              <w:tc>
                <w:tcPr>
                  <w:tcW w:w="821" w:type="pct"/>
                  <w:noWrap w:val="0"/>
                  <w:vAlign w:val="center"/>
                </w:tcPr>
                <w:p w14:paraId="06C6C638">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984" w:type="pct"/>
                  <w:noWrap w:val="0"/>
                  <w:vAlign w:val="center"/>
                </w:tcPr>
                <w:p w14:paraId="0FED1211">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424" w:type="pct"/>
                  <w:noWrap w:val="0"/>
                  <w:vAlign w:val="center"/>
                </w:tcPr>
                <w:p w14:paraId="79AC0B4F">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Cs w:val="21"/>
                      <w:lang w:val="en-US" w:eastAsia="zh-CN"/>
                      <w14:textFill>
                        <w14:solidFill>
                          <w14:schemeClr w14:val="tx1"/>
                        </w14:solidFill>
                      </w14:textFill>
                    </w:rPr>
                    <w:t>烘干废气产生量</w:t>
                  </w:r>
                </w:p>
              </w:tc>
              <w:tc>
                <w:tcPr>
                  <w:tcW w:w="1216" w:type="pct"/>
                  <w:noWrap w:val="0"/>
                  <w:vAlign w:val="center"/>
                </w:tcPr>
                <w:p w14:paraId="149DF03D">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0.0143653</w:t>
                  </w:r>
                </w:p>
              </w:tc>
            </w:tr>
            <w:tr w14:paraId="2E588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3" w:type="pct"/>
                  <w:noWrap w:val="0"/>
                  <w:vAlign w:val="center"/>
                </w:tcPr>
                <w:p w14:paraId="2E506D5B">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9</w:t>
                  </w:r>
                </w:p>
              </w:tc>
              <w:tc>
                <w:tcPr>
                  <w:tcW w:w="821" w:type="pct"/>
                  <w:noWrap w:val="0"/>
                  <w:vAlign w:val="center"/>
                </w:tcPr>
                <w:p w14:paraId="78E5FC45">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984" w:type="pct"/>
                  <w:noWrap w:val="0"/>
                  <w:vAlign w:val="center"/>
                </w:tcPr>
                <w:p w14:paraId="5971B611">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424" w:type="pct"/>
                  <w:noWrap w:val="0"/>
                  <w:vAlign w:val="center"/>
                </w:tcPr>
                <w:p w14:paraId="72FCA26E">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抛丸除锈废气产生量</w:t>
                  </w:r>
                </w:p>
              </w:tc>
              <w:tc>
                <w:tcPr>
                  <w:tcW w:w="1216" w:type="pct"/>
                  <w:noWrap w:val="0"/>
                  <w:vAlign w:val="center"/>
                </w:tcPr>
                <w:p w14:paraId="70C11B5B">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8.8876</w:t>
                  </w:r>
                </w:p>
              </w:tc>
            </w:tr>
            <w:tr w14:paraId="2A64B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53" w:type="pct"/>
                  <w:noWrap w:val="0"/>
                  <w:vAlign w:val="center"/>
                </w:tcPr>
                <w:p w14:paraId="6784990E">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w:t>
                  </w:r>
                </w:p>
              </w:tc>
              <w:tc>
                <w:tcPr>
                  <w:tcW w:w="821" w:type="pct"/>
                  <w:noWrap w:val="0"/>
                  <w:vAlign w:val="center"/>
                </w:tcPr>
                <w:p w14:paraId="3DBE9466">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984" w:type="pct"/>
                  <w:noWrap w:val="0"/>
                  <w:vAlign w:val="center"/>
                </w:tcPr>
                <w:p w14:paraId="4D6036A2">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424" w:type="pct"/>
                  <w:noWrap w:val="0"/>
                  <w:vAlign w:val="center"/>
                </w:tcPr>
                <w:p w14:paraId="5276E235">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喷塑废气产生量</w:t>
                  </w:r>
                </w:p>
              </w:tc>
              <w:tc>
                <w:tcPr>
                  <w:tcW w:w="1216" w:type="pct"/>
                  <w:noWrap w:val="0"/>
                  <w:vAlign w:val="center"/>
                </w:tcPr>
                <w:p w14:paraId="74A4AB4B">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2.99278</w:t>
                  </w:r>
                </w:p>
              </w:tc>
            </w:tr>
            <w:tr w14:paraId="3F0BC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75" w:type="pct"/>
                  <w:gridSpan w:val="2"/>
                  <w:noWrap w:val="0"/>
                  <w:vAlign w:val="top"/>
                </w:tcPr>
                <w:p w14:paraId="7BB54D04">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合计</w:t>
                  </w:r>
                </w:p>
              </w:tc>
              <w:tc>
                <w:tcPr>
                  <w:tcW w:w="984" w:type="pct"/>
                  <w:shd w:val="clear" w:color="auto" w:fill="auto"/>
                  <w:noWrap w:val="0"/>
                  <w:vAlign w:val="center"/>
                </w:tcPr>
                <w:p w14:paraId="6B88FAD7">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6235.752681</w:t>
                  </w:r>
                </w:p>
              </w:tc>
              <w:tc>
                <w:tcPr>
                  <w:tcW w:w="1424" w:type="pct"/>
                  <w:noWrap w:val="0"/>
                  <w:vAlign w:val="center"/>
                </w:tcPr>
                <w:p w14:paraId="0896390C">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合计</w:t>
                  </w:r>
                </w:p>
              </w:tc>
              <w:tc>
                <w:tcPr>
                  <w:tcW w:w="1216" w:type="pct"/>
                  <w:shd w:val="clear" w:color="auto" w:fill="auto"/>
                  <w:noWrap w:val="0"/>
                  <w:vAlign w:val="center"/>
                </w:tcPr>
                <w:p w14:paraId="26604267">
                  <w:pPr>
                    <w:pStyle w:val="1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6235.752681</w:t>
                  </w:r>
                </w:p>
              </w:tc>
            </w:tr>
          </w:tbl>
          <w:p w14:paraId="493F5044">
            <w:pPr>
              <w:pStyle w:val="8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auto"/>
              <w:rPr>
                <w:rFonts w:hint="default" w:ascii="Times New Roman" w:hAnsi="Times New Roman" w:eastAsia="宋体" w:cs="Times New Roman"/>
                <w:b/>
                <w:bCs/>
                <w:snapToGrid w:val="0"/>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snapToGrid w:val="0"/>
                <w:color w:val="000000" w:themeColor="text1"/>
                <w:sz w:val="24"/>
                <w:szCs w:val="24"/>
                <w:lang w:val="en-US" w:eastAsia="zh-CN"/>
                <w14:textFill>
                  <w14:solidFill>
                    <w14:schemeClr w14:val="tx1"/>
                  </w14:solidFill>
                </w14:textFill>
              </w:rPr>
              <w:t>7、工作制度及劳动定员</w:t>
            </w:r>
          </w:p>
          <w:p w14:paraId="681AEC8F">
            <w:pPr>
              <w:pStyle w:val="8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 w:val="0"/>
                <w:bCs w:val="0"/>
                <w:snapToGrid w:val="0"/>
                <w:color w:val="000000" w:themeColor="text1"/>
                <w:sz w:val="24"/>
                <w:szCs w:val="24"/>
                <w:lang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z w:val="24"/>
                <w:szCs w:val="24"/>
                <w:lang w:val="en-US" w:eastAsia="zh-CN"/>
                <w14:textFill>
                  <w14:solidFill>
                    <w14:schemeClr w14:val="tx1"/>
                  </w14:solidFill>
                </w14:textFill>
              </w:rPr>
              <w:t>劳动定员：本项目劳动定员10人。</w:t>
            </w:r>
          </w:p>
          <w:p w14:paraId="7B02ED38">
            <w:pPr>
              <w:pStyle w:val="8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宋体" w:cs="Times New Roman"/>
                <w:b w:val="0"/>
                <w:bCs w:val="0"/>
                <w:snapToGrid w:val="0"/>
                <w:color w:val="000000" w:themeColor="text1"/>
                <w:sz w:val="24"/>
                <w:szCs w:val="24"/>
                <w:lang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z w:val="24"/>
                <w:szCs w:val="24"/>
                <w:lang w:val="en-US" w:eastAsia="zh-CN"/>
                <w14:textFill>
                  <w14:solidFill>
                    <w14:schemeClr w14:val="tx1"/>
                  </w14:solidFill>
                </w14:textFill>
              </w:rPr>
              <w:t>工作制度：</w:t>
            </w:r>
            <w:r>
              <w:rPr>
                <w:rFonts w:hint="default" w:ascii="Times New Roman" w:hAnsi="Times New Roman" w:cs="Times New Roman"/>
                <w:color w:val="000000" w:themeColor="text1"/>
                <w:sz w:val="24"/>
                <w14:textFill>
                  <w14:solidFill>
                    <w14:schemeClr w14:val="tx1"/>
                  </w14:solidFill>
                </w14:textFill>
              </w:rPr>
              <w:t>年工作天数300天，实行</w:t>
            </w:r>
            <w:r>
              <w:rPr>
                <w:rFonts w:hint="default" w:ascii="Times New Roman" w:hAnsi="Times New Roman" w:cs="Times New Roman"/>
                <w:color w:val="000000" w:themeColor="text1"/>
                <w:sz w:val="24"/>
                <w:lang w:eastAsia="zh-CN"/>
                <w14:textFill>
                  <w14:solidFill>
                    <w14:schemeClr w14:val="tx1"/>
                  </w14:solidFill>
                </w14:textFill>
              </w:rPr>
              <w:t>一</w:t>
            </w:r>
            <w:r>
              <w:rPr>
                <w:rFonts w:hint="default" w:ascii="Times New Roman" w:hAnsi="Times New Roman" w:cs="Times New Roman"/>
                <w:color w:val="000000" w:themeColor="text1"/>
                <w:sz w:val="24"/>
                <w14:textFill>
                  <w14:solidFill>
                    <w14:schemeClr w14:val="tx1"/>
                  </w14:solidFill>
                </w14:textFill>
              </w:rPr>
              <w:t>班制，</w:t>
            </w:r>
            <w:r>
              <w:rPr>
                <w:rFonts w:hint="default" w:ascii="Times New Roman" w:hAnsi="Times New Roman" w:cs="Times New Roman"/>
                <w:color w:val="000000" w:themeColor="text1"/>
                <w:sz w:val="24"/>
                <w:lang w:eastAsia="zh-CN"/>
                <w14:textFill>
                  <w14:solidFill>
                    <w14:schemeClr w14:val="tx1"/>
                  </w14:solidFill>
                </w14:textFill>
              </w:rPr>
              <w:t>日</w:t>
            </w:r>
            <w:r>
              <w:rPr>
                <w:rFonts w:hint="default" w:ascii="Times New Roman" w:hAnsi="Times New Roman" w:cs="Times New Roman"/>
                <w:color w:val="000000" w:themeColor="text1"/>
                <w:sz w:val="24"/>
                <w14:textFill>
                  <w14:solidFill>
                    <w14:schemeClr w14:val="tx1"/>
                  </w14:solidFill>
                </w14:textFill>
              </w:rPr>
              <w:t>工作</w:t>
            </w:r>
            <w:r>
              <w:rPr>
                <w:rFonts w:hint="default" w:ascii="Times New Roman" w:hAnsi="Times New Roman" w:cs="Times New Roman"/>
                <w:color w:val="000000" w:themeColor="text1"/>
                <w:sz w:val="24"/>
                <w:lang w:eastAsia="zh-CN"/>
                <w14:textFill>
                  <w14:solidFill>
                    <w14:schemeClr w14:val="tx1"/>
                  </w14:solidFill>
                </w14:textFill>
              </w:rPr>
              <w:t>时间</w:t>
            </w:r>
            <w:r>
              <w:rPr>
                <w:rFonts w:hint="default" w:ascii="Times New Roman" w:hAnsi="Times New Roman" w:cs="Times New Roman"/>
                <w:color w:val="000000" w:themeColor="text1"/>
                <w:sz w:val="24"/>
                <w14:textFill>
                  <w14:solidFill>
                    <w14:schemeClr w14:val="tx1"/>
                  </w14:solidFill>
                </w14:textFill>
              </w:rPr>
              <w:t>8小时</w:t>
            </w:r>
            <w:r>
              <w:rPr>
                <w:rFonts w:hint="default" w:ascii="Times New Roman" w:hAnsi="Times New Roman" w:cs="Times New Roman"/>
                <w:color w:val="000000" w:themeColor="text1"/>
                <w:sz w:val="24"/>
                <w:lang w:bidi="en-US"/>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员工</w:t>
            </w:r>
            <w:r>
              <w:rPr>
                <w:rFonts w:hint="default" w:ascii="Times New Roman" w:hAnsi="Times New Roman" w:cs="Times New Roman"/>
                <w:color w:val="000000" w:themeColor="text1"/>
                <w:sz w:val="24"/>
                <w:lang w:eastAsia="zh-CN"/>
                <w14:textFill>
                  <w14:solidFill>
                    <w14:schemeClr w14:val="tx1"/>
                  </w14:solidFill>
                </w14:textFill>
              </w:rPr>
              <w:t>主要为周边村民，</w:t>
            </w:r>
            <w:r>
              <w:rPr>
                <w:rFonts w:hint="default" w:ascii="Times New Roman" w:hAnsi="Times New Roman" w:cs="Times New Roman"/>
                <w:color w:val="000000" w:themeColor="text1"/>
                <w:sz w:val="24"/>
                <w14:textFill>
                  <w14:solidFill>
                    <w14:schemeClr w14:val="tx1"/>
                  </w14:solidFill>
                </w14:textFill>
              </w:rPr>
              <w:t>不在项目区食宿</w:t>
            </w:r>
            <w:r>
              <w:rPr>
                <w:rFonts w:hint="eastAsia" w:ascii="Times New Roman" w:hAnsi="Times New Roman" w:cs="Times New Roman"/>
                <w:color w:val="000000" w:themeColor="text1"/>
                <w:sz w:val="24"/>
                <w:lang w:eastAsia="zh-CN"/>
                <w14:textFill>
                  <w14:solidFill>
                    <w14:schemeClr w14:val="tx1"/>
                  </w14:solidFill>
                </w14:textFill>
              </w:rPr>
              <w:t>。</w:t>
            </w:r>
          </w:p>
          <w:p w14:paraId="541F907C">
            <w:pPr>
              <w:pStyle w:val="8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auto"/>
              <w:rPr>
                <w:rFonts w:hint="default" w:ascii="Times New Roman" w:hAnsi="Times New Roman" w:cs="Times New Roman"/>
                <w:b/>
                <w:bCs/>
                <w:snapToGrid w:val="0"/>
                <w:color w:val="000000" w:themeColor="text1"/>
                <w:sz w:val="24"/>
                <w:szCs w:val="24"/>
                <w:lang w:val="en-US" w:eastAsia="zh-CN"/>
                <w14:textFill>
                  <w14:solidFill>
                    <w14:schemeClr w14:val="tx1"/>
                  </w14:solidFill>
                </w14:textFill>
              </w:rPr>
            </w:pPr>
            <w:r>
              <w:rPr>
                <w:rFonts w:hint="default" w:ascii="Times New Roman" w:hAnsi="Times New Roman" w:cs="Times New Roman"/>
                <w:b/>
                <w:bCs/>
                <w:snapToGrid w:val="0"/>
                <w:color w:val="000000" w:themeColor="text1"/>
                <w:sz w:val="24"/>
                <w:szCs w:val="24"/>
                <w:lang w:val="en-US" w:eastAsia="zh-CN"/>
                <w14:textFill>
                  <w14:solidFill>
                    <w14:schemeClr w14:val="tx1"/>
                  </w14:solidFill>
                </w14:textFill>
              </w:rPr>
              <w:t>8、平面布置</w:t>
            </w:r>
          </w:p>
          <w:p w14:paraId="467700E5">
            <w:pPr>
              <w:pStyle w:val="44"/>
              <w:pageBreakBefore w:val="0"/>
              <w:kinsoku/>
              <w:overflowPunct/>
              <w:topLinePunct w:val="0"/>
              <w:bidi w:val="0"/>
              <w:ind w:left="0" w:leftChars="0" w:right="0" w:firstLine="48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根据项目总平面布置图，本项目租用现有生产车间进行建设，生产车间大致呈矩形。</w:t>
            </w:r>
          </w:p>
          <w:p w14:paraId="21ADC7A1">
            <w:pPr>
              <w:pStyle w:val="44"/>
              <w:pageBreakBefore w:val="0"/>
              <w:kinsoku/>
              <w:overflowPunct/>
              <w:topLinePunct w:val="0"/>
              <w:bidi w:val="0"/>
              <w:ind w:left="0" w:leftChars="0" w:right="0" w:firstLine="48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生产车间西侧布设生产区，生产区内自动向西依次布设焚烧炉、抛丸除锈设备、喷塑设备、烘干固化设备，压扁区位于生产区东南侧，危废暂存间、一般固废暂存区位于生产区东南侧；生产车间东侧布设待检区、成品区、辅料库、车间运输通道、办公区。生产车间进出口位于车间东侧。</w:t>
            </w:r>
          </w:p>
          <w:p w14:paraId="6F70FB34">
            <w:pPr>
              <w:pStyle w:val="44"/>
              <w:pageBreakBefore w:val="0"/>
              <w:kinsoku/>
              <w:overflowPunct/>
              <w:topLinePunct w:val="0"/>
              <w:bidi w:val="0"/>
              <w:ind w:left="0" w:leftChars="0" w:right="0" w:firstLine="48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项目区内功能分区明确，布局合理。</w:t>
            </w:r>
          </w:p>
          <w:p w14:paraId="12A76D9C">
            <w:pPr>
              <w:pStyle w:val="19"/>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lang w:val="en-US" w:eastAsia="zh-CN"/>
                <w14:textFill>
                  <w14:solidFill>
                    <w14:schemeClr w14:val="tx1"/>
                  </w14:solidFill>
                </w14:textFill>
              </w:rPr>
              <w:t>9</w:t>
            </w:r>
            <w:r>
              <w:rPr>
                <w:rFonts w:hint="default" w:ascii="Times New Roman" w:hAnsi="Times New Roman" w:cs="Times New Roman"/>
                <w:b/>
                <w:color w:val="000000" w:themeColor="text1"/>
                <w:sz w:val="24"/>
                <w14:textFill>
                  <w14:solidFill>
                    <w14:schemeClr w14:val="tx1"/>
                  </w14:solidFill>
                </w14:textFill>
              </w:rPr>
              <w:t>、水平衡</w:t>
            </w:r>
          </w:p>
          <w:p w14:paraId="48126620">
            <w:pPr>
              <w:pageBreakBefore w:val="0"/>
              <w:kinsoku/>
              <w:overflowPunct/>
              <w:topLinePunct w:val="0"/>
              <w:bidi w:val="0"/>
              <w:spacing w:line="360" w:lineRule="auto"/>
              <w:ind w:left="0" w:leftChars="0" w:right="0" w:firstLine="482"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（1）给水</w:t>
            </w:r>
          </w:p>
          <w:p w14:paraId="6CCA4E91">
            <w:pPr>
              <w:pageBreakBefore w:val="0"/>
              <w:kinsoku/>
              <w:overflowPunct/>
              <w:topLinePunct w:val="0"/>
              <w:bidi w:val="0"/>
              <w:spacing w:line="360" w:lineRule="auto"/>
              <w:ind w:left="0" w:leftChars="0"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本项目生活给水来自市政供水管网，水源由自来水供给。</w:t>
            </w:r>
          </w:p>
          <w:p w14:paraId="6419D086">
            <w:pPr>
              <w:pageBreakBefore w:val="0"/>
              <w:kinsoku/>
              <w:overflowPunct/>
              <w:topLinePunct w:val="0"/>
              <w:bidi w:val="0"/>
              <w:spacing w:line="360" w:lineRule="auto"/>
              <w:ind w:left="0" w:leftChars="0" w:right="0"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本项目运营期生产用水环节主要为生活用水、生产用水、降尘用水，由自来水供给。</w:t>
            </w:r>
          </w:p>
          <w:p w14:paraId="7977DB12">
            <w:pPr>
              <w:pageBreakBefore w:val="0"/>
              <w:kinsoku/>
              <w:overflowPunct/>
              <w:topLinePunct w:val="0"/>
              <w:bidi w:val="0"/>
              <w:spacing w:line="360" w:lineRule="auto"/>
              <w:ind w:left="0" w:leftChars="0" w:right="0"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（2）排水</w:t>
            </w:r>
          </w:p>
          <w:p w14:paraId="3CA91297">
            <w:pPr>
              <w:keepNext w:val="0"/>
              <w:keepLines/>
              <w:pageBreakBefore w:val="0"/>
              <w:kinsoku/>
              <w:overflowPunct/>
              <w:bidi w:val="0"/>
              <w:adjustRightInd/>
              <w:spacing w:line="360" w:lineRule="auto"/>
              <w:ind w:firstLine="482"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kern w:val="2"/>
                <w:sz w:val="24"/>
                <w:szCs w:val="32"/>
                <w:lang w:val="en-US" w:eastAsia="zh-CN" w:bidi="ar-SA"/>
                <w14:textFill>
                  <w14:solidFill>
                    <w14:schemeClr w14:val="tx1"/>
                  </w14:solidFill>
                </w14:textFill>
              </w:rPr>
              <w:t>初期</w:t>
            </w:r>
            <w:r>
              <w:rPr>
                <w:rFonts w:hint="default" w:ascii="Times New Roman" w:hAnsi="Times New Roman" w:eastAsia="宋体" w:cs="Times New Roman"/>
                <w:b/>
                <w:bCs/>
                <w:color w:val="000000" w:themeColor="text1"/>
                <w:kern w:val="2"/>
                <w:sz w:val="24"/>
                <w:szCs w:val="32"/>
                <w:lang w:val="en-US" w:eastAsia="zh-CN" w:bidi="ar-SA"/>
                <w14:textFill>
                  <w14:solidFill>
                    <w14:schemeClr w14:val="tx1"/>
                  </w14:solidFill>
                </w14:textFill>
              </w:rPr>
              <w:t>雨水：</w:t>
            </w:r>
            <w:r>
              <w:rPr>
                <w:rFonts w:hint="default" w:ascii="Times New Roman" w:hAnsi="Times New Roman" w:eastAsia="宋体" w:cs="Times New Roman"/>
                <w:color w:val="000000" w:themeColor="text1"/>
                <w:sz w:val="24"/>
                <w:lang w:val="en-US" w:eastAsia="zh-CN"/>
                <w14:textFill>
                  <w14:solidFill>
                    <w14:schemeClr w14:val="tx1"/>
                  </w14:solidFill>
                </w14:textFill>
              </w:rPr>
              <w:t>项目采取雨污分流制。项目采取雨污分流制，项目区初期雨水经依托现有雨水收集池收集沉淀后回用于浩峰公司塑料项目生产环节。</w:t>
            </w:r>
          </w:p>
          <w:p w14:paraId="65B3D5EC">
            <w:pPr>
              <w:keepNext w:val="0"/>
              <w:keepLines/>
              <w:pageBreakBefore w:val="0"/>
              <w:kinsoku/>
              <w:overflowPunct/>
              <w:bidi w:val="0"/>
              <w:adjustRightInd/>
              <w:spacing w:line="360" w:lineRule="auto"/>
              <w:ind w:firstLine="482"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废水：</w:t>
            </w:r>
            <w:r>
              <w:rPr>
                <w:rFonts w:hint="default" w:ascii="Times New Roman" w:hAnsi="Times New Roman" w:eastAsia="宋体" w:cs="Times New Roman"/>
                <w:color w:val="000000" w:themeColor="text1"/>
                <w:sz w:val="24"/>
                <w:lang w:val="en-US" w:eastAsia="zh-CN"/>
                <w14:textFill>
                  <w14:solidFill>
                    <w14:schemeClr w14:val="tx1"/>
                  </w14:solidFill>
                </w14:textFill>
              </w:rPr>
              <w:t>本项目生产过程中</w:t>
            </w:r>
            <w:r>
              <w:rPr>
                <w:rFonts w:hint="default" w:ascii="Times New Roman" w:hAnsi="Times New Roman" w:cs="Times New Roman"/>
                <w:color w:val="000000" w:themeColor="text1"/>
                <w:sz w:val="24"/>
                <w:lang w:val="en-US" w:eastAsia="zh-CN"/>
                <w14:textFill>
                  <w14:solidFill>
                    <w14:schemeClr w14:val="tx1"/>
                  </w14:solidFill>
                </w14:textFill>
              </w:rPr>
              <w:t>水压试验、气密试验用水</w:t>
            </w:r>
            <w:r>
              <w:rPr>
                <w:rFonts w:hint="default" w:ascii="Times New Roman" w:hAnsi="Times New Roman" w:eastAsia="宋体" w:cs="Times New Roman"/>
                <w:color w:val="000000" w:themeColor="text1"/>
                <w:sz w:val="24"/>
                <w:lang w:val="en-US" w:eastAsia="zh-CN"/>
                <w14:textFill>
                  <w14:solidFill>
                    <w14:schemeClr w14:val="tx1"/>
                  </w14:solidFill>
                </w14:textFill>
              </w:rPr>
              <w:t>循环使用，不外排。</w:t>
            </w:r>
            <w:r>
              <w:rPr>
                <w:rFonts w:hint="default" w:ascii="Times New Roman" w:hAnsi="Times New Roman" w:cs="Times New Roman"/>
                <w:color w:val="000000" w:themeColor="text1"/>
                <w:sz w:val="24"/>
                <w:lang w:val="en-US" w:eastAsia="zh-CN"/>
                <w14:textFill>
                  <w14:solidFill>
                    <w14:schemeClr w14:val="tx1"/>
                  </w14:solidFill>
                </w14:textFill>
              </w:rPr>
              <w:t>喷淋塔</w:t>
            </w:r>
            <w:r>
              <w:rPr>
                <w:rFonts w:hint="default" w:ascii="Times New Roman" w:hAnsi="Times New Roman" w:eastAsia="宋体" w:cs="Times New Roman"/>
                <w:color w:val="000000" w:themeColor="text1"/>
                <w:sz w:val="24"/>
                <w:lang w:val="en-US" w:eastAsia="zh-CN"/>
                <w14:textFill>
                  <w14:solidFill>
                    <w14:schemeClr w14:val="tx1"/>
                  </w14:solidFill>
                </w14:textFill>
              </w:rPr>
              <w:t>定期补充新鲜水，循环使用，废液每年更换一次，废液经收集后暂存于危废暂存间，定期交由有危废资质的单位进行处置。</w:t>
            </w:r>
          </w:p>
          <w:p w14:paraId="4E4F8A1F">
            <w:pPr>
              <w:keepNext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本项目设置1个1m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化粪池，</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1个1m</w:t>
            </w:r>
            <w:r>
              <w:rPr>
                <w:rFonts w:hint="default" w:ascii="Times New Roman" w:hAnsi="Times New Roman"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收集池</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，1个处理能力为1m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/d的一体化生活污水处理设施，</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生活污水经化粪池收集后进入一体化生活污水处理设施，</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经处理达《城市污水再生利用 城市杂用水水质》（GB/T18920-2020）</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绿化标准后进入收集池</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，回用于绿化，不外排</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p>
          <w:p w14:paraId="534B4D64">
            <w:pPr>
              <w:pStyle w:val="89"/>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default" w:ascii="Times New Roman" w:hAnsi="Times New Roman" w:cs="Times New Roman"/>
                <w:b/>
                <w:bCs/>
                <w:snapToGrid w:val="0"/>
                <w:color w:val="000000" w:themeColor="text1"/>
                <w:sz w:val="24"/>
                <w:szCs w:val="24"/>
                <w:lang w:eastAsia="zh-CN"/>
                <w14:textFill>
                  <w14:solidFill>
                    <w14:schemeClr w14:val="tx1"/>
                  </w14:solidFill>
                </w14:textFill>
              </w:rPr>
            </w:pPr>
            <w:r>
              <w:rPr>
                <w:rFonts w:hint="default" w:ascii="Times New Roman" w:hAnsi="Times New Roman" w:cs="Times New Roman"/>
                <w:b/>
                <w:bCs/>
                <w:snapToGrid w:val="0"/>
                <w:color w:val="000000" w:themeColor="text1"/>
                <w:sz w:val="24"/>
                <w:szCs w:val="24"/>
                <w:lang w:eastAsia="zh-CN"/>
                <w14:textFill>
                  <w14:solidFill>
                    <w14:schemeClr w14:val="tx1"/>
                  </w14:solidFill>
                </w14:textFill>
              </w:rPr>
              <w:t>水平衡图</w:t>
            </w:r>
          </w:p>
          <w:p w14:paraId="309A1169">
            <w:pPr>
              <w:pStyle w:val="8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jc w:val="center"/>
              <w:textAlignment w:val="auto"/>
              <w:rPr>
                <w:rFonts w:hint="default" w:ascii="Times New Roman" w:hAnsi="Times New Roman"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object>
                <v:shape id="_x0000_i1025" o:spt="75" type="#_x0000_t75" style="height:290.2pt;width:301.6pt;" o:ole="t" filled="f" o:preferrelative="t" stroked="f" coordsize="21600,21600">
                  <v:path/>
                  <v:fill on="f" focussize="0,0"/>
                  <v:stroke on="f"/>
                  <v:imagedata r:id="rId16" o:title=""/>
                  <o:lock v:ext="edit" aspectratio="f"/>
                  <w10:wrap type="none"/>
                  <w10:anchorlock/>
                </v:shape>
                <o:OLEObject Type="Embed" ProgID="Visio.Drawing.11" ShapeID="_x0000_i1025" DrawAspect="Content" ObjectID="_1468075725" r:id="rId15">
                  <o:LockedField>false</o:LockedField>
                </o:OLEObject>
              </w:object>
            </w:r>
          </w:p>
          <w:p w14:paraId="023BC776">
            <w:pPr>
              <w:pStyle w:val="89"/>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eastAsia="zh-CN"/>
                <w14:textFill>
                  <w14:solidFill>
                    <w14:schemeClr w14:val="tx1"/>
                  </w14:solidFill>
                </w14:textFill>
              </w:rPr>
              <w:t>图</w:t>
            </w:r>
            <w:r>
              <w:rPr>
                <w:rFonts w:hint="default" w:ascii="Times New Roman" w:hAnsi="Times New Roman" w:cs="Times New Roman"/>
                <w:b/>
                <w:bCs/>
                <w:color w:val="000000" w:themeColor="text1"/>
                <w:sz w:val="21"/>
                <w:szCs w:val="21"/>
                <w:lang w:val="en-US" w:eastAsia="zh-CN"/>
                <w14:textFill>
                  <w14:solidFill>
                    <w14:schemeClr w14:val="tx1"/>
                  </w14:solidFill>
                </w14:textFill>
              </w:rPr>
              <w:t>2-1 水平衡图</w:t>
            </w:r>
            <w:r>
              <w:rPr>
                <w:rFonts w:hint="eastAsia" w:cs="Times New Roman"/>
                <w:b/>
                <w:bCs/>
                <w:color w:val="000000" w:themeColor="text1"/>
                <w:sz w:val="21"/>
                <w:szCs w:val="21"/>
                <w:lang w:val="en-US" w:eastAsia="zh-CN"/>
                <w14:textFill>
                  <w14:solidFill>
                    <w14:schemeClr w14:val="tx1"/>
                  </w14:solidFill>
                </w14:textFill>
              </w:rPr>
              <w:t>（晴天）</w:t>
            </w: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单位：m</w:t>
            </w:r>
            <w:r>
              <w:rPr>
                <w:rFonts w:hint="default" w:ascii="Times New Roman" w:hAnsi="Times New Roman" w:cs="Times New Roman"/>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sz w:val="21"/>
                <w:szCs w:val="21"/>
                <w:lang w:val="en-US" w:eastAsia="zh-CN"/>
                <w14:textFill>
                  <w14:solidFill>
                    <w14:schemeClr w14:val="tx1"/>
                  </w14:solidFill>
                </w14:textFill>
              </w:rPr>
              <w:t>/d</w:t>
            </w:r>
          </w:p>
          <w:p w14:paraId="37EF374A">
            <w:pPr>
              <w:pStyle w:val="8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jc w:val="center"/>
              <w:textAlignment w:val="auto"/>
              <w:rPr>
                <w:rFonts w:hint="default" w:ascii="Times New Roman" w:hAnsi="Times New Roman"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object>
                <v:shape id="_x0000_i1026" o:spt="75" type="#_x0000_t75" style="height:283.5pt;width:292.55pt;" o:ole="t" filled="f" o:preferrelative="t" stroked="f" coordsize="21600,21600">
                  <v:path/>
                  <v:fill on="f" focussize="0,0"/>
                  <v:stroke on="f"/>
                  <v:imagedata r:id="rId18" o:title=""/>
                  <o:lock v:ext="edit" aspectratio="f"/>
                  <w10:wrap type="none"/>
                  <w10:anchorlock/>
                </v:shape>
                <o:OLEObject Type="Embed" ProgID="Visio.Drawing.11" ShapeID="_x0000_i1026" DrawAspect="Content" ObjectID="_1468075726" r:id="rId17">
                  <o:LockedField>false</o:LockedField>
                </o:OLEObject>
              </w:object>
            </w:r>
          </w:p>
          <w:p w14:paraId="359595A5">
            <w:pPr>
              <w:pStyle w:val="89"/>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eastAsia="zh-CN"/>
                <w14:textFill>
                  <w14:solidFill>
                    <w14:schemeClr w14:val="tx1"/>
                  </w14:solidFill>
                </w14:textFill>
              </w:rPr>
              <w:t>图</w:t>
            </w:r>
            <w:r>
              <w:rPr>
                <w:rFonts w:hint="default" w:ascii="Times New Roman" w:hAnsi="Times New Roman" w:cs="Times New Roman"/>
                <w:b/>
                <w:bCs/>
                <w:color w:val="000000" w:themeColor="text1"/>
                <w:sz w:val="21"/>
                <w:szCs w:val="21"/>
                <w:lang w:val="en-US" w:eastAsia="zh-CN"/>
                <w14:textFill>
                  <w14:solidFill>
                    <w14:schemeClr w14:val="tx1"/>
                  </w14:solidFill>
                </w14:textFill>
              </w:rPr>
              <w:t>2-</w:t>
            </w: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水平衡图</w:t>
            </w:r>
            <w:r>
              <w:rPr>
                <w:rFonts w:hint="eastAsia" w:cs="Times New Roman"/>
                <w:b/>
                <w:bCs/>
                <w:color w:val="000000" w:themeColor="text1"/>
                <w:sz w:val="21"/>
                <w:szCs w:val="21"/>
                <w:lang w:val="en-US" w:eastAsia="zh-CN"/>
                <w14:textFill>
                  <w14:solidFill>
                    <w14:schemeClr w14:val="tx1"/>
                  </w14:solidFill>
                </w14:textFill>
              </w:rPr>
              <w:t>（雨天）</w:t>
            </w: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单位：m</w:t>
            </w:r>
            <w:r>
              <w:rPr>
                <w:rFonts w:hint="default" w:ascii="Times New Roman" w:hAnsi="Times New Roman" w:cs="Times New Roman"/>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sz w:val="21"/>
                <w:szCs w:val="21"/>
                <w:lang w:val="en-US" w:eastAsia="zh-CN"/>
                <w14:textFill>
                  <w14:solidFill>
                    <w14:schemeClr w14:val="tx1"/>
                  </w14:solidFill>
                </w14:textFill>
              </w:rPr>
              <w:t>/d</w:t>
            </w:r>
          </w:p>
          <w:p w14:paraId="4F6B95CB">
            <w:pPr>
              <w:pStyle w:val="89"/>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p>
          <w:p w14:paraId="16EC8CC7">
            <w:pPr>
              <w:pStyle w:val="19"/>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10、环保投资</w:t>
            </w:r>
          </w:p>
          <w:p w14:paraId="2AAE3C9A">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cs="Times New Roman"/>
                <w:color w:val="000000" w:themeColor="text1"/>
                <w:sz w:val="24"/>
                <w:shd w:val="clear" w:color="auto" w:fill="FFFF00"/>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项目总投资</w:t>
            </w:r>
            <w:r>
              <w:rPr>
                <w:rFonts w:hint="default" w:ascii="Times New Roman" w:hAnsi="Times New Roman" w:cs="Times New Roman"/>
                <w:color w:val="000000" w:themeColor="text1"/>
                <w:sz w:val="24"/>
                <w:lang w:val="en-US" w:eastAsia="zh-CN"/>
                <w14:textFill>
                  <w14:solidFill>
                    <w14:schemeClr w14:val="tx1"/>
                  </w14:solidFill>
                </w14:textFill>
              </w:rPr>
              <w:t>600</w:t>
            </w:r>
            <w:r>
              <w:rPr>
                <w:rFonts w:hint="default" w:ascii="Times New Roman" w:hAnsi="Times New Roman" w:cs="Times New Roman"/>
                <w:color w:val="000000" w:themeColor="text1"/>
                <w:sz w:val="24"/>
                <w14:textFill>
                  <w14:solidFill>
                    <w14:schemeClr w14:val="tx1"/>
                  </w14:solidFill>
                </w14:textFill>
              </w:rPr>
              <w:t>万元，其中环保投资</w:t>
            </w:r>
            <w:r>
              <w:rPr>
                <w:rFonts w:hint="eastAsia" w:cs="Times New Roman"/>
                <w:color w:val="000000" w:themeColor="text1"/>
                <w:sz w:val="24"/>
                <w:lang w:val="en-US" w:eastAsia="zh-CN"/>
                <w14:textFill>
                  <w14:solidFill>
                    <w14:schemeClr w14:val="tx1"/>
                  </w14:solidFill>
                </w14:textFill>
              </w:rPr>
              <w:t>49</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万元，占总投资的</w:t>
            </w:r>
            <w:r>
              <w:rPr>
                <w:rFonts w:hint="eastAsia" w:cs="Times New Roman"/>
                <w:color w:val="000000" w:themeColor="text1"/>
                <w:sz w:val="24"/>
                <w:lang w:val="en-US" w:eastAsia="zh-CN"/>
                <w14:textFill>
                  <w14:solidFill>
                    <w14:schemeClr w14:val="tx1"/>
                  </w14:solidFill>
                </w14:textFill>
              </w:rPr>
              <w:t>8.183</w:t>
            </w:r>
            <w:r>
              <w:rPr>
                <w:rFonts w:hint="default" w:ascii="Times New Roman" w:hAnsi="Times New Roman" w:cs="Times New Roman"/>
                <w:color w:val="000000" w:themeColor="text1"/>
                <w:sz w:val="24"/>
                <w14:textFill>
                  <w14:solidFill>
                    <w14:schemeClr w14:val="tx1"/>
                  </w14:solidFill>
                </w14:textFill>
              </w:rPr>
              <w:t>%，项目环保投资情况见表2-8。</w:t>
            </w:r>
          </w:p>
          <w:p w14:paraId="2B9E8E8B">
            <w:pPr>
              <w:pStyle w:val="129"/>
              <w:pageBreakBefore w:val="0"/>
              <w:kinsoku/>
              <w:overflowPunct/>
              <w:topLinePunct w:val="0"/>
              <w:bidi w:val="0"/>
              <w:spacing w:before="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 xml:space="preserve">  项目环保投资明细表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9"/>
              <w:gridCol w:w="493"/>
              <w:gridCol w:w="1998"/>
              <w:gridCol w:w="3494"/>
              <w:gridCol w:w="1100"/>
              <w:gridCol w:w="755"/>
            </w:tblGrid>
            <w:tr w14:paraId="0C760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tcBorders>
                    <w:top w:val="single" w:color="auto" w:sz="4" w:space="0"/>
                    <w:left w:val="single" w:color="auto" w:sz="4" w:space="0"/>
                    <w:bottom w:val="single" w:color="auto" w:sz="4" w:space="0"/>
                    <w:right w:val="single" w:color="auto" w:sz="4" w:space="0"/>
                  </w:tcBorders>
                  <w:vAlign w:val="center"/>
                </w:tcPr>
                <w:p w14:paraId="45075019">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1481" w:type="pct"/>
                  <w:gridSpan w:val="2"/>
                  <w:tcBorders>
                    <w:top w:val="single" w:color="auto" w:sz="4" w:space="0"/>
                    <w:left w:val="single" w:color="auto" w:sz="4" w:space="0"/>
                    <w:bottom w:val="single" w:color="auto" w:sz="4" w:space="0"/>
                    <w:right w:val="single" w:color="auto" w:sz="4" w:space="0"/>
                  </w:tcBorders>
                  <w:vAlign w:val="center"/>
                </w:tcPr>
                <w:p w14:paraId="6AFE3BF2">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p>
              </w:tc>
              <w:tc>
                <w:tcPr>
                  <w:tcW w:w="2075" w:type="pct"/>
                  <w:tcBorders>
                    <w:top w:val="single" w:color="auto" w:sz="4" w:space="0"/>
                    <w:left w:val="single" w:color="auto" w:sz="4" w:space="0"/>
                    <w:bottom w:val="single" w:color="auto" w:sz="4" w:space="0"/>
                    <w:right w:val="single" w:color="auto" w:sz="4" w:space="0"/>
                  </w:tcBorders>
                  <w:vAlign w:val="center"/>
                </w:tcPr>
                <w:p w14:paraId="3963CC3A">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工程内容</w:t>
                  </w:r>
                </w:p>
              </w:tc>
              <w:tc>
                <w:tcPr>
                  <w:tcW w:w="654" w:type="pct"/>
                  <w:tcBorders>
                    <w:top w:val="single" w:color="auto" w:sz="4" w:space="0"/>
                    <w:left w:val="single" w:color="auto" w:sz="4" w:space="0"/>
                    <w:bottom w:val="single" w:color="auto" w:sz="4" w:space="0"/>
                    <w:right w:val="single" w:color="auto" w:sz="4" w:space="0"/>
                  </w:tcBorders>
                  <w:vAlign w:val="center"/>
                </w:tcPr>
                <w:p w14:paraId="128D7266">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投资（万元）</w:t>
                  </w:r>
                </w:p>
              </w:tc>
              <w:tc>
                <w:tcPr>
                  <w:tcW w:w="449" w:type="pct"/>
                  <w:tcBorders>
                    <w:top w:val="single" w:color="auto" w:sz="4" w:space="0"/>
                    <w:left w:val="single" w:color="auto" w:sz="4" w:space="0"/>
                    <w:bottom w:val="single" w:color="auto" w:sz="4" w:space="0"/>
                    <w:right w:val="single" w:color="auto" w:sz="4" w:space="0"/>
                  </w:tcBorders>
                  <w:vAlign w:val="center"/>
                </w:tcPr>
                <w:p w14:paraId="73D4B74E">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备注</w:t>
                  </w:r>
                </w:p>
              </w:tc>
            </w:tr>
            <w:tr w14:paraId="660BB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tcBorders>
                    <w:top w:val="single" w:color="auto" w:sz="4" w:space="0"/>
                    <w:left w:val="single" w:color="auto" w:sz="4" w:space="0"/>
                    <w:bottom w:val="single" w:color="auto" w:sz="4" w:space="0"/>
                    <w:right w:val="single" w:color="auto" w:sz="4" w:space="0"/>
                  </w:tcBorders>
                  <w:vAlign w:val="center"/>
                </w:tcPr>
                <w:p w14:paraId="18080106">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293" w:type="pct"/>
                  <w:vMerge w:val="restart"/>
                  <w:tcBorders>
                    <w:top w:val="single" w:color="auto" w:sz="4" w:space="0"/>
                    <w:left w:val="single" w:color="auto" w:sz="4" w:space="0"/>
                    <w:right w:val="single" w:color="auto" w:sz="4" w:space="0"/>
                  </w:tcBorders>
                  <w:vAlign w:val="center"/>
                </w:tcPr>
                <w:p w14:paraId="56CEE193">
                  <w:pPr>
                    <w:pStyle w:val="124"/>
                    <w:pageBreakBefore w:val="0"/>
                    <w:kinsoku/>
                    <w:overflowPunct/>
                    <w:topLinePunct w:val="0"/>
                    <w:bidi w:val="0"/>
                    <w:ind w:left="0" w:leftChars="0" w:right="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废水</w:t>
                  </w:r>
                </w:p>
              </w:tc>
              <w:tc>
                <w:tcPr>
                  <w:tcW w:w="1188" w:type="pct"/>
                  <w:tcBorders>
                    <w:top w:val="single" w:color="auto" w:sz="4" w:space="0"/>
                    <w:left w:val="single" w:color="auto" w:sz="4" w:space="0"/>
                    <w:bottom w:val="single" w:color="auto" w:sz="4" w:space="0"/>
                    <w:right w:val="single" w:color="auto" w:sz="4" w:space="0"/>
                  </w:tcBorders>
                  <w:vAlign w:val="center"/>
                </w:tcPr>
                <w:p w14:paraId="24EEE9F3">
                  <w:pPr>
                    <w:pageBreakBefore w:val="0"/>
                    <w:widowControl/>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雨污分流</w:t>
                  </w:r>
                </w:p>
              </w:tc>
              <w:tc>
                <w:tcPr>
                  <w:tcW w:w="2075" w:type="pct"/>
                  <w:tcBorders>
                    <w:top w:val="single" w:color="auto" w:sz="4" w:space="0"/>
                    <w:left w:val="single" w:color="auto" w:sz="4" w:space="0"/>
                    <w:bottom w:val="single" w:color="auto" w:sz="4" w:space="0"/>
                    <w:right w:val="single" w:color="auto" w:sz="4" w:space="0"/>
                  </w:tcBorders>
                  <w:vAlign w:val="center"/>
                </w:tcPr>
                <w:p w14:paraId="453C554E">
                  <w:pPr>
                    <w:pStyle w:val="124"/>
                    <w:pageBreakBefore w:val="0"/>
                    <w:kinsoku/>
                    <w:overflowPunct/>
                    <w:topLinePunct w:val="0"/>
                    <w:bidi w:val="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设置雨污分流系统</w:t>
                  </w:r>
                </w:p>
              </w:tc>
              <w:tc>
                <w:tcPr>
                  <w:tcW w:w="654" w:type="pct"/>
                  <w:tcBorders>
                    <w:top w:val="single" w:color="auto" w:sz="4" w:space="0"/>
                    <w:left w:val="single" w:color="auto" w:sz="4" w:space="0"/>
                    <w:bottom w:val="single" w:color="auto" w:sz="4" w:space="0"/>
                    <w:right w:val="single" w:color="auto" w:sz="4" w:space="0"/>
                  </w:tcBorders>
                  <w:vAlign w:val="center"/>
                </w:tcPr>
                <w:p w14:paraId="1D09174A">
                  <w:pPr>
                    <w:pageBreakBefore w:val="0"/>
                    <w:widowControl/>
                    <w:kinsoku/>
                    <w:overflowPunct/>
                    <w:topLinePunct w:val="0"/>
                    <w:bidi w:val="0"/>
                    <w:ind w:left="0" w:leftChars="0" w:right="0"/>
                    <w:jc w:val="center"/>
                    <w:textAlignment w:val="center"/>
                    <w:rPr>
                      <w:rFonts w:hint="default" w:ascii="Times New Roman" w:hAnsi="Times New Roman" w:eastAsia="宋体" w:cs="Times New Roman"/>
                      <w:color w:val="000000" w:themeColor="text1"/>
                      <w:szCs w:val="20"/>
                      <w:lang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2</w:t>
                  </w:r>
                </w:p>
              </w:tc>
              <w:tc>
                <w:tcPr>
                  <w:tcW w:w="449" w:type="pct"/>
                  <w:tcBorders>
                    <w:top w:val="single" w:color="auto" w:sz="4" w:space="0"/>
                    <w:left w:val="single" w:color="auto" w:sz="4" w:space="0"/>
                    <w:bottom w:val="single" w:color="auto" w:sz="4" w:space="0"/>
                    <w:right w:val="single" w:color="auto" w:sz="4" w:space="0"/>
                  </w:tcBorders>
                  <w:vAlign w:val="center"/>
                </w:tcPr>
                <w:p w14:paraId="258D3333">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14:paraId="12F8E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tcBorders>
                    <w:top w:val="single" w:color="auto" w:sz="4" w:space="0"/>
                    <w:left w:val="single" w:color="auto" w:sz="4" w:space="0"/>
                    <w:bottom w:val="single" w:color="auto" w:sz="4" w:space="0"/>
                    <w:right w:val="single" w:color="auto" w:sz="4" w:space="0"/>
                  </w:tcBorders>
                  <w:vAlign w:val="center"/>
                </w:tcPr>
                <w:p w14:paraId="205371B3">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293" w:type="pct"/>
                  <w:vMerge w:val="continue"/>
                  <w:tcBorders>
                    <w:left w:val="single" w:color="auto" w:sz="4" w:space="0"/>
                    <w:right w:val="single" w:color="auto" w:sz="4" w:space="0"/>
                  </w:tcBorders>
                  <w:vAlign w:val="center"/>
                </w:tcPr>
                <w:p w14:paraId="0A5BF4A9">
                  <w:pPr>
                    <w:pStyle w:val="124"/>
                    <w:pageBreakBefore w:val="0"/>
                    <w:kinsoku/>
                    <w:overflowPunct/>
                    <w:topLinePunct w:val="0"/>
                    <w:bidi w:val="0"/>
                    <w:ind w:left="0" w:leftChars="0" w:right="0"/>
                    <w:rPr>
                      <w:rFonts w:hint="default" w:ascii="Times New Roman" w:hAnsi="Times New Roman" w:cs="Times New Roman"/>
                      <w:b/>
                      <w:bCs/>
                      <w:color w:val="000000" w:themeColor="text1"/>
                      <w14:textFill>
                        <w14:solidFill>
                          <w14:schemeClr w14:val="tx1"/>
                        </w14:solidFill>
                      </w14:textFill>
                    </w:rPr>
                  </w:pPr>
                </w:p>
              </w:tc>
              <w:tc>
                <w:tcPr>
                  <w:tcW w:w="1188" w:type="pct"/>
                  <w:tcBorders>
                    <w:top w:val="single" w:color="auto" w:sz="4" w:space="0"/>
                    <w:left w:val="single" w:color="auto" w:sz="4" w:space="0"/>
                    <w:bottom w:val="single" w:color="auto" w:sz="4" w:space="0"/>
                    <w:right w:val="single" w:color="auto" w:sz="4" w:space="0"/>
                  </w:tcBorders>
                  <w:vAlign w:val="center"/>
                </w:tcPr>
                <w:p w14:paraId="11867503">
                  <w:pPr>
                    <w:pStyle w:val="29"/>
                    <w:pageBreakBefore w:val="0"/>
                    <w:widowControl w:val="0"/>
                    <w:kinsoku/>
                    <w:overflowPunct/>
                    <w:topLinePunct w:val="0"/>
                    <w:bidi w:val="0"/>
                    <w:spacing w:before="0" w:beforeAutospacing="0" w:after="0" w:afterAutospacing="0"/>
                    <w:ind w:left="0" w:leftChars="0" w:right="0"/>
                    <w:jc w:val="center"/>
                    <w:rPr>
                      <w:rFonts w:hint="default" w:ascii="Times New Roman" w:hAnsi="Times New Roman" w:cs="Times New Roman"/>
                      <w:color w:val="000000" w:themeColor="text1"/>
                      <w:sz w:val="21"/>
                      <w:szCs w:val="21"/>
                      <w14:textFill>
                        <w14:solidFill>
                          <w14:schemeClr w14:val="tx1"/>
                        </w14:solidFill>
                      </w14:textFill>
                    </w:rPr>
                  </w:pPr>
                  <w:r>
                    <w:rPr>
                      <w:rStyle w:val="112"/>
                      <w:rFonts w:hint="default" w:ascii="Times New Roman" w:hAnsi="Times New Roman" w:cs="Times New Roman"/>
                      <w:color w:val="000000" w:themeColor="text1"/>
                      <w:sz w:val="21"/>
                      <w:szCs w:val="21"/>
                      <w14:textFill>
                        <w14:solidFill>
                          <w14:schemeClr w14:val="tx1"/>
                        </w14:solidFill>
                      </w14:textFill>
                    </w:rPr>
                    <w:t>化粪池</w:t>
                  </w:r>
                </w:p>
              </w:tc>
              <w:tc>
                <w:tcPr>
                  <w:tcW w:w="2075" w:type="pct"/>
                  <w:vMerge w:val="restart"/>
                  <w:tcBorders>
                    <w:top w:val="single" w:color="auto" w:sz="4" w:space="0"/>
                    <w:left w:val="single" w:color="auto" w:sz="4" w:space="0"/>
                    <w:right w:val="single" w:color="auto" w:sz="4" w:space="0"/>
                  </w:tcBorders>
                  <w:vAlign w:val="center"/>
                </w:tcPr>
                <w:p w14:paraId="305FEDEA">
                  <w:pPr>
                    <w:pStyle w:val="29"/>
                    <w:pageBreakBefore w:val="0"/>
                    <w:widowControl w:val="0"/>
                    <w:kinsoku/>
                    <w:overflowPunct/>
                    <w:topLinePunct w:val="0"/>
                    <w:bidi w:val="0"/>
                    <w:spacing w:before="0" w:beforeAutospacing="0" w:after="0" w:afterAutospacing="0"/>
                    <w:ind w:left="0" w:leftChars="0" w:right="0"/>
                    <w:jc w:val="center"/>
                    <w:rPr>
                      <w:rStyle w:val="112"/>
                      <w:rFonts w:hint="default" w:ascii="Times New Roman" w:hAnsi="Times New Roman" w:cs="Times New Roman"/>
                      <w:color w:val="000000" w:themeColor="text1"/>
                      <w:sz w:val="21"/>
                      <w:szCs w:val="21"/>
                      <w14:textFill>
                        <w14:solidFill>
                          <w14:schemeClr w14:val="tx1"/>
                        </w14:solidFill>
                      </w14:textFill>
                    </w:rPr>
                  </w:pPr>
                  <w:r>
                    <w:rPr>
                      <w:rStyle w:val="112"/>
                      <w:rFonts w:hint="default" w:ascii="Times New Roman" w:hAnsi="Times New Roman" w:cs="Times New Roman"/>
                      <w:color w:val="000000" w:themeColor="text1"/>
                      <w:sz w:val="21"/>
                      <w:szCs w:val="21"/>
                      <w:lang w:eastAsia="zh-CN"/>
                      <w14:textFill>
                        <w14:solidFill>
                          <w14:schemeClr w14:val="tx1"/>
                        </w14:solidFill>
                      </w14:textFill>
                    </w:rPr>
                    <w:t>本项目设置</w:t>
                  </w:r>
                  <w:r>
                    <w:rPr>
                      <w:rStyle w:val="112"/>
                      <w:rFonts w:hint="default" w:ascii="Times New Roman" w:hAnsi="Times New Roman" w:cs="Times New Roman"/>
                      <w:color w:val="000000" w:themeColor="text1"/>
                      <w:sz w:val="21"/>
                      <w:szCs w:val="21"/>
                      <w:lang w:val="en-US" w:eastAsia="zh-CN"/>
                      <w14:textFill>
                        <w14:solidFill>
                          <w14:schemeClr w14:val="tx1"/>
                        </w14:solidFill>
                      </w14:textFill>
                    </w:rPr>
                    <w:t>1个1m3化粪池，1个1m</w:t>
                  </w:r>
                  <w:r>
                    <w:rPr>
                      <w:rStyle w:val="112"/>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Style w:val="112"/>
                      <w:rFonts w:hint="default" w:ascii="Times New Roman" w:hAnsi="Times New Roman" w:cs="Times New Roman"/>
                      <w:color w:val="000000" w:themeColor="text1"/>
                      <w:sz w:val="21"/>
                      <w:szCs w:val="21"/>
                      <w:lang w:val="en-US" w:eastAsia="zh-CN"/>
                      <w14:textFill>
                        <w14:solidFill>
                          <w14:schemeClr w14:val="tx1"/>
                        </w14:solidFill>
                      </w14:textFill>
                    </w:rPr>
                    <w:t>收集池，1个处理能力为1m</w:t>
                  </w:r>
                  <w:r>
                    <w:rPr>
                      <w:rStyle w:val="112"/>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Style w:val="112"/>
                      <w:rFonts w:hint="default" w:ascii="Times New Roman" w:hAnsi="Times New Roman" w:cs="Times New Roman"/>
                      <w:color w:val="000000" w:themeColor="text1"/>
                      <w:sz w:val="21"/>
                      <w:szCs w:val="21"/>
                      <w:lang w:val="en-US" w:eastAsia="zh-CN"/>
                      <w14:textFill>
                        <w14:solidFill>
                          <w14:schemeClr w14:val="tx1"/>
                        </w14:solidFill>
                      </w14:textFill>
                    </w:rPr>
                    <w:t>/d的一体化生活污水处理设施，本项目生活污水经化粪池收集后进入一体化生活污水处理设施，经处理达绿化标准后进入收集池，回用于绿化，不外排。</w:t>
                  </w:r>
                </w:p>
              </w:tc>
              <w:tc>
                <w:tcPr>
                  <w:tcW w:w="654" w:type="pct"/>
                  <w:tcBorders>
                    <w:top w:val="single" w:color="auto" w:sz="4" w:space="0"/>
                    <w:left w:val="single" w:color="auto" w:sz="4" w:space="0"/>
                    <w:bottom w:val="single" w:color="auto" w:sz="4" w:space="0"/>
                    <w:right w:val="single" w:color="auto" w:sz="4" w:space="0"/>
                  </w:tcBorders>
                  <w:vAlign w:val="center"/>
                </w:tcPr>
                <w:p w14:paraId="7AC0D895">
                  <w:pPr>
                    <w:pStyle w:val="29"/>
                    <w:pageBreakBefore w:val="0"/>
                    <w:widowControl w:val="0"/>
                    <w:kinsoku/>
                    <w:overflowPunct/>
                    <w:topLinePunct w:val="0"/>
                    <w:bidi w:val="0"/>
                    <w:spacing w:before="0" w:beforeAutospacing="0" w:after="0" w:afterAutospacing="0"/>
                    <w:ind w:left="0" w:leftChars="0" w:right="0"/>
                    <w:jc w:val="center"/>
                    <w:rPr>
                      <w:rStyle w:val="112"/>
                      <w:rFonts w:hint="default" w:ascii="Times New Roman" w:hAnsi="Times New Roman" w:cs="Times New Roman"/>
                      <w:color w:val="000000" w:themeColor="text1"/>
                      <w:sz w:val="21"/>
                      <w:szCs w:val="21"/>
                      <w:lang w:eastAsia="zh-CN"/>
                      <w14:textFill>
                        <w14:solidFill>
                          <w14:schemeClr w14:val="tx1"/>
                        </w14:solidFill>
                      </w14:textFill>
                    </w:rPr>
                  </w:pPr>
                  <w:r>
                    <w:rPr>
                      <w:rStyle w:val="112"/>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449" w:type="pct"/>
                  <w:tcBorders>
                    <w:top w:val="single" w:color="auto" w:sz="4" w:space="0"/>
                    <w:left w:val="single" w:color="auto" w:sz="4" w:space="0"/>
                    <w:bottom w:val="single" w:color="auto" w:sz="4" w:space="0"/>
                    <w:right w:val="single" w:color="auto" w:sz="4" w:space="0"/>
                  </w:tcBorders>
                  <w:vAlign w:val="center"/>
                </w:tcPr>
                <w:p w14:paraId="7A3C5645">
                  <w:pPr>
                    <w:pStyle w:val="124"/>
                    <w:pageBreakBefore w:val="0"/>
                    <w:kinsoku/>
                    <w:overflowPunct/>
                    <w:topLinePunct w:val="0"/>
                    <w:bidi w:val="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新建</w:t>
                  </w:r>
                </w:p>
              </w:tc>
            </w:tr>
            <w:tr w14:paraId="24380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tcBorders>
                    <w:top w:val="single" w:color="auto" w:sz="4" w:space="0"/>
                    <w:left w:val="single" w:color="auto" w:sz="4" w:space="0"/>
                    <w:bottom w:val="single" w:color="auto" w:sz="4" w:space="0"/>
                    <w:right w:val="single" w:color="auto" w:sz="4" w:space="0"/>
                  </w:tcBorders>
                  <w:vAlign w:val="center"/>
                </w:tcPr>
                <w:p w14:paraId="7CDBAA04">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p>
              </w:tc>
              <w:tc>
                <w:tcPr>
                  <w:tcW w:w="293" w:type="pct"/>
                  <w:vMerge w:val="continue"/>
                  <w:tcBorders>
                    <w:left w:val="single" w:color="auto" w:sz="4" w:space="0"/>
                    <w:right w:val="single" w:color="auto" w:sz="4" w:space="0"/>
                  </w:tcBorders>
                  <w:vAlign w:val="center"/>
                </w:tcPr>
                <w:p w14:paraId="52B2D393">
                  <w:pPr>
                    <w:pStyle w:val="124"/>
                    <w:pageBreakBefore w:val="0"/>
                    <w:kinsoku/>
                    <w:overflowPunct/>
                    <w:topLinePunct w:val="0"/>
                    <w:bidi w:val="0"/>
                    <w:ind w:left="0" w:leftChars="0" w:right="0"/>
                    <w:rPr>
                      <w:rFonts w:hint="default" w:ascii="Times New Roman" w:hAnsi="Times New Roman" w:cs="Times New Roman"/>
                      <w:b/>
                      <w:bCs/>
                      <w:color w:val="000000" w:themeColor="text1"/>
                      <w14:textFill>
                        <w14:solidFill>
                          <w14:schemeClr w14:val="tx1"/>
                        </w14:solidFill>
                      </w14:textFill>
                    </w:rPr>
                  </w:pPr>
                </w:p>
              </w:tc>
              <w:tc>
                <w:tcPr>
                  <w:tcW w:w="1188" w:type="pct"/>
                  <w:tcBorders>
                    <w:top w:val="single" w:color="auto" w:sz="4" w:space="0"/>
                    <w:left w:val="single" w:color="auto" w:sz="4" w:space="0"/>
                    <w:bottom w:val="single" w:color="auto" w:sz="4" w:space="0"/>
                    <w:right w:val="single" w:color="auto" w:sz="4" w:space="0"/>
                  </w:tcBorders>
                  <w:vAlign w:val="center"/>
                </w:tcPr>
                <w:p w14:paraId="408E3637">
                  <w:pPr>
                    <w:pStyle w:val="29"/>
                    <w:pageBreakBefore w:val="0"/>
                    <w:widowControl w:val="0"/>
                    <w:kinsoku/>
                    <w:overflowPunct/>
                    <w:topLinePunct w:val="0"/>
                    <w:bidi w:val="0"/>
                    <w:spacing w:before="0" w:beforeAutospacing="0" w:after="0" w:afterAutospacing="0"/>
                    <w:ind w:left="0" w:leftChars="0" w:right="0"/>
                    <w:jc w:val="center"/>
                    <w:rPr>
                      <w:rStyle w:val="112"/>
                      <w:rFonts w:hint="default" w:ascii="Times New Roman" w:hAnsi="Times New Roman" w:eastAsia="宋体" w:cs="Times New Roman"/>
                      <w:color w:val="000000" w:themeColor="text1"/>
                      <w:sz w:val="21"/>
                      <w:szCs w:val="21"/>
                      <w:lang w:eastAsia="zh-CN"/>
                      <w14:textFill>
                        <w14:solidFill>
                          <w14:schemeClr w14:val="tx1"/>
                        </w14:solidFill>
                      </w14:textFill>
                    </w:rPr>
                  </w:pPr>
                  <w:r>
                    <w:rPr>
                      <w:rStyle w:val="112"/>
                      <w:rFonts w:hint="default" w:ascii="Times New Roman" w:hAnsi="Times New Roman" w:cs="Times New Roman"/>
                      <w:color w:val="000000" w:themeColor="text1"/>
                      <w:sz w:val="21"/>
                      <w:szCs w:val="21"/>
                      <w:lang w:eastAsia="zh-CN"/>
                      <w14:textFill>
                        <w14:solidFill>
                          <w14:schemeClr w14:val="tx1"/>
                        </w14:solidFill>
                      </w14:textFill>
                    </w:rPr>
                    <w:t>一体化生活污水处理设施</w:t>
                  </w:r>
                </w:p>
              </w:tc>
              <w:tc>
                <w:tcPr>
                  <w:tcW w:w="2075" w:type="pct"/>
                  <w:vMerge w:val="continue"/>
                  <w:tcBorders>
                    <w:left w:val="single" w:color="auto" w:sz="4" w:space="0"/>
                    <w:right w:val="single" w:color="auto" w:sz="4" w:space="0"/>
                  </w:tcBorders>
                  <w:vAlign w:val="center"/>
                </w:tcPr>
                <w:p w14:paraId="7B3D006F">
                  <w:pPr>
                    <w:pStyle w:val="29"/>
                    <w:pageBreakBefore w:val="0"/>
                    <w:widowControl w:val="0"/>
                    <w:kinsoku/>
                    <w:overflowPunct/>
                    <w:topLinePunct w:val="0"/>
                    <w:bidi w:val="0"/>
                    <w:spacing w:before="0" w:beforeAutospacing="0" w:after="0" w:afterAutospacing="0"/>
                    <w:ind w:left="0" w:leftChars="0" w:right="0"/>
                    <w:jc w:val="center"/>
                    <w:rPr>
                      <w:rStyle w:val="112"/>
                      <w:rFonts w:hint="default" w:ascii="Times New Roman" w:hAnsi="Times New Roman" w:cs="Times New Roman"/>
                      <w:color w:val="000000" w:themeColor="text1"/>
                      <w:sz w:val="21"/>
                      <w:szCs w:val="21"/>
                      <w:lang w:eastAsia="zh-CN"/>
                      <w14:textFill>
                        <w14:solidFill>
                          <w14:schemeClr w14:val="tx1"/>
                        </w14:solidFill>
                      </w14:textFill>
                    </w:rPr>
                  </w:pPr>
                </w:p>
              </w:tc>
              <w:tc>
                <w:tcPr>
                  <w:tcW w:w="654" w:type="pct"/>
                  <w:tcBorders>
                    <w:top w:val="single" w:color="auto" w:sz="4" w:space="0"/>
                    <w:left w:val="single" w:color="auto" w:sz="4" w:space="0"/>
                    <w:bottom w:val="single" w:color="auto" w:sz="4" w:space="0"/>
                    <w:right w:val="single" w:color="auto" w:sz="4" w:space="0"/>
                  </w:tcBorders>
                  <w:vAlign w:val="center"/>
                </w:tcPr>
                <w:p w14:paraId="15218B2C">
                  <w:pPr>
                    <w:pStyle w:val="29"/>
                    <w:pageBreakBefore w:val="0"/>
                    <w:widowControl w:val="0"/>
                    <w:kinsoku/>
                    <w:overflowPunct/>
                    <w:topLinePunct w:val="0"/>
                    <w:bidi w:val="0"/>
                    <w:spacing w:before="0" w:beforeAutospacing="0" w:after="0" w:afterAutospacing="0"/>
                    <w:ind w:left="0" w:leftChars="0" w:right="0"/>
                    <w:jc w:val="center"/>
                    <w:rPr>
                      <w:rStyle w:val="112"/>
                      <w:rFonts w:hint="default" w:ascii="Times New Roman" w:hAnsi="Times New Roman" w:cs="Times New Roman"/>
                      <w:color w:val="000000" w:themeColor="text1"/>
                      <w:sz w:val="21"/>
                      <w:szCs w:val="21"/>
                      <w:lang w:val="en-US" w:eastAsia="zh-CN"/>
                      <w14:textFill>
                        <w14:solidFill>
                          <w14:schemeClr w14:val="tx1"/>
                        </w14:solidFill>
                      </w14:textFill>
                    </w:rPr>
                  </w:pPr>
                  <w:r>
                    <w:rPr>
                      <w:rStyle w:val="112"/>
                      <w:rFonts w:hint="default" w:ascii="Times New Roman" w:hAnsi="Times New Roman" w:cs="Times New Roman"/>
                      <w:color w:val="000000" w:themeColor="text1"/>
                      <w:sz w:val="21"/>
                      <w:szCs w:val="21"/>
                      <w:lang w:val="en-US" w:eastAsia="zh-CN"/>
                      <w14:textFill>
                        <w14:solidFill>
                          <w14:schemeClr w14:val="tx1"/>
                        </w14:solidFill>
                      </w14:textFill>
                    </w:rPr>
                    <w:t>5</w:t>
                  </w:r>
                </w:p>
              </w:tc>
              <w:tc>
                <w:tcPr>
                  <w:tcW w:w="449" w:type="pct"/>
                  <w:tcBorders>
                    <w:top w:val="single" w:color="auto" w:sz="4" w:space="0"/>
                    <w:left w:val="single" w:color="auto" w:sz="4" w:space="0"/>
                    <w:bottom w:val="single" w:color="auto" w:sz="4" w:space="0"/>
                    <w:right w:val="single" w:color="auto" w:sz="4" w:space="0"/>
                  </w:tcBorders>
                  <w:vAlign w:val="center"/>
                </w:tcPr>
                <w:p w14:paraId="5E50DE53">
                  <w:pPr>
                    <w:pStyle w:val="124"/>
                    <w:pageBreakBefore w:val="0"/>
                    <w:kinsoku/>
                    <w:overflowPunct/>
                    <w:topLinePunct w:val="0"/>
                    <w:bidi w:val="0"/>
                    <w:ind w:left="0" w:leftChars="0" w:right="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新建</w:t>
                  </w:r>
                </w:p>
              </w:tc>
            </w:tr>
            <w:tr w14:paraId="799F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tcBorders>
                    <w:top w:val="single" w:color="auto" w:sz="4" w:space="0"/>
                    <w:left w:val="single" w:color="auto" w:sz="4" w:space="0"/>
                    <w:bottom w:val="single" w:color="auto" w:sz="4" w:space="0"/>
                    <w:right w:val="single" w:color="auto" w:sz="4" w:space="0"/>
                  </w:tcBorders>
                  <w:vAlign w:val="center"/>
                </w:tcPr>
                <w:p w14:paraId="3D05BD26">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p>
              </w:tc>
              <w:tc>
                <w:tcPr>
                  <w:tcW w:w="293" w:type="pct"/>
                  <w:vMerge w:val="continue"/>
                  <w:tcBorders>
                    <w:left w:val="single" w:color="auto" w:sz="4" w:space="0"/>
                    <w:right w:val="single" w:color="auto" w:sz="4" w:space="0"/>
                  </w:tcBorders>
                  <w:vAlign w:val="center"/>
                </w:tcPr>
                <w:p w14:paraId="0A4C0B07">
                  <w:pPr>
                    <w:pStyle w:val="124"/>
                    <w:pageBreakBefore w:val="0"/>
                    <w:kinsoku/>
                    <w:overflowPunct/>
                    <w:topLinePunct w:val="0"/>
                    <w:bidi w:val="0"/>
                    <w:ind w:left="0" w:leftChars="0" w:right="0"/>
                    <w:rPr>
                      <w:rFonts w:hint="default" w:ascii="Times New Roman" w:hAnsi="Times New Roman" w:cs="Times New Roman"/>
                      <w:b/>
                      <w:bCs/>
                      <w:color w:val="000000" w:themeColor="text1"/>
                      <w14:textFill>
                        <w14:solidFill>
                          <w14:schemeClr w14:val="tx1"/>
                        </w14:solidFill>
                      </w14:textFill>
                    </w:rPr>
                  </w:pPr>
                </w:p>
              </w:tc>
              <w:tc>
                <w:tcPr>
                  <w:tcW w:w="1188" w:type="pct"/>
                  <w:tcBorders>
                    <w:top w:val="single" w:color="auto" w:sz="4" w:space="0"/>
                    <w:left w:val="single" w:color="auto" w:sz="4" w:space="0"/>
                    <w:bottom w:val="single" w:color="auto" w:sz="4" w:space="0"/>
                    <w:right w:val="single" w:color="auto" w:sz="4" w:space="0"/>
                  </w:tcBorders>
                  <w:vAlign w:val="center"/>
                </w:tcPr>
                <w:p w14:paraId="0D27EEA1">
                  <w:pPr>
                    <w:pStyle w:val="29"/>
                    <w:pageBreakBefore w:val="0"/>
                    <w:widowControl w:val="0"/>
                    <w:kinsoku/>
                    <w:overflowPunct/>
                    <w:topLinePunct w:val="0"/>
                    <w:bidi w:val="0"/>
                    <w:spacing w:before="0" w:beforeAutospacing="0" w:after="0" w:afterAutospacing="0"/>
                    <w:ind w:left="0" w:leftChars="0" w:right="0"/>
                    <w:jc w:val="center"/>
                    <w:rPr>
                      <w:rStyle w:val="112"/>
                      <w:rFonts w:hint="default" w:ascii="Times New Roman" w:hAnsi="Times New Roman" w:eastAsia="宋体" w:cs="Times New Roman"/>
                      <w:color w:val="000000" w:themeColor="text1"/>
                      <w:sz w:val="21"/>
                      <w:szCs w:val="21"/>
                      <w:lang w:eastAsia="zh-CN"/>
                      <w14:textFill>
                        <w14:solidFill>
                          <w14:schemeClr w14:val="tx1"/>
                        </w14:solidFill>
                      </w14:textFill>
                    </w:rPr>
                  </w:pPr>
                  <w:r>
                    <w:rPr>
                      <w:rStyle w:val="112"/>
                      <w:rFonts w:hint="default" w:ascii="Times New Roman" w:hAnsi="Times New Roman" w:cs="Times New Roman"/>
                      <w:color w:val="000000" w:themeColor="text1"/>
                      <w:sz w:val="21"/>
                      <w:szCs w:val="21"/>
                      <w:lang w:eastAsia="zh-CN"/>
                      <w14:textFill>
                        <w14:solidFill>
                          <w14:schemeClr w14:val="tx1"/>
                        </w14:solidFill>
                      </w14:textFill>
                    </w:rPr>
                    <w:t>收集池</w:t>
                  </w:r>
                </w:p>
              </w:tc>
              <w:tc>
                <w:tcPr>
                  <w:tcW w:w="2075" w:type="pct"/>
                  <w:vMerge w:val="continue"/>
                  <w:tcBorders>
                    <w:left w:val="single" w:color="auto" w:sz="4" w:space="0"/>
                    <w:bottom w:val="single" w:color="auto" w:sz="4" w:space="0"/>
                    <w:right w:val="single" w:color="auto" w:sz="4" w:space="0"/>
                  </w:tcBorders>
                  <w:vAlign w:val="center"/>
                </w:tcPr>
                <w:p w14:paraId="6499C351">
                  <w:pPr>
                    <w:pStyle w:val="29"/>
                    <w:pageBreakBefore w:val="0"/>
                    <w:widowControl w:val="0"/>
                    <w:kinsoku/>
                    <w:overflowPunct/>
                    <w:topLinePunct w:val="0"/>
                    <w:bidi w:val="0"/>
                    <w:spacing w:before="0" w:beforeAutospacing="0" w:after="0" w:afterAutospacing="0"/>
                    <w:ind w:left="0" w:leftChars="0" w:right="0"/>
                    <w:jc w:val="center"/>
                    <w:rPr>
                      <w:rStyle w:val="112"/>
                      <w:rFonts w:hint="default" w:ascii="Times New Roman" w:hAnsi="Times New Roman" w:cs="Times New Roman"/>
                      <w:color w:val="000000" w:themeColor="text1"/>
                      <w:sz w:val="21"/>
                      <w:szCs w:val="21"/>
                      <w:lang w:eastAsia="zh-CN"/>
                      <w14:textFill>
                        <w14:solidFill>
                          <w14:schemeClr w14:val="tx1"/>
                        </w14:solidFill>
                      </w14:textFill>
                    </w:rPr>
                  </w:pPr>
                </w:p>
              </w:tc>
              <w:tc>
                <w:tcPr>
                  <w:tcW w:w="654" w:type="pct"/>
                  <w:tcBorders>
                    <w:top w:val="single" w:color="auto" w:sz="4" w:space="0"/>
                    <w:left w:val="single" w:color="auto" w:sz="4" w:space="0"/>
                    <w:bottom w:val="single" w:color="auto" w:sz="4" w:space="0"/>
                    <w:right w:val="single" w:color="auto" w:sz="4" w:space="0"/>
                  </w:tcBorders>
                  <w:vAlign w:val="center"/>
                </w:tcPr>
                <w:p w14:paraId="7082DDC2">
                  <w:pPr>
                    <w:pStyle w:val="29"/>
                    <w:pageBreakBefore w:val="0"/>
                    <w:widowControl w:val="0"/>
                    <w:kinsoku/>
                    <w:overflowPunct/>
                    <w:topLinePunct w:val="0"/>
                    <w:bidi w:val="0"/>
                    <w:spacing w:before="0" w:beforeAutospacing="0" w:after="0" w:afterAutospacing="0"/>
                    <w:ind w:left="0" w:leftChars="0" w:right="0"/>
                    <w:jc w:val="center"/>
                    <w:rPr>
                      <w:rStyle w:val="112"/>
                      <w:rFonts w:hint="default" w:ascii="Times New Roman" w:hAnsi="Times New Roman" w:cs="Times New Roman"/>
                      <w:color w:val="000000" w:themeColor="text1"/>
                      <w:sz w:val="21"/>
                      <w:szCs w:val="21"/>
                      <w:lang w:val="en-US" w:eastAsia="zh-CN"/>
                      <w14:textFill>
                        <w14:solidFill>
                          <w14:schemeClr w14:val="tx1"/>
                        </w14:solidFill>
                      </w14:textFill>
                    </w:rPr>
                  </w:pPr>
                  <w:r>
                    <w:rPr>
                      <w:rStyle w:val="112"/>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449" w:type="pct"/>
                  <w:tcBorders>
                    <w:top w:val="single" w:color="auto" w:sz="4" w:space="0"/>
                    <w:left w:val="single" w:color="auto" w:sz="4" w:space="0"/>
                    <w:bottom w:val="single" w:color="auto" w:sz="4" w:space="0"/>
                    <w:right w:val="single" w:color="auto" w:sz="4" w:space="0"/>
                  </w:tcBorders>
                  <w:vAlign w:val="center"/>
                </w:tcPr>
                <w:p w14:paraId="1F665D13">
                  <w:pPr>
                    <w:pStyle w:val="124"/>
                    <w:pageBreakBefore w:val="0"/>
                    <w:kinsoku/>
                    <w:overflowPunct/>
                    <w:topLinePunct w:val="0"/>
                    <w:bidi w:val="0"/>
                    <w:ind w:left="0" w:leftChars="0" w:right="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新建</w:t>
                  </w:r>
                </w:p>
              </w:tc>
            </w:tr>
            <w:tr w14:paraId="7E38D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tcBorders>
                    <w:top w:val="single" w:color="auto" w:sz="4" w:space="0"/>
                    <w:left w:val="single" w:color="auto" w:sz="4" w:space="0"/>
                    <w:bottom w:val="single" w:color="auto" w:sz="4" w:space="0"/>
                    <w:right w:val="single" w:color="auto" w:sz="4" w:space="0"/>
                  </w:tcBorders>
                  <w:vAlign w:val="center"/>
                </w:tcPr>
                <w:p w14:paraId="64106433">
                  <w:pPr>
                    <w:pStyle w:val="124"/>
                    <w:pageBreakBefore w:val="0"/>
                    <w:kinsoku/>
                    <w:overflowPunct/>
                    <w:topLinePunct w:val="0"/>
                    <w:bidi w:val="0"/>
                    <w:ind w:left="0" w:leftChars="0" w:right="0" w:firstLine="0" w:firstLineChars="0"/>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293" w:type="pct"/>
                  <w:vMerge w:val="continue"/>
                  <w:tcBorders>
                    <w:left w:val="single" w:color="auto" w:sz="4" w:space="0"/>
                    <w:right w:val="single" w:color="auto" w:sz="4" w:space="0"/>
                  </w:tcBorders>
                  <w:vAlign w:val="center"/>
                </w:tcPr>
                <w:p w14:paraId="1E214ED1">
                  <w:pPr>
                    <w:pStyle w:val="124"/>
                    <w:pageBreakBefore w:val="0"/>
                    <w:kinsoku/>
                    <w:overflowPunct/>
                    <w:topLinePunct w:val="0"/>
                    <w:bidi w:val="0"/>
                    <w:ind w:left="0" w:leftChars="0" w:right="0"/>
                    <w:rPr>
                      <w:rFonts w:hint="default" w:ascii="Times New Roman" w:hAnsi="Times New Roman" w:cs="Times New Roman"/>
                      <w:b/>
                      <w:bCs/>
                      <w:color w:val="000000" w:themeColor="text1"/>
                      <w14:textFill>
                        <w14:solidFill>
                          <w14:schemeClr w14:val="tx1"/>
                        </w14:solidFill>
                      </w14:textFill>
                    </w:rPr>
                  </w:pPr>
                </w:p>
              </w:tc>
              <w:tc>
                <w:tcPr>
                  <w:tcW w:w="1188" w:type="pct"/>
                  <w:tcBorders>
                    <w:top w:val="single" w:color="auto" w:sz="4" w:space="0"/>
                    <w:left w:val="single" w:color="auto" w:sz="4" w:space="0"/>
                    <w:bottom w:val="single" w:color="auto" w:sz="4" w:space="0"/>
                    <w:right w:val="single" w:color="auto" w:sz="4" w:space="0"/>
                  </w:tcBorders>
                  <w:vAlign w:val="center"/>
                </w:tcPr>
                <w:p w14:paraId="74A77A4A">
                  <w:pPr>
                    <w:pageBreakBefore w:val="0"/>
                    <w:widowControl/>
                    <w:kinsoku/>
                    <w:overflowPunct/>
                    <w:topLinePunct w:val="0"/>
                    <w:bidi w:val="0"/>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初期雨水收集池</w:t>
                  </w:r>
                </w:p>
              </w:tc>
              <w:tc>
                <w:tcPr>
                  <w:tcW w:w="2075" w:type="pct"/>
                  <w:tcBorders>
                    <w:top w:val="single" w:color="auto" w:sz="4" w:space="0"/>
                    <w:left w:val="single" w:color="auto" w:sz="4" w:space="0"/>
                    <w:bottom w:val="single" w:color="auto" w:sz="4" w:space="0"/>
                    <w:right w:val="single" w:color="auto" w:sz="4" w:space="0"/>
                  </w:tcBorders>
                  <w:vAlign w:val="center"/>
                </w:tcPr>
                <w:p w14:paraId="5F4C778C">
                  <w:pPr>
                    <w:pageBreakBefore w:val="0"/>
                    <w:widowControl/>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依托现有</w:t>
                  </w:r>
                  <w:r>
                    <w:rPr>
                      <w:rFonts w:hint="default" w:ascii="Times New Roman" w:hAnsi="Times New Roman" w:eastAsia="宋体" w:cs="Times New Roman"/>
                      <w:color w:val="000000" w:themeColor="text1"/>
                      <w:lang w:val="en-US" w:eastAsia="zh-CN"/>
                      <w14:textFill>
                        <w14:solidFill>
                          <w14:schemeClr w14:val="tx1"/>
                        </w14:solidFill>
                      </w14:textFill>
                    </w:rPr>
                    <w:t>1个</w:t>
                  </w:r>
                  <w:r>
                    <w:rPr>
                      <w:rFonts w:hint="default" w:ascii="Times New Roman" w:hAnsi="Times New Roman" w:cs="Times New Roman"/>
                      <w:color w:val="000000" w:themeColor="text1"/>
                      <w:szCs w:val="21"/>
                      <w14:textFill>
                        <w14:solidFill>
                          <w14:schemeClr w14:val="tx1"/>
                        </w14:solidFill>
                      </w14:textFill>
                    </w:rPr>
                    <w:t>容积</w:t>
                  </w:r>
                  <w:r>
                    <w:rPr>
                      <w:rFonts w:hint="default" w:ascii="Times New Roman" w:hAnsi="Times New Roman" w:cs="Times New Roman"/>
                      <w:color w:val="000000" w:themeColor="text1"/>
                      <w:szCs w:val="21"/>
                      <w:lang w:val="en-US" w:eastAsia="zh-CN"/>
                      <w14:textFill>
                        <w14:solidFill>
                          <w14:schemeClr w14:val="tx1"/>
                        </w14:solidFill>
                      </w14:textFill>
                    </w:rPr>
                    <w:t>20</w:t>
                  </w:r>
                  <w:r>
                    <w:rPr>
                      <w:rFonts w:hint="default" w:ascii="Times New Roman" w:hAnsi="Times New Roman" w:cs="Times New Roman"/>
                      <w:color w:val="000000" w:themeColor="text1"/>
                      <w:szCs w:val="21"/>
                      <w14:textFill>
                        <w14:solidFill>
                          <w14:schemeClr w14:val="tx1"/>
                        </w14:solidFill>
                      </w14:textFill>
                    </w:rPr>
                    <w:t>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初期雨水收集池</w:t>
                  </w:r>
                </w:p>
              </w:tc>
              <w:tc>
                <w:tcPr>
                  <w:tcW w:w="654" w:type="pct"/>
                  <w:tcBorders>
                    <w:top w:val="single" w:color="auto" w:sz="4" w:space="0"/>
                    <w:left w:val="single" w:color="auto" w:sz="4" w:space="0"/>
                    <w:bottom w:val="single" w:color="auto" w:sz="4" w:space="0"/>
                    <w:right w:val="single" w:color="auto" w:sz="4" w:space="0"/>
                  </w:tcBorders>
                  <w:vAlign w:val="center"/>
                </w:tcPr>
                <w:p w14:paraId="16390B0A">
                  <w:pPr>
                    <w:pageBreakBefore w:val="0"/>
                    <w:widowControl/>
                    <w:kinsoku/>
                    <w:overflowPunct/>
                    <w:topLinePunct w:val="0"/>
                    <w:bidi w:val="0"/>
                    <w:ind w:left="0" w:leftChars="0" w:right="0"/>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w:t>
                  </w:r>
                </w:p>
              </w:tc>
              <w:tc>
                <w:tcPr>
                  <w:tcW w:w="449" w:type="pct"/>
                  <w:tcBorders>
                    <w:top w:val="single" w:color="auto" w:sz="4" w:space="0"/>
                    <w:left w:val="single" w:color="auto" w:sz="4" w:space="0"/>
                    <w:bottom w:val="single" w:color="auto" w:sz="4" w:space="0"/>
                    <w:right w:val="single" w:color="auto" w:sz="4" w:space="0"/>
                  </w:tcBorders>
                  <w:vAlign w:val="center"/>
                </w:tcPr>
                <w:p w14:paraId="5B6DD3B4">
                  <w:pPr>
                    <w:pStyle w:val="124"/>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依托</w:t>
                  </w:r>
                </w:p>
              </w:tc>
            </w:tr>
            <w:tr w14:paraId="258DA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tcBorders>
                    <w:top w:val="single" w:color="auto" w:sz="4" w:space="0"/>
                    <w:left w:val="single" w:color="auto" w:sz="4" w:space="0"/>
                    <w:bottom w:val="single" w:color="auto" w:sz="4" w:space="0"/>
                    <w:right w:val="single" w:color="auto" w:sz="4" w:space="0"/>
                  </w:tcBorders>
                  <w:vAlign w:val="center"/>
                </w:tcPr>
                <w:p w14:paraId="2466BA2D">
                  <w:pPr>
                    <w:pStyle w:val="124"/>
                    <w:pageBreakBefore w:val="0"/>
                    <w:kinsoku/>
                    <w:overflowPunct/>
                    <w:topLinePunct w:val="0"/>
                    <w:bidi w:val="0"/>
                    <w:ind w:left="0" w:leftChars="0" w:right="0" w:firstLine="0" w:firstLineChars="0"/>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293" w:type="pct"/>
                  <w:vMerge w:val="restart"/>
                  <w:tcBorders>
                    <w:left w:val="single" w:color="auto" w:sz="4" w:space="0"/>
                    <w:right w:val="single" w:color="auto" w:sz="4" w:space="0"/>
                  </w:tcBorders>
                  <w:vAlign w:val="center"/>
                </w:tcPr>
                <w:p w14:paraId="35824AD5">
                  <w:pPr>
                    <w:pStyle w:val="124"/>
                    <w:pageBreakBefore w:val="0"/>
                    <w:kinsoku/>
                    <w:overflowPunct/>
                    <w:topLinePunct w:val="0"/>
                    <w:bidi w:val="0"/>
                    <w:ind w:left="0" w:leftChars="0" w:right="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废气</w:t>
                  </w:r>
                </w:p>
              </w:tc>
              <w:tc>
                <w:tcPr>
                  <w:tcW w:w="1188" w:type="pct"/>
                  <w:tcBorders>
                    <w:top w:val="single" w:color="auto" w:sz="4" w:space="0"/>
                    <w:left w:val="single" w:color="auto" w:sz="4" w:space="0"/>
                    <w:bottom w:val="single" w:color="auto" w:sz="4" w:space="0"/>
                    <w:right w:val="single" w:color="auto" w:sz="4" w:space="0"/>
                  </w:tcBorders>
                  <w:vAlign w:val="center"/>
                </w:tcPr>
                <w:p w14:paraId="6F52CCB9">
                  <w:pPr>
                    <w:pStyle w:val="124"/>
                    <w:pageBreakBefore w:val="0"/>
                    <w:kinsoku/>
                    <w:overflowPunct/>
                    <w:topLinePunct w:val="0"/>
                    <w:bidi w:val="0"/>
                    <w:ind w:left="0" w:leftChars="0" w:right="0" w:rightChars="0"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 w:val="0"/>
                      <w:bCs/>
                      <w:color w:val="000000" w:themeColor="text1"/>
                      <w:lang w:val="en-US" w:eastAsia="zh-CN"/>
                      <w14:textFill>
                        <w14:solidFill>
                          <w14:schemeClr w14:val="tx1"/>
                        </w14:solidFill>
                      </w14:textFill>
                    </w:rPr>
                    <w:t>焚烧炉燃烧废气</w:t>
                  </w:r>
                </w:p>
              </w:tc>
              <w:tc>
                <w:tcPr>
                  <w:tcW w:w="2075" w:type="pct"/>
                  <w:tcBorders>
                    <w:top w:val="single" w:color="auto" w:sz="4" w:space="0"/>
                    <w:left w:val="single" w:color="auto" w:sz="4" w:space="0"/>
                    <w:bottom w:val="single" w:color="auto" w:sz="4" w:space="0"/>
                    <w:right w:val="single" w:color="auto" w:sz="4" w:space="0"/>
                  </w:tcBorders>
                  <w:vAlign w:val="center"/>
                </w:tcPr>
                <w:p w14:paraId="02B5670C">
                  <w:pPr>
                    <w:pStyle w:val="124"/>
                    <w:pageBreakBefore w:val="0"/>
                    <w:kinsoku/>
                    <w:overflowPunct/>
                    <w:topLinePunct w:val="0"/>
                    <w:bidi w:val="0"/>
                    <w:ind w:left="0" w:leftChars="0" w:right="0" w:rightChars="0"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 w:val="0"/>
                      <w:bCs/>
                      <w:color w:val="000000" w:themeColor="text1"/>
                      <w:lang w:val="en-US" w:eastAsia="zh-CN"/>
                      <w14:textFill>
                        <w14:solidFill>
                          <w14:schemeClr w14:val="tx1"/>
                        </w14:solidFill>
                      </w14:textFill>
                    </w:rPr>
                    <w:t>焚烧炉燃烧废气</w:t>
                  </w:r>
                  <w:r>
                    <w:rPr>
                      <w:rFonts w:hint="default" w:ascii="Times New Roman" w:hAnsi="Times New Roman" w:cs="Times New Roman"/>
                      <w:b w:val="0"/>
                      <w:bCs/>
                      <w:color w:val="000000" w:themeColor="text1"/>
                      <w:kern w:val="24"/>
                      <w:lang w:val="en-US" w:eastAsia="zh-CN"/>
                      <w14:textFill>
                        <w14:solidFill>
                          <w14:schemeClr w14:val="tx1"/>
                        </w14:solidFill>
                      </w14:textFill>
                    </w:rPr>
                    <w:t>经收集后进入一套“旋风+布袋+喷淋”设施处理后通过1根15m高排气筒DA001排放。</w:t>
                  </w:r>
                </w:p>
              </w:tc>
              <w:tc>
                <w:tcPr>
                  <w:tcW w:w="654" w:type="pct"/>
                  <w:tcBorders>
                    <w:top w:val="single" w:color="auto" w:sz="4" w:space="0"/>
                    <w:left w:val="single" w:color="auto" w:sz="4" w:space="0"/>
                    <w:bottom w:val="single" w:color="auto" w:sz="4" w:space="0"/>
                    <w:right w:val="single" w:color="auto" w:sz="4" w:space="0"/>
                  </w:tcBorders>
                  <w:vAlign w:val="center"/>
                </w:tcPr>
                <w:p w14:paraId="7E0CE989">
                  <w:pPr>
                    <w:pageBreakBefore w:val="0"/>
                    <w:widowControl/>
                    <w:kinsoku/>
                    <w:overflowPunct/>
                    <w:topLinePunct w:val="0"/>
                    <w:bidi w:val="0"/>
                    <w:ind w:left="0" w:leftChars="0" w:right="0"/>
                    <w:jc w:val="center"/>
                    <w:textAlignment w:val="center"/>
                    <w:rPr>
                      <w:rFonts w:hint="default" w:ascii="Times New Roman" w:hAnsi="Times New Roman" w:eastAsia="宋体" w:cs="Times New Roman"/>
                      <w:color w:val="000000" w:themeColor="text1"/>
                      <w:szCs w:val="20"/>
                      <w:lang w:val="en-US" w:eastAsia="zh-CN"/>
                      <w14:textFill>
                        <w14:solidFill>
                          <w14:schemeClr w14:val="tx1"/>
                        </w14:solidFill>
                      </w14:textFill>
                    </w:rPr>
                  </w:pPr>
                  <w:r>
                    <w:rPr>
                      <w:rFonts w:hint="default" w:ascii="Times New Roman" w:hAnsi="Times New Roman" w:cs="Times New Roman"/>
                      <w:color w:val="000000" w:themeColor="text1"/>
                      <w:szCs w:val="20"/>
                      <w:lang w:val="en-US" w:eastAsia="zh-CN"/>
                      <w14:textFill>
                        <w14:solidFill>
                          <w14:schemeClr w14:val="tx1"/>
                        </w14:solidFill>
                      </w14:textFill>
                    </w:rPr>
                    <w:t>10</w:t>
                  </w:r>
                </w:p>
              </w:tc>
              <w:tc>
                <w:tcPr>
                  <w:tcW w:w="449" w:type="pct"/>
                  <w:tcBorders>
                    <w:top w:val="single" w:color="auto" w:sz="4" w:space="0"/>
                    <w:left w:val="single" w:color="auto" w:sz="4" w:space="0"/>
                    <w:bottom w:val="single" w:color="auto" w:sz="4" w:space="0"/>
                    <w:right w:val="single" w:color="auto" w:sz="4" w:space="0"/>
                  </w:tcBorders>
                  <w:vAlign w:val="center"/>
                </w:tcPr>
                <w:p w14:paraId="62070C8D">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14:paraId="6179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tcBorders>
                    <w:top w:val="single" w:color="auto" w:sz="4" w:space="0"/>
                    <w:left w:val="single" w:color="auto" w:sz="4" w:space="0"/>
                    <w:bottom w:val="single" w:color="auto" w:sz="4" w:space="0"/>
                    <w:right w:val="single" w:color="auto" w:sz="4" w:space="0"/>
                  </w:tcBorders>
                  <w:vAlign w:val="center"/>
                </w:tcPr>
                <w:p w14:paraId="3B289BF8">
                  <w:pPr>
                    <w:pStyle w:val="124"/>
                    <w:pageBreakBefore w:val="0"/>
                    <w:kinsoku/>
                    <w:overflowPunct/>
                    <w:topLinePunct w:val="0"/>
                    <w:bidi w:val="0"/>
                    <w:ind w:left="0" w:leftChars="0" w:right="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293" w:type="pct"/>
                  <w:vMerge w:val="continue"/>
                  <w:tcBorders>
                    <w:left w:val="single" w:color="auto" w:sz="4" w:space="0"/>
                    <w:right w:val="single" w:color="auto" w:sz="4" w:space="0"/>
                  </w:tcBorders>
                  <w:vAlign w:val="center"/>
                </w:tcPr>
                <w:p w14:paraId="25B76903">
                  <w:pPr>
                    <w:pStyle w:val="124"/>
                    <w:pageBreakBefore w:val="0"/>
                    <w:kinsoku/>
                    <w:overflowPunct/>
                    <w:topLinePunct w:val="0"/>
                    <w:bidi w:val="0"/>
                    <w:ind w:left="0" w:leftChars="0" w:right="0"/>
                    <w:rPr>
                      <w:rFonts w:hint="default" w:ascii="Times New Roman" w:hAnsi="Times New Roman" w:cs="Times New Roman"/>
                      <w:b/>
                      <w:bCs/>
                      <w:color w:val="000000" w:themeColor="text1"/>
                      <w14:textFill>
                        <w14:solidFill>
                          <w14:schemeClr w14:val="tx1"/>
                        </w14:solidFill>
                      </w14:textFill>
                    </w:rPr>
                  </w:pPr>
                </w:p>
              </w:tc>
              <w:tc>
                <w:tcPr>
                  <w:tcW w:w="2087" w:type="dxa"/>
                  <w:tcBorders>
                    <w:top w:val="single" w:color="auto" w:sz="4" w:space="0"/>
                    <w:left w:val="single" w:color="auto" w:sz="4" w:space="0"/>
                    <w:bottom w:val="single" w:color="auto" w:sz="4" w:space="0"/>
                    <w:right w:val="single" w:color="auto" w:sz="4" w:space="0"/>
                  </w:tcBorders>
                  <w:vAlign w:val="center"/>
                </w:tcPr>
                <w:p w14:paraId="6FF2094B">
                  <w:pPr>
                    <w:pStyle w:val="124"/>
                    <w:pageBreakBefore w:val="0"/>
                    <w:kinsoku/>
                    <w:overflowPunct/>
                    <w:topLinePunct w:val="0"/>
                    <w:bidi w:val="0"/>
                    <w:ind w:left="0" w:leftChars="0" w:right="0" w:rightChars="0" w:firstLine="0" w:firstLineChars="0"/>
                    <w:rPr>
                      <w:rFonts w:hint="default" w:ascii="Times New Roman" w:hAnsi="Times New Roman" w:cs="Times New Roman"/>
                      <w:b w:val="0"/>
                      <w:bCs/>
                      <w:color w:val="000000" w:themeColor="text1"/>
                      <w:lang w:val="en-US" w:eastAsia="zh-CN"/>
                      <w14:textFill>
                        <w14:solidFill>
                          <w14:schemeClr w14:val="tx1"/>
                        </w14:solidFill>
                      </w14:textFill>
                    </w:rPr>
                  </w:pPr>
                  <w:r>
                    <w:rPr>
                      <w:rFonts w:hint="eastAsia" w:cs="Times New Roman"/>
                      <w:b w:val="0"/>
                      <w:bCs/>
                      <w:color w:val="000000" w:themeColor="text1"/>
                      <w:lang w:val="en-US" w:eastAsia="zh-CN"/>
                      <w14:textFill>
                        <w14:solidFill>
                          <w14:schemeClr w14:val="tx1"/>
                        </w14:solidFill>
                      </w14:textFill>
                    </w:rPr>
                    <w:t>烘干</w:t>
                  </w:r>
                  <w:r>
                    <w:rPr>
                      <w:rFonts w:hint="default" w:ascii="Times New Roman" w:hAnsi="Times New Roman" w:cs="Times New Roman"/>
                      <w:b w:val="0"/>
                      <w:bCs/>
                      <w:color w:val="000000" w:themeColor="text1"/>
                      <w:lang w:val="en-US" w:eastAsia="zh-CN"/>
                      <w14:textFill>
                        <w14:solidFill>
                          <w14:schemeClr w14:val="tx1"/>
                        </w14:solidFill>
                      </w14:textFill>
                    </w:rPr>
                    <w:t>固化</w:t>
                  </w:r>
                  <w:r>
                    <w:rPr>
                      <w:rFonts w:hint="default" w:ascii="Times New Roman" w:hAnsi="Times New Roman" w:cs="Times New Roman"/>
                      <w:b w:val="0"/>
                      <w:bCs/>
                      <w:color w:val="000000" w:themeColor="text1"/>
                      <w:szCs w:val="21"/>
                      <w:lang w:val="en-US" w:eastAsia="zh-CN"/>
                      <w14:textFill>
                        <w14:solidFill>
                          <w14:schemeClr w14:val="tx1"/>
                        </w14:solidFill>
                      </w14:textFill>
                    </w:rPr>
                    <w:t>废气</w:t>
                  </w:r>
                </w:p>
              </w:tc>
              <w:tc>
                <w:tcPr>
                  <w:tcW w:w="3648" w:type="dxa"/>
                  <w:tcBorders>
                    <w:top w:val="single" w:color="auto" w:sz="4" w:space="0"/>
                    <w:left w:val="single" w:color="auto" w:sz="4" w:space="0"/>
                    <w:bottom w:val="single" w:color="auto" w:sz="4" w:space="0"/>
                    <w:right w:val="single" w:color="auto" w:sz="4" w:space="0"/>
                  </w:tcBorders>
                  <w:vAlign w:val="center"/>
                </w:tcPr>
                <w:p w14:paraId="277527DB">
                  <w:pPr>
                    <w:pageBreakBefore w:val="0"/>
                    <w:kinsoku/>
                    <w:overflowPunct/>
                    <w:topLinePunct w:val="0"/>
                    <w:bidi w:val="0"/>
                    <w:adjustRightInd w:val="0"/>
                    <w:snapToGrid w:val="0"/>
                    <w:spacing w:line="0" w:lineRule="atLeast"/>
                    <w:ind w:left="0" w:leftChars="0" w:right="0" w:rightChars="0"/>
                    <w:jc w:val="center"/>
                    <w:rPr>
                      <w:rFonts w:hint="default" w:ascii="Times New Roman" w:hAnsi="Times New Roman" w:cs="Times New Roman"/>
                      <w:b w:val="0"/>
                      <w:bCs/>
                      <w:color w:val="000000" w:themeColor="text1"/>
                      <w:lang w:val="en-US" w:eastAsia="zh-CN"/>
                      <w14:textFill>
                        <w14:solidFill>
                          <w14:schemeClr w14:val="tx1"/>
                        </w14:solidFill>
                      </w14:textFill>
                    </w:rPr>
                  </w:pPr>
                  <w:r>
                    <w:rPr>
                      <w:rFonts w:hint="eastAsia" w:cs="Times New Roman"/>
                      <w:b w:val="0"/>
                      <w:bCs/>
                      <w:color w:val="000000" w:themeColor="text1"/>
                      <w:kern w:val="24"/>
                      <w:lang w:val="en-US" w:eastAsia="zh-CN"/>
                      <w14:textFill>
                        <w14:solidFill>
                          <w14:schemeClr w14:val="tx1"/>
                        </w14:solidFill>
                      </w14:textFill>
                    </w:rPr>
                    <w:t>烘干固化废气包含液化气燃烧废气、钢瓶烘干废气；烘干固化废气引入焚烧炉通过热力焚烧后同焚烧废气进入废气处理系统处理后一同并入排气筒DA001一同排放。</w:t>
                  </w:r>
                </w:p>
              </w:tc>
              <w:tc>
                <w:tcPr>
                  <w:tcW w:w="654" w:type="pct"/>
                  <w:tcBorders>
                    <w:top w:val="single" w:color="auto" w:sz="4" w:space="0"/>
                    <w:left w:val="single" w:color="auto" w:sz="4" w:space="0"/>
                    <w:bottom w:val="single" w:color="auto" w:sz="4" w:space="0"/>
                    <w:right w:val="single" w:color="auto" w:sz="4" w:space="0"/>
                  </w:tcBorders>
                  <w:vAlign w:val="center"/>
                </w:tcPr>
                <w:p w14:paraId="69BEC96A">
                  <w:pPr>
                    <w:pageBreakBefore w:val="0"/>
                    <w:widowControl/>
                    <w:kinsoku/>
                    <w:overflowPunct/>
                    <w:topLinePunct w:val="0"/>
                    <w:bidi w:val="0"/>
                    <w:ind w:left="0" w:leftChars="0" w:right="0" w:rightChars="0"/>
                    <w:jc w:val="center"/>
                    <w:textAlignment w:val="center"/>
                    <w:rPr>
                      <w:rFonts w:hint="default" w:ascii="Times New Roman" w:hAnsi="Times New Roman" w:cs="Times New Roman"/>
                      <w:color w:val="000000" w:themeColor="text1"/>
                      <w:szCs w:val="20"/>
                      <w:lang w:val="en-US" w:eastAsia="zh-CN"/>
                      <w14:textFill>
                        <w14:solidFill>
                          <w14:schemeClr w14:val="tx1"/>
                        </w14:solidFill>
                      </w14:textFill>
                    </w:rPr>
                  </w:pPr>
                  <w:r>
                    <w:rPr>
                      <w:rFonts w:hint="eastAsia" w:cs="Times New Roman"/>
                      <w:color w:val="000000" w:themeColor="text1"/>
                      <w:szCs w:val="20"/>
                      <w:lang w:val="en-US" w:eastAsia="zh-CN"/>
                      <w14:textFill>
                        <w14:solidFill>
                          <w14:schemeClr w14:val="tx1"/>
                        </w14:solidFill>
                      </w14:textFill>
                    </w:rPr>
                    <w:t>5</w:t>
                  </w:r>
                </w:p>
              </w:tc>
              <w:tc>
                <w:tcPr>
                  <w:tcW w:w="449" w:type="pct"/>
                  <w:tcBorders>
                    <w:top w:val="single" w:color="auto" w:sz="4" w:space="0"/>
                    <w:left w:val="single" w:color="auto" w:sz="4" w:space="0"/>
                    <w:bottom w:val="single" w:color="auto" w:sz="4" w:space="0"/>
                    <w:right w:val="single" w:color="auto" w:sz="4" w:space="0"/>
                  </w:tcBorders>
                  <w:vAlign w:val="center"/>
                </w:tcPr>
                <w:p w14:paraId="4E9CE3C9">
                  <w:pPr>
                    <w:pStyle w:val="124"/>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7EE4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tcBorders>
                    <w:top w:val="single" w:color="auto" w:sz="4" w:space="0"/>
                    <w:left w:val="single" w:color="auto" w:sz="4" w:space="0"/>
                    <w:bottom w:val="single" w:color="auto" w:sz="4" w:space="0"/>
                    <w:right w:val="single" w:color="auto" w:sz="4" w:space="0"/>
                  </w:tcBorders>
                  <w:vAlign w:val="center"/>
                </w:tcPr>
                <w:p w14:paraId="66693345">
                  <w:pPr>
                    <w:pStyle w:val="124"/>
                    <w:pageBreakBefore w:val="0"/>
                    <w:kinsoku/>
                    <w:overflowPunct/>
                    <w:topLinePunct w:val="0"/>
                    <w:bidi w:val="0"/>
                    <w:ind w:left="0" w:leftChars="0" w:right="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p>
              </w:tc>
              <w:tc>
                <w:tcPr>
                  <w:tcW w:w="293" w:type="pct"/>
                  <w:vMerge w:val="continue"/>
                  <w:tcBorders>
                    <w:left w:val="single" w:color="auto" w:sz="4" w:space="0"/>
                    <w:right w:val="single" w:color="auto" w:sz="4" w:space="0"/>
                  </w:tcBorders>
                  <w:vAlign w:val="center"/>
                </w:tcPr>
                <w:p w14:paraId="5FC90F5E">
                  <w:pPr>
                    <w:pStyle w:val="124"/>
                    <w:pageBreakBefore w:val="0"/>
                    <w:kinsoku/>
                    <w:overflowPunct/>
                    <w:topLinePunct w:val="0"/>
                    <w:bidi w:val="0"/>
                    <w:ind w:left="0" w:leftChars="0" w:right="0"/>
                    <w:rPr>
                      <w:rFonts w:hint="default" w:ascii="Times New Roman" w:hAnsi="Times New Roman" w:cs="Times New Roman"/>
                      <w:b/>
                      <w:bCs/>
                      <w:color w:val="000000" w:themeColor="text1"/>
                      <w14:textFill>
                        <w14:solidFill>
                          <w14:schemeClr w14:val="tx1"/>
                        </w14:solidFill>
                      </w14:textFill>
                    </w:rPr>
                  </w:pPr>
                </w:p>
              </w:tc>
              <w:tc>
                <w:tcPr>
                  <w:tcW w:w="2087" w:type="dxa"/>
                  <w:tcBorders>
                    <w:top w:val="single" w:color="auto" w:sz="4" w:space="0"/>
                    <w:left w:val="single" w:color="auto" w:sz="4" w:space="0"/>
                    <w:bottom w:val="single" w:color="auto" w:sz="4" w:space="0"/>
                    <w:right w:val="single" w:color="auto" w:sz="4" w:space="0"/>
                  </w:tcBorders>
                  <w:vAlign w:val="center"/>
                </w:tcPr>
                <w:p w14:paraId="7F1EDED8">
                  <w:pPr>
                    <w:pStyle w:val="124"/>
                    <w:pageBreakBefore w:val="0"/>
                    <w:kinsoku/>
                    <w:overflowPunct/>
                    <w:topLinePunct w:val="0"/>
                    <w:bidi w:val="0"/>
                    <w:ind w:left="0" w:leftChars="0" w:right="0" w:rightChars="0" w:firstLine="0" w:firstLineChars="0"/>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b w:val="0"/>
                      <w:bCs/>
                      <w:color w:val="000000" w:themeColor="text1"/>
                      <w:szCs w:val="21"/>
                      <w:lang w:val="en-US" w:eastAsia="zh-CN"/>
                      <w14:textFill>
                        <w14:solidFill>
                          <w14:schemeClr w14:val="tx1"/>
                        </w14:solidFill>
                      </w14:textFill>
                    </w:rPr>
                    <w:t>抛丸除锈废气</w:t>
                  </w:r>
                </w:p>
              </w:tc>
              <w:tc>
                <w:tcPr>
                  <w:tcW w:w="3648" w:type="dxa"/>
                  <w:tcBorders>
                    <w:top w:val="single" w:color="auto" w:sz="4" w:space="0"/>
                    <w:left w:val="single" w:color="auto" w:sz="4" w:space="0"/>
                    <w:bottom w:val="single" w:color="auto" w:sz="4" w:space="0"/>
                    <w:right w:val="single" w:color="auto" w:sz="4" w:space="0"/>
                  </w:tcBorders>
                  <w:vAlign w:val="center"/>
                </w:tcPr>
                <w:p w14:paraId="79C6AC6F">
                  <w:pPr>
                    <w:pStyle w:val="124"/>
                    <w:pageBreakBefore w:val="0"/>
                    <w:kinsoku/>
                    <w:overflowPunct/>
                    <w:topLinePunct w:val="0"/>
                    <w:bidi w:val="0"/>
                    <w:ind w:left="0" w:leftChars="0" w:right="0" w:rightChars="0"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抛丸除锈废气经</w:t>
                  </w:r>
                  <w:r>
                    <w:rPr>
                      <w:rFonts w:hint="default" w:ascii="Times New Roman" w:hAnsi="Times New Roman" w:cs="Times New Roman"/>
                      <w:b w:val="0"/>
                      <w:bCs/>
                      <w:color w:val="000000" w:themeColor="text1"/>
                      <w:kern w:val="24"/>
                      <w:lang w:val="en-US" w:eastAsia="zh-CN"/>
                      <w14:textFill>
                        <w14:solidFill>
                          <w14:schemeClr w14:val="tx1"/>
                        </w14:solidFill>
                      </w14:textFill>
                    </w:rPr>
                    <w:t>设置的1套</w:t>
                  </w:r>
                  <w:r>
                    <w:rPr>
                      <w:rFonts w:hint="eastAsia" w:cs="Times New Roman"/>
                      <w:b w:val="0"/>
                      <w:bCs/>
                      <w:color w:val="000000" w:themeColor="text1"/>
                      <w:kern w:val="24"/>
                      <w:lang w:val="en-US" w:eastAsia="zh-CN"/>
                      <w14:textFill>
                        <w14:solidFill>
                          <w14:schemeClr w14:val="tx1"/>
                        </w14:solidFill>
                      </w14:textFill>
                    </w:rPr>
                    <w:t>抛丸除锈</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脉冲滤筒除尘器处理后并入排气筒DA00</w:t>
                  </w:r>
                  <w:r>
                    <w:rPr>
                      <w:rFonts w:hint="default" w:ascii="Times New Roman" w:hAnsi="Times New Roman" w:cs="Times New Roman"/>
                      <w:b w:val="0"/>
                      <w:bCs/>
                      <w:color w:val="000000" w:themeColor="text1"/>
                      <w:kern w:val="24"/>
                      <w:lang w:val="en-US" w:eastAsia="zh-CN"/>
                      <w14:textFill>
                        <w14:solidFill>
                          <w14:schemeClr w14:val="tx1"/>
                        </w14:solidFill>
                      </w14:textFill>
                    </w:rPr>
                    <w:t>2</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一同排放</w:t>
                  </w:r>
                </w:p>
              </w:tc>
              <w:tc>
                <w:tcPr>
                  <w:tcW w:w="654" w:type="pct"/>
                  <w:tcBorders>
                    <w:top w:val="single" w:color="auto" w:sz="4" w:space="0"/>
                    <w:left w:val="single" w:color="auto" w:sz="4" w:space="0"/>
                    <w:bottom w:val="single" w:color="auto" w:sz="4" w:space="0"/>
                    <w:right w:val="single" w:color="auto" w:sz="4" w:space="0"/>
                  </w:tcBorders>
                  <w:vAlign w:val="center"/>
                </w:tcPr>
                <w:p w14:paraId="274B9400">
                  <w:pPr>
                    <w:pageBreakBefore w:val="0"/>
                    <w:widowControl/>
                    <w:kinsoku/>
                    <w:overflowPunct/>
                    <w:topLinePunct w:val="0"/>
                    <w:bidi w:val="0"/>
                    <w:ind w:left="0" w:leftChars="0" w:right="0" w:rightChars="0"/>
                    <w:jc w:val="center"/>
                    <w:textAlignment w:val="center"/>
                    <w:rPr>
                      <w:rFonts w:hint="default" w:ascii="Times New Roman" w:hAnsi="Times New Roman" w:cs="Times New Roman"/>
                      <w:color w:val="000000" w:themeColor="text1"/>
                      <w:szCs w:val="20"/>
                      <w:lang w:val="en-US" w:eastAsia="zh-CN"/>
                      <w14:textFill>
                        <w14:solidFill>
                          <w14:schemeClr w14:val="tx1"/>
                        </w14:solidFill>
                      </w14:textFill>
                    </w:rPr>
                  </w:pPr>
                  <w:r>
                    <w:rPr>
                      <w:rFonts w:hint="default" w:ascii="Times New Roman" w:hAnsi="Times New Roman" w:cs="Times New Roman"/>
                      <w:color w:val="000000" w:themeColor="text1"/>
                      <w:szCs w:val="20"/>
                      <w:lang w:val="en-US" w:eastAsia="zh-CN"/>
                      <w14:textFill>
                        <w14:solidFill>
                          <w14:schemeClr w14:val="tx1"/>
                        </w14:solidFill>
                      </w14:textFill>
                    </w:rPr>
                    <w:t>8</w:t>
                  </w:r>
                </w:p>
              </w:tc>
              <w:tc>
                <w:tcPr>
                  <w:tcW w:w="449" w:type="pct"/>
                  <w:tcBorders>
                    <w:top w:val="single" w:color="auto" w:sz="4" w:space="0"/>
                    <w:left w:val="single" w:color="auto" w:sz="4" w:space="0"/>
                    <w:bottom w:val="single" w:color="auto" w:sz="4" w:space="0"/>
                    <w:right w:val="single" w:color="auto" w:sz="4" w:space="0"/>
                  </w:tcBorders>
                  <w:vAlign w:val="center"/>
                </w:tcPr>
                <w:p w14:paraId="34AE4486">
                  <w:pPr>
                    <w:pStyle w:val="124"/>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157C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tcBorders>
                    <w:top w:val="single" w:color="auto" w:sz="4" w:space="0"/>
                    <w:left w:val="single" w:color="auto" w:sz="4" w:space="0"/>
                    <w:bottom w:val="single" w:color="auto" w:sz="4" w:space="0"/>
                    <w:right w:val="single" w:color="auto" w:sz="4" w:space="0"/>
                  </w:tcBorders>
                  <w:vAlign w:val="center"/>
                </w:tcPr>
                <w:p w14:paraId="2FEE58C7">
                  <w:pPr>
                    <w:pStyle w:val="124"/>
                    <w:pageBreakBefore w:val="0"/>
                    <w:kinsoku/>
                    <w:overflowPunct/>
                    <w:topLinePunct w:val="0"/>
                    <w:bidi w:val="0"/>
                    <w:ind w:left="0" w:leftChars="0" w:right="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w:t>
                  </w:r>
                </w:p>
              </w:tc>
              <w:tc>
                <w:tcPr>
                  <w:tcW w:w="293" w:type="pct"/>
                  <w:vMerge w:val="continue"/>
                  <w:tcBorders>
                    <w:left w:val="single" w:color="auto" w:sz="4" w:space="0"/>
                    <w:right w:val="single" w:color="auto" w:sz="4" w:space="0"/>
                  </w:tcBorders>
                  <w:vAlign w:val="center"/>
                </w:tcPr>
                <w:p w14:paraId="4CEC7B24">
                  <w:pPr>
                    <w:pStyle w:val="124"/>
                    <w:pageBreakBefore w:val="0"/>
                    <w:kinsoku/>
                    <w:overflowPunct/>
                    <w:topLinePunct w:val="0"/>
                    <w:bidi w:val="0"/>
                    <w:ind w:left="0" w:leftChars="0" w:right="0"/>
                    <w:rPr>
                      <w:rFonts w:hint="default" w:ascii="Times New Roman" w:hAnsi="Times New Roman" w:cs="Times New Roman"/>
                      <w:b/>
                      <w:bCs/>
                      <w:color w:val="000000" w:themeColor="text1"/>
                      <w14:textFill>
                        <w14:solidFill>
                          <w14:schemeClr w14:val="tx1"/>
                        </w14:solidFill>
                      </w14:textFill>
                    </w:rPr>
                  </w:pPr>
                </w:p>
              </w:tc>
              <w:tc>
                <w:tcPr>
                  <w:tcW w:w="2087" w:type="dxa"/>
                  <w:tcBorders>
                    <w:top w:val="single" w:color="auto" w:sz="4" w:space="0"/>
                    <w:left w:val="single" w:color="auto" w:sz="4" w:space="0"/>
                    <w:bottom w:val="single" w:color="auto" w:sz="4" w:space="0"/>
                    <w:right w:val="single" w:color="auto" w:sz="4" w:space="0"/>
                  </w:tcBorders>
                  <w:vAlign w:val="center"/>
                </w:tcPr>
                <w:p w14:paraId="29A8A12A">
                  <w:pPr>
                    <w:pStyle w:val="124"/>
                    <w:pageBreakBefore w:val="0"/>
                    <w:kinsoku/>
                    <w:overflowPunct/>
                    <w:topLinePunct w:val="0"/>
                    <w:bidi w:val="0"/>
                    <w:ind w:left="0" w:leftChars="0" w:right="0" w:rightChars="0" w:firstLine="0" w:firstLineChars="0"/>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b w:val="0"/>
                      <w:bCs/>
                      <w:color w:val="000000" w:themeColor="text1"/>
                      <w:szCs w:val="21"/>
                      <w:lang w:val="en-US" w:eastAsia="zh-CN"/>
                      <w14:textFill>
                        <w14:solidFill>
                          <w14:schemeClr w14:val="tx1"/>
                        </w14:solidFill>
                      </w14:textFill>
                    </w:rPr>
                    <w:t>喷塑废气</w:t>
                  </w:r>
                </w:p>
              </w:tc>
              <w:tc>
                <w:tcPr>
                  <w:tcW w:w="3648" w:type="dxa"/>
                  <w:tcBorders>
                    <w:top w:val="single" w:color="auto" w:sz="4" w:space="0"/>
                    <w:left w:val="single" w:color="auto" w:sz="4" w:space="0"/>
                    <w:bottom w:val="single" w:color="auto" w:sz="4" w:space="0"/>
                    <w:right w:val="single" w:color="auto" w:sz="4" w:space="0"/>
                  </w:tcBorders>
                  <w:vAlign w:val="center"/>
                </w:tcPr>
                <w:p w14:paraId="4160CEBB">
                  <w:pPr>
                    <w:pStyle w:val="124"/>
                    <w:pageBreakBefore w:val="0"/>
                    <w:kinsoku/>
                    <w:overflowPunct/>
                    <w:topLinePunct w:val="0"/>
                    <w:bidi w:val="0"/>
                    <w:ind w:left="0" w:leftChars="0" w:right="0" w:rightChars="0"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喷塑废气经</w:t>
                  </w:r>
                  <w:r>
                    <w:rPr>
                      <w:rFonts w:hint="default" w:ascii="Times New Roman" w:hAnsi="Times New Roman" w:cs="Times New Roman"/>
                      <w:b w:val="0"/>
                      <w:bCs/>
                      <w:color w:val="000000" w:themeColor="text1"/>
                      <w:kern w:val="24"/>
                      <w:lang w:val="en-US" w:eastAsia="zh-CN"/>
                      <w14:textFill>
                        <w14:solidFill>
                          <w14:schemeClr w14:val="tx1"/>
                        </w14:solidFill>
                      </w14:textFill>
                    </w:rPr>
                    <w:t>设置的1套</w:t>
                  </w:r>
                  <w:r>
                    <w:rPr>
                      <w:rFonts w:hint="eastAsia" w:cs="Times New Roman"/>
                      <w:b w:val="0"/>
                      <w:bCs/>
                      <w:color w:val="000000" w:themeColor="text1"/>
                      <w:kern w:val="24"/>
                      <w:lang w:val="en-US" w:eastAsia="zh-CN"/>
                      <w14:textFill>
                        <w14:solidFill>
                          <w14:schemeClr w14:val="tx1"/>
                        </w14:solidFill>
                      </w14:textFill>
                    </w:rPr>
                    <w:t>喷塑</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脉冲滤筒除尘器处理后并入排气筒DA00</w:t>
                  </w:r>
                  <w:r>
                    <w:rPr>
                      <w:rFonts w:hint="default" w:ascii="Times New Roman" w:hAnsi="Times New Roman" w:cs="Times New Roman"/>
                      <w:b w:val="0"/>
                      <w:bCs/>
                      <w:color w:val="000000" w:themeColor="text1"/>
                      <w:kern w:val="24"/>
                      <w:lang w:val="en-US" w:eastAsia="zh-CN"/>
                      <w14:textFill>
                        <w14:solidFill>
                          <w14:schemeClr w14:val="tx1"/>
                        </w14:solidFill>
                      </w14:textFill>
                    </w:rPr>
                    <w:t>2</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一同排放</w:t>
                  </w:r>
                </w:p>
              </w:tc>
              <w:tc>
                <w:tcPr>
                  <w:tcW w:w="654" w:type="pct"/>
                  <w:tcBorders>
                    <w:top w:val="single" w:color="auto" w:sz="4" w:space="0"/>
                    <w:left w:val="single" w:color="auto" w:sz="4" w:space="0"/>
                    <w:bottom w:val="single" w:color="auto" w:sz="4" w:space="0"/>
                    <w:right w:val="single" w:color="auto" w:sz="4" w:space="0"/>
                  </w:tcBorders>
                  <w:vAlign w:val="center"/>
                </w:tcPr>
                <w:p w14:paraId="33BC765A">
                  <w:pPr>
                    <w:pageBreakBefore w:val="0"/>
                    <w:widowControl/>
                    <w:kinsoku/>
                    <w:overflowPunct/>
                    <w:topLinePunct w:val="0"/>
                    <w:bidi w:val="0"/>
                    <w:ind w:left="0" w:leftChars="0" w:right="0" w:rightChars="0"/>
                    <w:jc w:val="center"/>
                    <w:textAlignment w:val="center"/>
                    <w:rPr>
                      <w:rFonts w:hint="default" w:ascii="Times New Roman" w:hAnsi="Times New Roman" w:cs="Times New Roman"/>
                      <w:color w:val="000000" w:themeColor="text1"/>
                      <w:szCs w:val="20"/>
                      <w:lang w:val="en-US" w:eastAsia="zh-CN"/>
                      <w14:textFill>
                        <w14:solidFill>
                          <w14:schemeClr w14:val="tx1"/>
                        </w14:solidFill>
                      </w14:textFill>
                    </w:rPr>
                  </w:pPr>
                  <w:r>
                    <w:rPr>
                      <w:rFonts w:hint="default" w:ascii="Times New Roman" w:hAnsi="Times New Roman" w:cs="Times New Roman"/>
                      <w:color w:val="000000" w:themeColor="text1"/>
                      <w:szCs w:val="20"/>
                      <w:lang w:val="en-US" w:eastAsia="zh-CN"/>
                      <w14:textFill>
                        <w14:solidFill>
                          <w14:schemeClr w14:val="tx1"/>
                        </w14:solidFill>
                      </w14:textFill>
                    </w:rPr>
                    <w:t>8</w:t>
                  </w:r>
                </w:p>
              </w:tc>
              <w:tc>
                <w:tcPr>
                  <w:tcW w:w="449" w:type="pct"/>
                  <w:tcBorders>
                    <w:top w:val="single" w:color="auto" w:sz="4" w:space="0"/>
                    <w:left w:val="single" w:color="auto" w:sz="4" w:space="0"/>
                    <w:bottom w:val="single" w:color="auto" w:sz="4" w:space="0"/>
                    <w:right w:val="single" w:color="auto" w:sz="4" w:space="0"/>
                  </w:tcBorders>
                  <w:vAlign w:val="center"/>
                </w:tcPr>
                <w:p w14:paraId="19C5C38F">
                  <w:pPr>
                    <w:pStyle w:val="124"/>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668B7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tcBorders>
                    <w:top w:val="single" w:color="auto" w:sz="4" w:space="0"/>
                    <w:left w:val="single" w:color="auto" w:sz="4" w:space="0"/>
                    <w:bottom w:val="single" w:color="auto" w:sz="4" w:space="0"/>
                    <w:right w:val="single" w:color="auto" w:sz="4" w:space="0"/>
                  </w:tcBorders>
                  <w:vAlign w:val="center"/>
                </w:tcPr>
                <w:p w14:paraId="727B4365">
                  <w:pPr>
                    <w:pStyle w:val="124"/>
                    <w:pageBreakBefore w:val="0"/>
                    <w:kinsoku/>
                    <w:overflowPunct/>
                    <w:topLinePunct w:val="0"/>
                    <w:bidi w:val="0"/>
                    <w:ind w:left="0" w:leftChars="0" w:right="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w:t>
                  </w:r>
                </w:p>
              </w:tc>
              <w:tc>
                <w:tcPr>
                  <w:tcW w:w="293" w:type="pct"/>
                  <w:vMerge w:val="continue"/>
                  <w:tcBorders>
                    <w:left w:val="single" w:color="auto" w:sz="4" w:space="0"/>
                    <w:right w:val="single" w:color="auto" w:sz="4" w:space="0"/>
                  </w:tcBorders>
                  <w:vAlign w:val="center"/>
                </w:tcPr>
                <w:p w14:paraId="03023F59">
                  <w:pPr>
                    <w:pStyle w:val="124"/>
                    <w:pageBreakBefore w:val="0"/>
                    <w:kinsoku/>
                    <w:overflowPunct/>
                    <w:topLinePunct w:val="0"/>
                    <w:bidi w:val="0"/>
                    <w:ind w:left="0" w:leftChars="0" w:right="0"/>
                    <w:rPr>
                      <w:rFonts w:hint="default" w:ascii="Times New Roman" w:hAnsi="Times New Roman" w:cs="Times New Roman"/>
                      <w:b/>
                      <w:bCs/>
                      <w:color w:val="000000" w:themeColor="text1"/>
                      <w14:textFill>
                        <w14:solidFill>
                          <w14:schemeClr w14:val="tx1"/>
                        </w14:solidFill>
                      </w14:textFill>
                    </w:rPr>
                  </w:pPr>
                </w:p>
              </w:tc>
              <w:tc>
                <w:tcPr>
                  <w:tcW w:w="1188" w:type="pct"/>
                  <w:tcBorders>
                    <w:top w:val="single" w:color="auto" w:sz="4" w:space="0"/>
                    <w:left w:val="single" w:color="auto" w:sz="4" w:space="0"/>
                    <w:bottom w:val="single" w:color="auto" w:sz="4" w:space="0"/>
                    <w:right w:val="single" w:color="auto" w:sz="4" w:space="0"/>
                  </w:tcBorders>
                  <w:vAlign w:val="center"/>
                </w:tcPr>
                <w:p w14:paraId="69C962B8">
                  <w:pPr>
                    <w:pStyle w:val="124"/>
                    <w:pageBreakBefore w:val="0"/>
                    <w:kinsoku/>
                    <w:overflowPunct/>
                    <w:topLinePunct w:val="0"/>
                    <w:bidi w:val="0"/>
                    <w:ind w:left="0" w:leftChars="0" w:right="0" w:rightChars="0" w:firstLine="0" w:firstLineChars="0"/>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b w:val="0"/>
                      <w:bCs/>
                      <w:color w:val="000000" w:themeColor="text1"/>
                      <w:szCs w:val="21"/>
                      <w:lang w:val="en-US" w:eastAsia="zh-CN"/>
                      <w14:textFill>
                        <w14:solidFill>
                          <w14:schemeClr w14:val="tx1"/>
                        </w14:solidFill>
                      </w14:textFill>
                    </w:rPr>
                    <w:t>手工刷字废气、泄漏废气</w:t>
                  </w:r>
                </w:p>
              </w:tc>
              <w:tc>
                <w:tcPr>
                  <w:tcW w:w="2075" w:type="pct"/>
                  <w:tcBorders>
                    <w:top w:val="single" w:color="auto" w:sz="4" w:space="0"/>
                    <w:left w:val="single" w:color="auto" w:sz="4" w:space="0"/>
                    <w:bottom w:val="single" w:color="auto" w:sz="4" w:space="0"/>
                    <w:right w:val="single" w:color="auto" w:sz="4" w:space="0"/>
                  </w:tcBorders>
                  <w:vAlign w:val="center"/>
                </w:tcPr>
                <w:p w14:paraId="1AA2A549">
                  <w:pPr>
                    <w:pStyle w:val="124"/>
                    <w:pageBreakBefore w:val="0"/>
                    <w:kinsoku/>
                    <w:overflowPunct/>
                    <w:topLinePunct w:val="0"/>
                    <w:bidi w:val="0"/>
                    <w:ind w:left="0" w:leftChars="0" w:right="0" w:rightChars="0"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 w:val="0"/>
                      <w:bCs/>
                      <w:color w:val="000000" w:themeColor="text1"/>
                      <w:szCs w:val="21"/>
                      <w:lang w:val="en-US" w:eastAsia="zh-CN"/>
                      <w14:textFill>
                        <w14:solidFill>
                          <w14:schemeClr w14:val="tx1"/>
                        </w14:solidFill>
                      </w14:textFill>
                    </w:rPr>
                    <w:t>手工刷字废气、液化石油气泄漏废气无组织排放，采取加强车间通风等措施</w:t>
                  </w:r>
                </w:p>
              </w:tc>
              <w:tc>
                <w:tcPr>
                  <w:tcW w:w="654" w:type="pct"/>
                  <w:tcBorders>
                    <w:top w:val="single" w:color="auto" w:sz="4" w:space="0"/>
                    <w:left w:val="single" w:color="auto" w:sz="4" w:space="0"/>
                    <w:bottom w:val="single" w:color="auto" w:sz="4" w:space="0"/>
                    <w:right w:val="single" w:color="auto" w:sz="4" w:space="0"/>
                  </w:tcBorders>
                  <w:vAlign w:val="center"/>
                </w:tcPr>
                <w:p w14:paraId="63D2C730">
                  <w:pPr>
                    <w:pageBreakBefore w:val="0"/>
                    <w:widowControl/>
                    <w:kinsoku/>
                    <w:overflowPunct/>
                    <w:topLinePunct w:val="0"/>
                    <w:bidi w:val="0"/>
                    <w:ind w:left="0" w:leftChars="0" w:right="0"/>
                    <w:jc w:val="center"/>
                    <w:textAlignment w:val="center"/>
                    <w:rPr>
                      <w:rFonts w:hint="default" w:ascii="Times New Roman" w:hAnsi="Times New Roman" w:cs="Times New Roman"/>
                      <w:color w:val="000000" w:themeColor="text1"/>
                      <w:szCs w:val="20"/>
                      <w:lang w:val="en-US" w:eastAsia="zh-CN"/>
                      <w14:textFill>
                        <w14:solidFill>
                          <w14:schemeClr w14:val="tx1"/>
                        </w14:solidFill>
                      </w14:textFill>
                    </w:rPr>
                  </w:pPr>
                  <w:r>
                    <w:rPr>
                      <w:rFonts w:hint="default" w:ascii="Times New Roman" w:hAnsi="Times New Roman" w:cs="Times New Roman"/>
                      <w:color w:val="000000" w:themeColor="text1"/>
                      <w:szCs w:val="20"/>
                      <w:lang w:val="en-US" w:eastAsia="zh-CN"/>
                      <w14:textFill>
                        <w14:solidFill>
                          <w14:schemeClr w14:val="tx1"/>
                        </w14:solidFill>
                      </w14:textFill>
                    </w:rPr>
                    <w:t>1</w:t>
                  </w:r>
                </w:p>
              </w:tc>
              <w:tc>
                <w:tcPr>
                  <w:tcW w:w="449" w:type="pct"/>
                  <w:tcBorders>
                    <w:top w:val="single" w:color="auto" w:sz="4" w:space="0"/>
                    <w:left w:val="single" w:color="auto" w:sz="4" w:space="0"/>
                    <w:bottom w:val="single" w:color="auto" w:sz="4" w:space="0"/>
                    <w:right w:val="single" w:color="auto" w:sz="4" w:space="0"/>
                  </w:tcBorders>
                  <w:vAlign w:val="center"/>
                </w:tcPr>
                <w:p w14:paraId="709C4769">
                  <w:pPr>
                    <w:pStyle w:val="124"/>
                    <w:pageBreakBefore w:val="0"/>
                    <w:kinsoku/>
                    <w:overflowPunct/>
                    <w:topLinePunct w:val="0"/>
                    <w:bidi w:val="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6A648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tcBorders>
                    <w:top w:val="single" w:color="auto" w:sz="4" w:space="0"/>
                    <w:left w:val="single" w:color="auto" w:sz="4" w:space="0"/>
                    <w:bottom w:val="single" w:color="auto" w:sz="4" w:space="0"/>
                    <w:right w:val="single" w:color="auto" w:sz="4" w:space="0"/>
                  </w:tcBorders>
                  <w:vAlign w:val="center"/>
                </w:tcPr>
                <w:p w14:paraId="794F19AA">
                  <w:pPr>
                    <w:pStyle w:val="124"/>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w:t>
                  </w:r>
                </w:p>
              </w:tc>
              <w:tc>
                <w:tcPr>
                  <w:tcW w:w="293" w:type="pct"/>
                  <w:vMerge w:val="restart"/>
                  <w:tcBorders>
                    <w:left w:val="single" w:color="auto" w:sz="4" w:space="0"/>
                    <w:right w:val="single" w:color="auto" w:sz="4" w:space="0"/>
                  </w:tcBorders>
                  <w:vAlign w:val="center"/>
                </w:tcPr>
                <w:p w14:paraId="2CF6EBA3">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固废</w:t>
                  </w:r>
                </w:p>
              </w:tc>
              <w:tc>
                <w:tcPr>
                  <w:tcW w:w="1188" w:type="pct"/>
                  <w:tcBorders>
                    <w:top w:val="single" w:color="auto" w:sz="4" w:space="0"/>
                    <w:left w:val="single" w:color="auto" w:sz="4" w:space="0"/>
                    <w:bottom w:val="single" w:color="auto" w:sz="4" w:space="0"/>
                    <w:right w:val="single" w:color="auto" w:sz="4" w:space="0"/>
                  </w:tcBorders>
                  <w:vAlign w:val="center"/>
                </w:tcPr>
                <w:p w14:paraId="3E7E9724">
                  <w:pPr>
                    <w:pStyle w:val="124"/>
                    <w:pageBreakBefore w:val="0"/>
                    <w:kinsoku/>
                    <w:overflowPunct/>
                    <w:topLinePunct w:val="0"/>
                    <w:bidi w:val="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一般固废暂存区</w:t>
                  </w:r>
                </w:p>
              </w:tc>
              <w:tc>
                <w:tcPr>
                  <w:tcW w:w="2075" w:type="pct"/>
                  <w:tcBorders>
                    <w:top w:val="single" w:color="auto" w:sz="4" w:space="0"/>
                    <w:left w:val="single" w:color="auto" w:sz="4" w:space="0"/>
                    <w:bottom w:val="single" w:color="auto" w:sz="4" w:space="0"/>
                    <w:right w:val="single" w:color="auto" w:sz="4" w:space="0"/>
                  </w:tcBorders>
                  <w:vAlign w:val="center"/>
                </w:tcPr>
                <w:p w14:paraId="1E85EDE7">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1间，面积</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p>
              </w:tc>
              <w:tc>
                <w:tcPr>
                  <w:tcW w:w="654" w:type="pct"/>
                  <w:tcBorders>
                    <w:top w:val="single" w:color="auto" w:sz="4" w:space="0"/>
                    <w:left w:val="single" w:color="auto" w:sz="4" w:space="0"/>
                    <w:bottom w:val="single" w:color="auto" w:sz="4" w:space="0"/>
                    <w:right w:val="single" w:color="auto" w:sz="4" w:space="0"/>
                  </w:tcBorders>
                  <w:vAlign w:val="center"/>
                </w:tcPr>
                <w:p w14:paraId="50C6FAB9">
                  <w:pPr>
                    <w:pageBreakBefore w:val="0"/>
                    <w:widowControl/>
                    <w:kinsoku/>
                    <w:overflowPunct/>
                    <w:topLinePunct w:val="0"/>
                    <w:bidi w:val="0"/>
                    <w:ind w:left="0" w:leftChars="0" w:right="0"/>
                    <w:jc w:val="center"/>
                    <w:textAlignment w:val="center"/>
                    <w:rPr>
                      <w:rFonts w:hint="default" w:ascii="Times New Roman" w:hAnsi="Times New Roman" w:eastAsia="宋体" w:cs="Times New Roman"/>
                      <w:color w:val="000000" w:themeColor="text1"/>
                      <w:szCs w:val="20"/>
                      <w:lang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1</w:t>
                  </w:r>
                </w:p>
              </w:tc>
              <w:tc>
                <w:tcPr>
                  <w:tcW w:w="449" w:type="pct"/>
                  <w:tcBorders>
                    <w:top w:val="single" w:color="auto" w:sz="4" w:space="0"/>
                    <w:left w:val="single" w:color="auto" w:sz="4" w:space="0"/>
                    <w:bottom w:val="single" w:color="auto" w:sz="4" w:space="0"/>
                    <w:right w:val="single" w:color="auto" w:sz="4" w:space="0"/>
                  </w:tcBorders>
                  <w:vAlign w:val="center"/>
                </w:tcPr>
                <w:p w14:paraId="0FDD8E09">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14:paraId="117F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tcBorders>
                    <w:top w:val="single" w:color="auto" w:sz="4" w:space="0"/>
                    <w:left w:val="single" w:color="auto" w:sz="4" w:space="0"/>
                    <w:bottom w:val="single" w:color="auto" w:sz="4" w:space="0"/>
                    <w:right w:val="single" w:color="auto" w:sz="4" w:space="0"/>
                  </w:tcBorders>
                  <w:vAlign w:val="center"/>
                </w:tcPr>
                <w:p w14:paraId="657D27A8">
                  <w:pPr>
                    <w:pStyle w:val="124"/>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c>
                <w:tcPr>
                  <w:tcW w:w="293" w:type="pct"/>
                  <w:vMerge w:val="continue"/>
                  <w:tcBorders>
                    <w:left w:val="single" w:color="auto" w:sz="4" w:space="0"/>
                    <w:right w:val="single" w:color="auto" w:sz="4" w:space="0"/>
                  </w:tcBorders>
                  <w:vAlign w:val="center"/>
                </w:tcPr>
                <w:p w14:paraId="045D2F58">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p>
              </w:tc>
              <w:tc>
                <w:tcPr>
                  <w:tcW w:w="1188" w:type="pct"/>
                  <w:tcBorders>
                    <w:top w:val="single" w:color="auto" w:sz="4" w:space="0"/>
                    <w:left w:val="single" w:color="auto" w:sz="4" w:space="0"/>
                    <w:bottom w:val="single" w:color="auto" w:sz="4" w:space="0"/>
                    <w:right w:val="single" w:color="auto" w:sz="4" w:space="0"/>
                  </w:tcBorders>
                  <w:vAlign w:val="center"/>
                </w:tcPr>
                <w:p w14:paraId="7BAABC2E">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危废暂存间</w:t>
                  </w:r>
                </w:p>
              </w:tc>
              <w:tc>
                <w:tcPr>
                  <w:tcW w:w="2075" w:type="pct"/>
                  <w:tcBorders>
                    <w:top w:val="single" w:color="auto" w:sz="4" w:space="0"/>
                    <w:left w:val="single" w:color="auto" w:sz="4" w:space="0"/>
                    <w:bottom w:val="single" w:color="auto" w:sz="4" w:space="0"/>
                    <w:right w:val="single" w:color="auto" w:sz="4" w:space="0"/>
                  </w:tcBorders>
                  <w:vAlign w:val="center"/>
                </w:tcPr>
                <w:p w14:paraId="7C851517">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1间，面积</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p>
              </w:tc>
              <w:tc>
                <w:tcPr>
                  <w:tcW w:w="654" w:type="pct"/>
                  <w:tcBorders>
                    <w:top w:val="single" w:color="auto" w:sz="4" w:space="0"/>
                    <w:left w:val="single" w:color="auto" w:sz="4" w:space="0"/>
                    <w:bottom w:val="single" w:color="auto" w:sz="4" w:space="0"/>
                    <w:right w:val="single" w:color="auto" w:sz="4" w:space="0"/>
                  </w:tcBorders>
                  <w:vAlign w:val="center"/>
                </w:tcPr>
                <w:p w14:paraId="7F7D61D1">
                  <w:pPr>
                    <w:pageBreakBefore w:val="0"/>
                    <w:widowControl/>
                    <w:kinsoku/>
                    <w:overflowPunct/>
                    <w:topLinePunct w:val="0"/>
                    <w:bidi w:val="0"/>
                    <w:ind w:left="0" w:leftChars="0" w:right="0"/>
                    <w:jc w:val="center"/>
                    <w:textAlignment w:val="center"/>
                    <w:rPr>
                      <w:rFonts w:hint="default" w:ascii="Times New Roman" w:hAnsi="Times New Roman" w:eastAsia="宋体" w:cs="Times New Roman"/>
                      <w:color w:val="000000" w:themeColor="text1"/>
                      <w:szCs w:val="20"/>
                      <w:lang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2</w:t>
                  </w:r>
                </w:p>
              </w:tc>
              <w:tc>
                <w:tcPr>
                  <w:tcW w:w="449" w:type="pct"/>
                  <w:tcBorders>
                    <w:top w:val="single" w:color="auto" w:sz="4" w:space="0"/>
                    <w:left w:val="single" w:color="auto" w:sz="4" w:space="0"/>
                    <w:bottom w:val="single" w:color="auto" w:sz="4" w:space="0"/>
                    <w:right w:val="single" w:color="auto" w:sz="4" w:space="0"/>
                  </w:tcBorders>
                  <w:vAlign w:val="center"/>
                </w:tcPr>
                <w:p w14:paraId="3EC74572">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14:paraId="75F97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tcBorders>
                    <w:top w:val="single" w:color="auto" w:sz="4" w:space="0"/>
                    <w:left w:val="single" w:color="auto" w:sz="4" w:space="0"/>
                    <w:bottom w:val="single" w:color="auto" w:sz="4" w:space="0"/>
                    <w:right w:val="single" w:color="auto" w:sz="4" w:space="0"/>
                  </w:tcBorders>
                  <w:vAlign w:val="center"/>
                </w:tcPr>
                <w:p w14:paraId="717E4D89">
                  <w:pPr>
                    <w:pStyle w:val="124"/>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13</w:t>
                  </w:r>
                </w:p>
              </w:tc>
              <w:tc>
                <w:tcPr>
                  <w:tcW w:w="293" w:type="pct"/>
                  <w:vMerge w:val="continue"/>
                  <w:tcBorders>
                    <w:left w:val="single" w:color="auto" w:sz="4" w:space="0"/>
                    <w:right w:val="single" w:color="auto" w:sz="4" w:space="0"/>
                  </w:tcBorders>
                  <w:vAlign w:val="center"/>
                </w:tcPr>
                <w:p w14:paraId="26525125">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p>
              </w:tc>
              <w:tc>
                <w:tcPr>
                  <w:tcW w:w="1188" w:type="pct"/>
                  <w:tcBorders>
                    <w:top w:val="single" w:color="auto" w:sz="4" w:space="0"/>
                    <w:left w:val="single" w:color="auto" w:sz="4" w:space="0"/>
                    <w:bottom w:val="single" w:color="auto" w:sz="4" w:space="0"/>
                    <w:right w:val="single" w:color="auto" w:sz="4" w:space="0"/>
                  </w:tcBorders>
                  <w:vAlign w:val="center"/>
                </w:tcPr>
                <w:p w14:paraId="374E888B">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生活垃圾收集</w:t>
                  </w:r>
                  <w:r>
                    <w:rPr>
                      <w:rFonts w:hint="default" w:ascii="Times New Roman" w:hAnsi="Times New Roman" w:cs="Times New Roman"/>
                      <w:color w:val="000000" w:themeColor="text1"/>
                      <w:szCs w:val="21"/>
                      <w:lang w:eastAsia="zh-CN"/>
                      <w14:textFill>
                        <w14:solidFill>
                          <w14:schemeClr w14:val="tx1"/>
                        </w14:solidFill>
                      </w14:textFill>
                    </w:rPr>
                    <w:t>桶</w:t>
                  </w:r>
                </w:p>
              </w:tc>
              <w:tc>
                <w:tcPr>
                  <w:tcW w:w="2075" w:type="pct"/>
                  <w:tcBorders>
                    <w:top w:val="single" w:color="auto" w:sz="4" w:space="0"/>
                    <w:left w:val="single" w:color="auto" w:sz="4" w:space="0"/>
                    <w:bottom w:val="single" w:color="auto" w:sz="4" w:space="0"/>
                    <w:right w:val="single" w:color="auto" w:sz="4" w:space="0"/>
                  </w:tcBorders>
                  <w:vAlign w:val="center"/>
                </w:tcPr>
                <w:p w14:paraId="35B8309F">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若干</w:t>
                  </w:r>
                </w:p>
              </w:tc>
              <w:tc>
                <w:tcPr>
                  <w:tcW w:w="654" w:type="pct"/>
                  <w:tcBorders>
                    <w:top w:val="single" w:color="auto" w:sz="4" w:space="0"/>
                    <w:left w:val="single" w:color="auto" w:sz="4" w:space="0"/>
                    <w:bottom w:val="single" w:color="auto" w:sz="4" w:space="0"/>
                    <w:right w:val="single" w:color="auto" w:sz="4" w:space="0"/>
                  </w:tcBorders>
                  <w:vAlign w:val="center"/>
                </w:tcPr>
                <w:p w14:paraId="0AD869F2">
                  <w:pPr>
                    <w:pageBreakBefore w:val="0"/>
                    <w:widowControl/>
                    <w:kinsoku/>
                    <w:overflowPunct/>
                    <w:topLinePunct w:val="0"/>
                    <w:bidi w:val="0"/>
                    <w:ind w:left="0" w:leftChars="0" w:right="0"/>
                    <w:jc w:val="center"/>
                    <w:textAlignment w:val="center"/>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0.1</w:t>
                  </w:r>
                </w:p>
              </w:tc>
              <w:tc>
                <w:tcPr>
                  <w:tcW w:w="449" w:type="pct"/>
                  <w:tcBorders>
                    <w:top w:val="single" w:color="auto" w:sz="4" w:space="0"/>
                    <w:left w:val="single" w:color="auto" w:sz="4" w:space="0"/>
                    <w:bottom w:val="single" w:color="auto" w:sz="4" w:space="0"/>
                    <w:right w:val="single" w:color="auto" w:sz="4" w:space="0"/>
                  </w:tcBorders>
                  <w:vAlign w:val="center"/>
                </w:tcPr>
                <w:p w14:paraId="68FB0A46">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14:paraId="1CFB4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tcBorders>
                    <w:top w:val="single" w:color="auto" w:sz="4" w:space="0"/>
                    <w:left w:val="single" w:color="auto" w:sz="4" w:space="0"/>
                    <w:bottom w:val="single" w:color="auto" w:sz="4" w:space="0"/>
                    <w:right w:val="single" w:color="auto" w:sz="4" w:space="0"/>
                  </w:tcBorders>
                  <w:vAlign w:val="center"/>
                </w:tcPr>
                <w:p w14:paraId="7AFBC623">
                  <w:pPr>
                    <w:pStyle w:val="124"/>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14</w:t>
                  </w:r>
                </w:p>
              </w:tc>
              <w:tc>
                <w:tcPr>
                  <w:tcW w:w="1481" w:type="pct"/>
                  <w:gridSpan w:val="2"/>
                  <w:tcBorders>
                    <w:left w:val="single" w:color="auto" w:sz="4" w:space="0"/>
                    <w:right w:val="single" w:color="auto" w:sz="4" w:space="0"/>
                  </w:tcBorders>
                  <w:vAlign w:val="center"/>
                </w:tcPr>
                <w:p w14:paraId="0F5F5E1E">
                  <w:pPr>
                    <w:pStyle w:val="124"/>
                    <w:pageBreakBefore w:val="0"/>
                    <w:kinsoku/>
                    <w:overflowPunct/>
                    <w:topLinePunct w:val="0"/>
                    <w:bidi w:val="0"/>
                    <w:ind w:left="0" w:leftChars="0" w:right="0" w:rightChars="0"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噪声治理</w:t>
                  </w:r>
                </w:p>
              </w:tc>
              <w:tc>
                <w:tcPr>
                  <w:tcW w:w="2075" w:type="pct"/>
                  <w:tcBorders>
                    <w:top w:val="single" w:color="auto" w:sz="4" w:space="0"/>
                    <w:left w:val="single" w:color="auto" w:sz="4" w:space="0"/>
                    <w:bottom w:val="single" w:color="auto" w:sz="4" w:space="0"/>
                    <w:right w:val="single" w:color="auto" w:sz="4" w:space="0"/>
                  </w:tcBorders>
                  <w:vAlign w:val="center"/>
                </w:tcPr>
                <w:p w14:paraId="12FA77B0">
                  <w:pPr>
                    <w:pStyle w:val="124"/>
                    <w:pageBreakBefore w:val="0"/>
                    <w:kinsoku/>
                    <w:overflowPunct/>
                    <w:topLinePunct w:val="0"/>
                    <w:bidi w:val="0"/>
                    <w:ind w:left="0" w:leftChars="0" w:right="0" w:righ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选用低噪设备、安装减震垫、厂房隔音、风机加装消声器</w:t>
                  </w:r>
                </w:p>
              </w:tc>
              <w:tc>
                <w:tcPr>
                  <w:tcW w:w="654" w:type="pct"/>
                  <w:tcBorders>
                    <w:top w:val="single" w:color="auto" w:sz="4" w:space="0"/>
                    <w:left w:val="single" w:color="auto" w:sz="4" w:space="0"/>
                    <w:bottom w:val="single" w:color="auto" w:sz="4" w:space="0"/>
                    <w:right w:val="single" w:color="auto" w:sz="4" w:space="0"/>
                  </w:tcBorders>
                  <w:vAlign w:val="center"/>
                </w:tcPr>
                <w:p w14:paraId="61E3A712">
                  <w:pPr>
                    <w:pageBreakBefore w:val="0"/>
                    <w:widowControl/>
                    <w:kinsoku/>
                    <w:overflowPunct/>
                    <w:topLinePunct w:val="0"/>
                    <w:bidi w:val="0"/>
                    <w:ind w:left="0" w:leftChars="0" w:right="0"/>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2</w:t>
                  </w:r>
                </w:p>
              </w:tc>
              <w:tc>
                <w:tcPr>
                  <w:tcW w:w="449" w:type="pct"/>
                  <w:tcBorders>
                    <w:top w:val="single" w:color="auto" w:sz="4" w:space="0"/>
                    <w:left w:val="single" w:color="auto" w:sz="4" w:space="0"/>
                    <w:bottom w:val="single" w:color="auto" w:sz="4" w:space="0"/>
                    <w:right w:val="single" w:color="auto" w:sz="4" w:space="0"/>
                  </w:tcBorders>
                  <w:vAlign w:val="center"/>
                </w:tcPr>
                <w:p w14:paraId="0E34F0C9">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p>
              </w:tc>
            </w:tr>
            <w:tr w14:paraId="10DE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tcBorders>
                    <w:top w:val="single" w:color="auto" w:sz="4" w:space="0"/>
                    <w:left w:val="single" w:color="auto" w:sz="4" w:space="0"/>
                    <w:bottom w:val="single" w:color="auto" w:sz="4" w:space="0"/>
                    <w:right w:val="single" w:color="auto" w:sz="4" w:space="0"/>
                  </w:tcBorders>
                  <w:vAlign w:val="center"/>
                </w:tcPr>
                <w:p w14:paraId="79F4D4EA">
                  <w:pPr>
                    <w:pStyle w:val="124"/>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5</w:t>
                  </w:r>
                </w:p>
              </w:tc>
              <w:tc>
                <w:tcPr>
                  <w:tcW w:w="1481" w:type="pct"/>
                  <w:gridSpan w:val="2"/>
                  <w:tcBorders>
                    <w:left w:val="single" w:color="auto" w:sz="4" w:space="0"/>
                    <w:right w:val="single" w:color="auto" w:sz="4" w:space="0"/>
                  </w:tcBorders>
                  <w:vAlign w:val="center"/>
                </w:tcPr>
                <w:p w14:paraId="262D801A">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土壤及地下水污染防治措施</w:t>
                  </w:r>
                </w:p>
              </w:tc>
              <w:tc>
                <w:tcPr>
                  <w:tcW w:w="2075" w:type="pct"/>
                  <w:tcBorders>
                    <w:top w:val="single" w:color="auto" w:sz="4" w:space="0"/>
                    <w:left w:val="single" w:color="auto" w:sz="4" w:space="0"/>
                    <w:bottom w:val="single" w:color="auto" w:sz="4" w:space="0"/>
                    <w:right w:val="single" w:color="auto" w:sz="4" w:space="0"/>
                  </w:tcBorders>
                  <w:vAlign w:val="center"/>
                </w:tcPr>
                <w:p w14:paraId="64388B0D">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重点防渗</w:t>
                  </w:r>
                  <w:r>
                    <w:rPr>
                      <w:rFonts w:hint="default" w:ascii="Times New Roman" w:hAnsi="Times New Roman" w:cs="Times New Roman"/>
                      <w:b/>
                      <w:bCs/>
                      <w:color w:val="000000" w:themeColor="text1"/>
                      <w:sz w:val="21"/>
                      <w:szCs w:val="21"/>
                      <w:lang w:eastAsia="zh-CN"/>
                      <w14:textFill>
                        <w14:solidFill>
                          <w14:schemeClr w14:val="tx1"/>
                        </w14:solidFill>
                      </w14:textFill>
                    </w:rPr>
                    <w:t>区：</w:t>
                  </w:r>
                  <w:r>
                    <w:rPr>
                      <w:rFonts w:hint="default" w:ascii="Times New Roman" w:hAnsi="Times New Roman" w:cs="Times New Roman"/>
                      <w:b w:val="0"/>
                      <w:bCs w:val="0"/>
                      <w:color w:val="000000" w:themeColor="text1"/>
                      <w:sz w:val="21"/>
                      <w:szCs w:val="21"/>
                      <w:lang w:eastAsia="zh-CN"/>
                      <w14:textFill>
                        <w14:solidFill>
                          <w14:schemeClr w14:val="tx1"/>
                        </w14:solidFill>
                      </w14:textFill>
                    </w:rPr>
                    <w:t>液化气瓶区、</w:t>
                  </w:r>
                  <w:r>
                    <w:rPr>
                      <w:rFonts w:hint="default" w:ascii="Times New Roman" w:hAnsi="Times New Roman" w:eastAsia="宋体" w:cs="Times New Roman"/>
                      <w:b w:val="0"/>
                      <w:bCs w:val="0"/>
                      <w:color w:val="000000" w:themeColor="text1"/>
                      <w:sz w:val="21"/>
                      <w:szCs w:val="21"/>
                      <w14:textFill>
                        <w14:solidFill>
                          <w14:schemeClr w14:val="tx1"/>
                        </w14:solidFill>
                      </w14:textFill>
                    </w:rPr>
                    <w:t>危</w:t>
                  </w:r>
                  <w:r>
                    <w:rPr>
                      <w:rFonts w:hint="default" w:ascii="Times New Roman" w:hAnsi="Times New Roman" w:eastAsia="宋体" w:cs="Times New Roman"/>
                      <w:color w:val="000000" w:themeColor="text1"/>
                      <w:sz w:val="21"/>
                      <w:szCs w:val="21"/>
                      <w14:textFill>
                        <w14:solidFill>
                          <w14:schemeClr w14:val="tx1"/>
                        </w14:solidFill>
                      </w14:textFill>
                    </w:rPr>
                    <w:t>废暂存间</w:t>
                  </w:r>
                  <w:r>
                    <w:rPr>
                      <w:rFonts w:hint="default" w:ascii="Times New Roman" w:hAnsi="Times New Roman" w:cs="Times New Roman"/>
                      <w:color w:val="000000" w:themeColor="text1"/>
                      <w:sz w:val="21"/>
                      <w:szCs w:val="21"/>
                      <w:lang w:eastAsia="zh-CN"/>
                      <w14:textFill>
                        <w14:solidFill>
                          <w14:schemeClr w14:val="tx1"/>
                        </w14:solidFill>
                      </w14:textFill>
                    </w:rPr>
                    <w:t>作为</w:t>
                  </w:r>
                  <w:r>
                    <w:rPr>
                      <w:rFonts w:hint="default" w:ascii="Times New Roman" w:hAnsi="Times New Roman" w:eastAsia="宋体" w:cs="Times New Roman"/>
                      <w:color w:val="000000" w:themeColor="text1"/>
                      <w:sz w:val="21"/>
                      <w:szCs w:val="21"/>
                      <w14:textFill>
                        <w14:solidFill>
                          <w14:schemeClr w14:val="tx1"/>
                        </w14:solidFill>
                      </w14:textFill>
                    </w:rPr>
                    <w:t>重点防渗</w:t>
                  </w:r>
                  <w:r>
                    <w:rPr>
                      <w:rFonts w:hint="default" w:ascii="Times New Roman" w:hAnsi="Times New Roman" w:cs="Times New Roman"/>
                      <w:color w:val="000000" w:themeColor="text1"/>
                      <w:sz w:val="21"/>
                      <w:szCs w:val="21"/>
                      <w:lang w:eastAsia="zh-CN"/>
                      <w14:textFill>
                        <w14:solidFill>
                          <w14:schemeClr w14:val="tx1"/>
                        </w14:solidFill>
                      </w14:textFill>
                    </w:rPr>
                    <w:t>区，</w:t>
                  </w:r>
                </w:p>
                <w:p w14:paraId="28B9EF85">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液化气瓶区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按照</w:t>
                  </w:r>
                  <w:r>
                    <w:rPr>
                      <w:rFonts w:hint="default" w:ascii="Times New Roman" w:hAnsi="Times New Roman" w:eastAsia="宋体" w:cs="Times New Roman"/>
                      <w:color w:val="000000" w:themeColor="text1"/>
                      <w:sz w:val="21"/>
                      <w:szCs w:val="21"/>
                      <w14:textFill>
                        <w14:solidFill>
                          <w14:schemeClr w14:val="tx1"/>
                        </w14:solidFill>
                      </w14:textFill>
                    </w:rPr>
                    <w:t>《环境影响评价技术导则 地下水环境》（HJ610-2016）中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重点</w:t>
                  </w:r>
                  <w:r>
                    <w:rPr>
                      <w:rFonts w:hint="default" w:ascii="Times New Roman" w:hAnsi="Times New Roman" w:eastAsia="宋体" w:cs="Times New Roman"/>
                      <w:color w:val="000000" w:themeColor="text1"/>
                      <w:sz w:val="21"/>
                      <w:szCs w:val="21"/>
                      <w14:textFill>
                        <w14:solidFill>
                          <w14:schemeClr w14:val="tx1"/>
                        </w14:solidFill>
                      </w14:textFill>
                    </w:rPr>
                    <w:t>防渗区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进行防渗</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等效黏土防渗层 Mb≥6.0m，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color w:val="000000" w:themeColor="text1"/>
                      <w:sz w:val="21"/>
                      <w:szCs w:val="21"/>
                      <w14:textFill>
                        <w14:solidFill>
                          <w14:schemeClr w14:val="tx1"/>
                        </w14:solidFill>
                      </w14:textFill>
                    </w:rPr>
                    <w:t>&lt;1.0×10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cm/s</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或参照 GB 18598 执行。</w:t>
                  </w:r>
                </w:p>
                <w:p w14:paraId="761C4DFA">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危</w:t>
                  </w:r>
                  <w:r>
                    <w:rPr>
                      <w:rFonts w:hint="default" w:ascii="Times New Roman" w:hAnsi="Times New Roman" w:eastAsia="宋体" w:cs="Times New Roman"/>
                      <w:color w:val="000000" w:themeColor="text1"/>
                      <w:sz w:val="21"/>
                      <w:szCs w:val="21"/>
                      <w14:textFill>
                        <w14:solidFill>
                          <w14:schemeClr w14:val="tx1"/>
                        </w14:solidFill>
                      </w14:textFill>
                    </w:rPr>
                    <w:t>废暂存间、</w:t>
                  </w:r>
                  <w:r>
                    <w:rPr>
                      <w:rFonts w:hint="eastAsia" w:cs="Times New Roman"/>
                      <w:color w:val="000000" w:themeColor="text1"/>
                      <w:sz w:val="21"/>
                      <w:szCs w:val="21"/>
                      <w:lang w:eastAsia="zh-CN"/>
                      <w14:textFill>
                        <w14:solidFill>
                          <w14:schemeClr w14:val="tx1"/>
                        </w14:solidFill>
                      </w14:textFill>
                    </w:rPr>
                    <w:t>废气喷淋设施区域参照</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执行《危险废物贮存污染控制标准》（GB18597-20</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23</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）相关要求，防渗层为至少1 m厚黏土层（渗透系数不大于10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cm/s），或至少2 mm厚高密度聚乙烯膜等人工防渗材料（渗透系数不大于10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cm/s）</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p>
                <w:p w14:paraId="0BFDEA36">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一般防渗区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b w:val="0"/>
                      <w:bCs/>
                      <w:color w:val="000000" w:themeColor="text1"/>
                      <w:sz w:val="21"/>
                      <w:szCs w:val="21"/>
                      <w:lang w:eastAsia="zh-CN"/>
                      <w14:textFill>
                        <w14:solidFill>
                          <w14:schemeClr w14:val="tx1"/>
                        </w14:solidFill>
                      </w14:textFill>
                    </w:rPr>
                    <w:t>生产区、待检区、成品区、压扁区、一般固废暂存区、辅料库、化粪池、一体化生活污水处理设施、收集池等区域地面为一般防渗区</w:t>
                  </w:r>
                  <w:r>
                    <w:rPr>
                      <w:rFonts w:hint="default" w:ascii="Times New Roman" w:hAnsi="Times New Roman" w:cs="Times New Roman"/>
                      <w:color w:val="000000" w:themeColor="text1"/>
                      <w:lang w:eastAsia="zh-CN"/>
                      <w14:textFill>
                        <w14:solidFill>
                          <w14:schemeClr w14:val="tx1"/>
                        </w14:solidFill>
                      </w14:textFill>
                    </w:rPr>
                    <w:t>，设置</w:t>
                  </w:r>
                  <w:r>
                    <w:rPr>
                      <w:rFonts w:hint="default" w:ascii="Times New Roman" w:hAnsi="Times New Roman" w:cs="Times New Roman"/>
                      <w:color w:val="000000" w:themeColor="text1"/>
                      <w:kern w:val="0"/>
                      <w:szCs w:val="21"/>
                      <w:lang w:val="zh-CN"/>
                      <w14:textFill>
                        <w14:solidFill>
                          <w14:schemeClr w14:val="tx1"/>
                        </w14:solidFill>
                      </w14:textFill>
                    </w:rPr>
                    <w:t>等效黏土防渗层Mb≥1.5m，</w:t>
                  </w:r>
                  <w:r>
                    <w:rPr>
                      <w:rFonts w:hint="default" w:ascii="Times New Roman" w:hAnsi="Times New Roman" w:cs="Times New Roman"/>
                      <w:color w:val="000000" w:themeColor="text1"/>
                      <w:szCs w:val="21"/>
                      <w14:textFill>
                        <w14:solidFill>
                          <w14:schemeClr w14:val="tx1"/>
                        </w14:solidFill>
                      </w14:textFill>
                    </w:rPr>
                    <w:t>渗透系数达到</w:t>
                  </w:r>
                  <w:r>
                    <w:rPr>
                      <w:rFonts w:hint="default" w:ascii="Times New Roman" w:hAnsi="Times New Roman" w:cs="Times New Roman"/>
                      <w:color w:val="000000" w:themeColor="text1"/>
                      <w:kern w:val="0"/>
                      <w:szCs w:val="21"/>
                      <w:lang w:val="zh-CN"/>
                      <w14:textFill>
                        <w14:solidFill>
                          <w14:schemeClr w14:val="tx1"/>
                        </w14:solidFill>
                      </w14:textFill>
                    </w:rPr>
                    <w:t>K≤1×10</w:t>
                  </w:r>
                  <w:r>
                    <w:rPr>
                      <w:rFonts w:hint="default" w:ascii="Times New Roman" w:hAnsi="Times New Roman" w:cs="Times New Roman"/>
                      <w:color w:val="000000" w:themeColor="text1"/>
                      <w:kern w:val="0"/>
                      <w:szCs w:val="21"/>
                      <w:vertAlign w:val="superscript"/>
                      <w:lang w:val="zh-CN"/>
                      <w14:textFill>
                        <w14:solidFill>
                          <w14:schemeClr w14:val="tx1"/>
                        </w14:solidFill>
                      </w14:textFill>
                    </w:rPr>
                    <w:t>-7</w:t>
                  </w:r>
                  <w:r>
                    <w:rPr>
                      <w:rFonts w:hint="default" w:ascii="Times New Roman" w:hAnsi="Times New Roman" w:cs="Times New Roman"/>
                      <w:color w:val="000000" w:themeColor="text1"/>
                      <w:kern w:val="0"/>
                      <w:szCs w:val="21"/>
                      <w:lang w:val="zh-CN"/>
                      <w14:textFill>
                        <w14:solidFill>
                          <w14:schemeClr w14:val="tx1"/>
                        </w14:solidFill>
                      </w14:textFill>
                    </w:rPr>
                    <w:t>cm/s；</w:t>
                  </w:r>
                </w:p>
                <w:p w14:paraId="42CAB1ED">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简单防渗区：</w:t>
                  </w:r>
                  <w:r>
                    <w:rPr>
                      <w:rFonts w:hint="default" w:ascii="Times New Roman" w:hAnsi="Times New Roman" w:cs="Times New Roman"/>
                      <w:b w:val="0"/>
                      <w:bCs/>
                      <w:color w:val="000000" w:themeColor="text1"/>
                      <w:lang w:eastAsia="zh-CN"/>
                      <w14:textFill>
                        <w14:solidFill>
                          <w14:schemeClr w14:val="tx1"/>
                        </w14:solidFill>
                      </w14:textFill>
                    </w:rPr>
                    <w:t>车间运输通道、办公区</w:t>
                  </w:r>
                  <w:r>
                    <w:rPr>
                      <w:rFonts w:hint="default" w:ascii="Times New Roman" w:hAnsi="Times New Roman" w:cs="Times New Roman"/>
                      <w:color w:val="000000" w:themeColor="text1"/>
                      <w:sz w:val="21"/>
                      <w:szCs w:val="21"/>
                      <w:lang w:eastAsia="zh-CN"/>
                      <w14:textFill>
                        <w14:solidFill>
                          <w14:schemeClr w14:val="tx1"/>
                        </w14:solidFill>
                      </w14:textFill>
                    </w:rPr>
                    <w:t>等区域为简单防渗区，地面硬化。</w:t>
                  </w:r>
                </w:p>
              </w:tc>
              <w:tc>
                <w:tcPr>
                  <w:tcW w:w="654" w:type="pct"/>
                  <w:tcBorders>
                    <w:top w:val="single" w:color="auto" w:sz="4" w:space="0"/>
                    <w:left w:val="single" w:color="auto" w:sz="4" w:space="0"/>
                    <w:bottom w:val="single" w:color="auto" w:sz="4" w:space="0"/>
                    <w:right w:val="single" w:color="auto" w:sz="4" w:space="0"/>
                  </w:tcBorders>
                  <w:vAlign w:val="center"/>
                </w:tcPr>
                <w:p w14:paraId="66FACFB7">
                  <w:pPr>
                    <w:pageBreakBefore w:val="0"/>
                    <w:widowControl/>
                    <w:kinsoku/>
                    <w:overflowPunct/>
                    <w:topLinePunct w:val="0"/>
                    <w:bidi w:val="0"/>
                    <w:ind w:left="0" w:leftChars="0" w:right="0"/>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3</w:t>
                  </w:r>
                </w:p>
              </w:tc>
              <w:tc>
                <w:tcPr>
                  <w:tcW w:w="449" w:type="pct"/>
                  <w:tcBorders>
                    <w:top w:val="single" w:color="auto" w:sz="4" w:space="0"/>
                    <w:left w:val="single" w:color="auto" w:sz="4" w:space="0"/>
                    <w:bottom w:val="single" w:color="auto" w:sz="4" w:space="0"/>
                    <w:right w:val="single" w:color="auto" w:sz="4" w:space="0"/>
                  </w:tcBorders>
                  <w:vAlign w:val="center"/>
                </w:tcPr>
                <w:p w14:paraId="6F329E87">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p>
              </w:tc>
            </w:tr>
            <w:tr w14:paraId="57BB6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96" w:type="pct"/>
                  <w:gridSpan w:val="4"/>
                  <w:tcBorders>
                    <w:top w:val="single" w:color="auto" w:sz="4" w:space="0"/>
                    <w:left w:val="single" w:color="auto" w:sz="4" w:space="0"/>
                    <w:bottom w:val="single" w:color="auto" w:sz="4" w:space="0"/>
                    <w:right w:val="single" w:color="auto" w:sz="4" w:space="0"/>
                  </w:tcBorders>
                  <w:vAlign w:val="center"/>
                </w:tcPr>
                <w:p w14:paraId="01EDB674">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合计</w:t>
                  </w:r>
                </w:p>
              </w:tc>
              <w:tc>
                <w:tcPr>
                  <w:tcW w:w="654" w:type="pct"/>
                  <w:tcBorders>
                    <w:top w:val="single" w:color="auto" w:sz="4" w:space="0"/>
                    <w:left w:val="single" w:color="auto" w:sz="4" w:space="0"/>
                    <w:bottom w:val="single" w:color="auto" w:sz="4" w:space="0"/>
                    <w:right w:val="single" w:color="auto" w:sz="4" w:space="0"/>
                  </w:tcBorders>
                  <w:vAlign w:val="center"/>
                </w:tcPr>
                <w:p w14:paraId="11450E9E">
                  <w:pPr>
                    <w:pageBreakBefore w:val="0"/>
                    <w:widowControl/>
                    <w:kinsoku/>
                    <w:overflowPunct/>
                    <w:topLinePunct w:val="0"/>
                    <w:bidi w:val="0"/>
                    <w:ind w:left="0" w:leftChars="0" w:right="0"/>
                    <w:jc w:val="center"/>
                    <w:textAlignment w:val="center"/>
                    <w:rPr>
                      <w:rFonts w:hint="default" w:ascii="Times New Roman" w:hAnsi="Times New Roman" w:eastAsia="宋体" w:cs="Times New Roman"/>
                      <w:color w:val="000000" w:themeColor="text1"/>
                      <w:szCs w:val="20"/>
                      <w:lang w:val="en-US" w:eastAsia="zh-CN"/>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49.</w:t>
                  </w:r>
                  <w:r>
                    <w:rPr>
                      <w:rFonts w:hint="default" w:ascii="Times New Roman" w:hAnsi="Times New Roman" w:cs="Times New Roman"/>
                      <w:color w:val="000000" w:themeColor="text1"/>
                      <w:kern w:val="0"/>
                      <w:szCs w:val="21"/>
                      <w:lang w:val="en-US" w:eastAsia="zh-CN" w:bidi="ar"/>
                      <w14:textFill>
                        <w14:solidFill>
                          <w14:schemeClr w14:val="tx1"/>
                        </w14:solidFill>
                      </w14:textFill>
                    </w:rPr>
                    <w:t>1</w:t>
                  </w:r>
                </w:p>
              </w:tc>
              <w:tc>
                <w:tcPr>
                  <w:tcW w:w="449" w:type="pct"/>
                  <w:tcBorders>
                    <w:top w:val="single" w:color="auto" w:sz="4" w:space="0"/>
                    <w:left w:val="single" w:color="auto" w:sz="4" w:space="0"/>
                    <w:bottom w:val="single" w:color="auto" w:sz="4" w:space="0"/>
                    <w:right w:val="single" w:color="auto" w:sz="4" w:space="0"/>
                  </w:tcBorders>
                  <w:vAlign w:val="center"/>
                </w:tcPr>
                <w:p w14:paraId="66C928CD">
                  <w:pPr>
                    <w:pStyle w:val="124"/>
                    <w:pageBreakBefore w:val="0"/>
                    <w:kinsoku/>
                    <w:overflowPunct/>
                    <w:topLinePunct w:val="0"/>
                    <w:bidi w:val="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bl>
          <w:p w14:paraId="64DD3F2E">
            <w:pPr>
              <w:pStyle w:val="8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textAlignment w:val="auto"/>
              <w:rPr>
                <w:rFonts w:hint="default" w:ascii="Times New Roman" w:hAnsi="Times New Roman" w:eastAsia="宋体" w:cs="Times New Roman"/>
                <w:b/>
                <w:bCs/>
                <w:snapToGrid w:val="0"/>
                <w:color w:val="000000" w:themeColor="text1"/>
                <w:sz w:val="21"/>
                <w:szCs w:val="21"/>
                <w:lang w:eastAsia="zh-CN"/>
                <w14:textFill>
                  <w14:solidFill>
                    <w14:schemeClr w14:val="tx1"/>
                  </w14:solidFill>
                </w14:textFill>
              </w:rPr>
            </w:pPr>
          </w:p>
        </w:tc>
      </w:tr>
      <w:tr w14:paraId="56A368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3" w:type="dxa"/>
            <w:vAlign w:val="center"/>
          </w:tcPr>
          <w:p w14:paraId="16AD3366">
            <w:pPr>
              <w:pStyle w:val="29"/>
              <w:pageBreakBefore w:val="0"/>
              <w:kinsoku/>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工艺流程和产排污环节</w:t>
            </w:r>
          </w:p>
        </w:tc>
        <w:tc>
          <w:tcPr>
            <w:tcW w:w="8635" w:type="dxa"/>
            <w:vAlign w:val="top"/>
          </w:tcPr>
          <w:p w14:paraId="0140E0C7">
            <w:pPr>
              <w:pageBreakBefore w:val="0"/>
              <w:kinsoku/>
              <w:overflowPunct/>
              <w:topLinePunct w:val="0"/>
              <w:bidi w:val="0"/>
              <w:spacing w:line="360" w:lineRule="auto"/>
              <w:ind w:left="0" w:leftChars="0" w:right="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一、施工期工艺流程和产排污节点</w:t>
            </w:r>
          </w:p>
          <w:p w14:paraId="3DC23122">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原有项目原有设备等均</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进行拆除报废处置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，本项目购置新设备进行建设。</w:t>
            </w:r>
          </w:p>
          <w:p w14:paraId="7D42ECE7">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本项目利用现有车间进行建设，对现有厂房进行分区改造装修等，在厂房内进行设备安装和配套设施建设，设备安装完成后调试运行，</w:t>
            </w:r>
            <w:r>
              <w:rPr>
                <w:rFonts w:hint="default" w:ascii="Times New Roman" w:hAnsi="Times New Roman" w:cs="Times New Roman"/>
                <w:color w:val="000000" w:themeColor="text1"/>
                <w:sz w:val="24"/>
                <w:lang w:eastAsia="zh-CN"/>
                <w14:textFill>
                  <w14:solidFill>
                    <w14:schemeClr w14:val="tx1"/>
                  </w14:solidFill>
                </w14:textFill>
              </w:rPr>
              <w:t>土建工程极少，施工期较短，工艺流程简单</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。施工期对环境的影响具有瞬时性，工程结束后施工对环境影响即随之消失。</w:t>
            </w:r>
            <w:r>
              <w:rPr>
                <w:rFonts w:hint="default" w:ascii="Times New Roman" w:hAnsi="Times New Roman" w:cs="Times New Roman"/>
                <w:color w:val="000000" w:themeColor="text1"/>
                <w:sz w:val="24"/>
                <w14:textFill>
                  <w14:solidFill>
                    <w14:schemeClr w14:val="tx1"/>
                  </w14:solidFill>
                </w14:textFill>
              </w:rPr>
              <w:t>项目施工期产生的污染物主要为施工废水、扬尘、固废、噪声及施工人员生活污水、生活垃圾等。</w:t>
            </w:r>
          </w:p>
          <w:p w14:paraId="2B2FFAC7">
            <w:pPr>
              <w:pStyle w:val="44"/>
              <w:pageBreakBefore w:val="0"/>
              <w:kinsoku/>
              <w:overflowPunct/>
              <w:topLinePunct w:val="0"/>
              <w:bidi w:val="0"/>
              <w:ind w:left="0" w:leftChars="0" w:right="0" w:firstLine="48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主要施工流程及产污环节详见图。</w:t>
            </w:r>
          </w:p>
          <w:p w14:paraId="71C24B92">
            <w:pPr>
              <w:pStyle w:val="32"/>
              <w:ind w:left="0" w:leftChars="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mc:AlternateContent>
                <mc:Choice Requires="wpc">
                  <w:drawing>
                    <wp:inline distT="0" distB="0" distL="114300" distR="114300">
                      <wp:extent cx="3256280" cy="1107440"/>
                      <wp:effectExtent l="4445" t="0" r="0" b="0"/>
                      <wp:docPr id="6" name="画布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3" name="文本框 16"/>
                              <wps:cNvSpPr txBox="1"/>
                              <wps:spPr>
                                <a:xfrm>
                                  <a:off x="0" y="560705"/>
                                  <a:ext cx="866775" cy="316230"/>
                                </a:xfrm>
                                <a:prstGeom prst="rect">
                                  <a:avLst/>
                                </a:prstGeom>
                                <a:noFill/>
                                <a:ln w="9525" cap="flat" cmpd="sng">
                                  <a:solidFill>
                                    <a:srgbClr val="000000"/>
                                  </a:solidFill>
                                  <a:prstDash val="solid"/>
                                  <a:miter/>
                                  <a:headEnd type="none" w="med" len="med"/>
                                  <a:tailEnd type="none" w="med" len="med"/>
                                </a:ln>
                              </wps:spPr>
                              <wps:txbx>
                                <w:txbxContent>
                                  <w:p w14:paraId="151BCCC4">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eastAsia="宋体"/>
                                        <w:sz w:val="21"/>
                                        <w:szCs w:val="21"/>
                                        <w:lang w:eastAsia="zh-CN"/>
                                      </w:rPr>
                                    </w:pPr>
                                    <w:r>
                                      <w:rPr>
                                        <w:rFonts w:hint="eastAsia"/>
                                        <w:sz w:val="21"/>
                                        <w:szCs w:val="21"/>
                                        <w:lang w:eastAsia="zh-CN"/>
                                      </w:rPr>
                                      <w:t>原项目拆除</w:t>
                                    </w:r>
                                  </w:p>
                                </w:txbxContent>
                              </wps:txbx>
                              <wps:bodyPr upright="1"/>
                            </wps:wsp>
                            <wps:wsp>
                              <wps:cNvPr id="114" name="文本框 5"/>
                              <wps:cNvSpPr txBox="1"/>
                              <wps:spPr>
                                <a:xfrm>
                                  <a:off x="0" y="0"/>
                                  <a:ext cx="1266825" cy="335915"/>
                                </a:xfrm>
                                <a:prstGeom prst="rect">
                                  <a:avLst/>
                                </a:prstGeom>
                                <a:noFill/>
                                <a:ln>
                                  <a:noFill/>
                                </a:ln>
                              </wps:spPr>
                              <wps:txbx>
                                <w:txbxContent>
                                  <w:p w14:paraId="74BC61C3">
                                    <w:pPr>
                                      <w:ind w:left="0" w:leftChars="0" w:firstLine="0" w:firstLineChars="0"/>
                                      <w:rPr>
                                        <w:sz w:val="21"/>
                                        <w:szCs w:val="21"/>
                                      </w:rPr>
                                    </w:pPr>
                                    <w:r>
                                      <w:rPr>
                                        <w:rFonts w:hint="eastAsia"/>
                                        <w:sz w:val="21"/>
                                        <w:szCs w:val="21"/>
                                      </w:rPr>
                                      <w:t>噪音、粉尘</w:t>
                                    </w:r>
                                  </w:p>
                                  <w:p w14:paraId="4908FB7E">
                                    <w:pPr>
                                      <w:rPr>
                                        <w:sz w:val="21"/>
                                        <w:szCs w:val="21"/>
                                      </w:rPr>
                                    </w:pPr>
                                  </w:p>
                                </w:txbxContent>
                              </wps:txbx>
                              <wps:bodyPr upright="1"/>
                            </wps:wsp>
                            <wps:wsp>
                              <wps:cNvPr id="115" name="直接箭头连接符 4"/>
                              <wps:cNvCnPr/>
                              <wps:spPr>
                                <a:xfrm flipV="1">
                                  <a:off x="417830" y="265430"/>
                                  <a:ext cx="4445" cy="280035"/>
                                </a:xfrm>
                                <a:prstGeom prst="straightConnector1">
                                  <a:avLst/>
                                </a:prstGeom>
                                <a:ln w="9525" cap="flat" cmpd="sng">
                                  <a:solidFill>
                                    <a:srgbClr val="000000"/>
                                  </a:solidFill>
                                  <a:prstDash val="dash"/>
                                  <a:headEnd type="none" w="med" len="med"/>
                                  <a:tailEnd type="triangle" w="med" len="med"/>
                                </a:ln>
                              </wps:spPr>
                              <wps:bodyPr/>
                            </wps:wsp>
                            <wps:wsp>
                              <wps:cNvPr id="58" name="直接箭头连接符 4"/>
                              <wps:cNvCnPr/>
                              <wps:spPr>
                                <a:xfrm flipV="1">
                                  <a:off x="884555" y="701675"/>
                                  <a:ext cx="335915" cy="5715"/>
                                </a:xfrm>
                                <a:prstGeom prst="straightConnector1">
                                  <a:avLst/>
                                </a:prstGeom>
                                <a:ln w="9525" cap="flat" cmpd="sng">
                                  <a:solidFill>
                                    <a:srgbClr val="000000"/>
                                  </a:solidFill>
                                  <a:prstDash val="dash"/>
                                  <a:headEnd type="none" w="med" len="med"/>
                                  <a:tailEnd type="triangle" w="med" len="med"/>
                                </a:ln>
                              </wps:spPr>
                              <wps:bodyPr/>
                            </wps:wsp>
                            <wps:wsp>
                              <wps:cNvPr id="59" name="文本框 5"/>
                              <wps:cNvSpPr txBox="1"/>
                              <wps:spPr>
                                <a:xfrm>
                                  <a:off x="1132205" y="570230"/>
                                  <a:ext cx="534035" cy="335915"/>
                                </a:xfrm>
                                <a:prstGeom prst="rect">
                                  <a:avLst/>
                                </a:prstGeom>
                                <a:noFill/>
                                <a:ln>
                                  <a:noFill/>
                                </a:ln>
                              </wps:spPr>
                              <wps:txbx>
                                <w:txbxContent>
                                  <w:p w14:paraId="3EEF2619">
                                    <w:pPr>
                                      <w:ind w:left="0" w:leftChars="0" w:firstLine="0" w:firstLineChars="0"/>
                                      <w:rPr>
                                        <w:sz w:val="21"/>
                                        <w:szCs w:val="21"/>
                                      </w:rPr>
                                    </w:pPr>
                                    <w:r>
                                      <w:rPr>
                                        <w:rFonts w:hint="eastAsia"/>
                                        <w:sz w:val="21"/>
                                        <w:szCs w:val="21"/>
                                      </w:rPr>
                                      <w:t>固废</w:t>
                                    </w:r>
                                  </w:p>
                                  <w:p w14:paraId="06CB7CB2">
                                    <w:pPr>
                                      <w:rPr>
                                        <w:sz w:val="21"/>
                                        <w:szCs w:val="21"/>
                                      </w:rPr>
                                    </w:pPr>
                                  </w:p>
                                </w:txbxContent>
                              </wps:txbx>
                              <wps:bodyPr upright="1"/>
                            </wps:wsp>
                            <wps:wsp>
                              <wps:cNvPr id="60" name="直接箭头连接符 4"/>
                              <wps:cNvCnPr/>
                              <wps:spPr>
                                <a:xfrm flipV="1">
                                  <a:off x="1541780" y="703580"/>
                                  <a:ext cx="335915" cy="5715"/>
                                </a:xfrm>
                                <a:prstGeom prst="straightConnector1">
                                  <a:avLst/>
                                </a:prstGeom>
                                <a:ln w="9525" cap="flat" cmpd="sng">
                                  <a:solidFill>
                                    <a:srgbClr val="000000"/>
                                  </a:solidFill>
                                  <a:prstDash val="dash"/>
                                  <a:headEnd type="none" w="med" len="med"/>
                                  <a:tailEnd type="triangle" w="med" len="med"/>
                                </a:ln>
                              </wps:spPr>
                              <wps:bodyPr/>
                            </wps:wsp>
                            <wps:wsp>
                              <wps:cNvPr id="61" name="文本框 5"/>
                              <wps:cNvSpPr txBox="1"/>
                              <wps:spPr>
                                <a:xfrm>
                                  <a:off x="1884680" y="280035"/>
                                  <a:ext cx="1266825" cy="798830"/>
                                </a:xfrm>
                                <a:prstGeom prst="rect">
                                  <a:avLst/>
                                </a:prstGeom>
                                <a:noFill/>
                                <a:ln>
                                  <a:noFill/>
                                </a:ln>
                              </wps:spPr>
                              <wps:txbx>
                                <w:txbxContent>
                                  <w:p w14:paraId="394F4640">
                                    <w:pPr>
                                      <w:rPr>
                                        <w:rFonts w:hint="eastAsia" w:eastAsia="宋体"/>
                                        <w:sz w:val="21"/>
                                        <w:szCs w:val="21"/>
                                        <w:lang w:eastAsia="zh-CN"/>
                                      </w:rPr>
                                    </w:pPr>
                                    <w:r>
                                      <w:rPr>
                                        <w:rFonts w:hint="eastAsia"/>
                                        <w:sz w:val="21"/>
                                        <w:szCs w:val="21"/>
                                        <w:lang w:eastAsia="zh-CN"/>
                                      </w:rPr>
                                      <w:t>能回收利用部分交由回收商；不能回收利用部分运至建筑部门指定地点</w:t>
                                    </w:r>
                                  </w:p>
                                </w:txbxContent>
                              </wps:txbx>
                              <wps:bodyPr upright="1"/>
                            </wps:wsp>
                          </wpc:wpc>
                        </a:graphicData>
                      </a:graphic>
                    </wp:inline>
                  </w:drawing>
                </mc:Choice>
                <mc:Fallback>
                  <w:pict>
                    <v:group id="_x0000_s1026" o:spid="_x0000_s1026" o:spt="203" style="height:87.2pt;width:256.4pt;" coordsize="3256280,1107440" editas="canvas" o:gfxdata="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">
                      <o:lock v:ext="edit" aspectratio="f"/>
                      <v:shape id="_x0000_s1026" o:spid="_x0000_s1026" style="position:absolute;left:0;top:0;height:1107440;width:3256280;" filled="f" stroked="f" coordsize="21600,21600" o:gfxdata="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">
                        <v:fill on="f" focussize="0,0"/>
                        <v:stroke on="f"/>
                        <v:imagedata o:title=""/>
                        <o:lock v:ext="edit" aspectratio="t"/>
                      </v:shape>
                      <v:shape id="文本框 16" o:spid="_x0000_s1026" o:spt="202" type="#_x0000_t202" style="position:absolute;left:0;top:560705;height:316230;width:866775;" filled="f" stroked="t" coordsize="21600,21600" o:gfxdata="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pHMs9MAAAAFAQAADwAAAAAAAAABACAAAAAi&#10;AAAAZHJzL2Rvd25yZXYueG1sUEsBAhQAFAAAAAgAh07iQNpcO9cPAgAAFAQAAA4AAAAAAAAAAQAg&#10;AAAAIgEAAGRycy9lMm9Eb2MueG1sUEsFBgAAAAAGAAYAWQEAAKMFAAAAAA==&#10;">
                        <v:fill on="f" focussize="0,0"/>
                        <v:stroke color="#000000" joinstyle="miter"/>
                        <v:imagedata o:title=""/>
                        <o:lock v:ext="edit" aspectratio="f"/>
                        <v:textbox>
                          <w:txbxContent>
                            <w:p w14:paraId="151BCCC4">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eastAsia="宋体"/>
                                  <w:sz w:val="21"/>
                                  <w:szCs w:val="21"/>
                                  <w:lang w:eastAsia="zh-CN"/>
                                </w:rPr>
                              </w:pPr>
                              <w:r>
                                <w:rPr>
                                  <w:rFonts w:hint="eastAsia"/>
                                  <w:sz w:val="21"/>
                                  <w:szCs w:val="21"/>
                                  <w:lang w:eastAsia="zh-CN"/>
                                </w:rPr>
                                <w:t>原项目拆除</w:t>
                              </w:r>
                            </w:p>
                          </w:txbxContent>
                        </v:textbox>
                      </v:shape>
                      <v:shape id="文本框 5" o:spid="_x0000_s1026" o:spt="202" type="#_x0000_t202" style="position:absolute;left:0;top:0;height:335915;width:1266825;" filled="f" stroked="f" coordsize="21600,21600" o:gfxdata="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b/NYwNMAAAAF&#10;AQAADwAAAAAAAAABACAAAAAiAAAAZHJzL2Rvd25yZXYueG1sUEsBAhQAFAAAAAgAh07iQFaFPq+v&#10;AQAAUAMAAA4AAAAAAAAAAQAgAAAAIgEAAGRycy9lMm9Eb2MueG1sUEsFBgAAAAAGAAYAWQEAAEMF&#10;AAAAAA==&#10;">
                        <v:fill on="f" focussize="0,0"/>
                        <v:stroke on="f"/>
                        <v:imagedata o:title=""/>
                        <o:lock v:ext="edit" aspectratio="f"/>
                        <v:textbox>
                          <w:txbxContent>
                            <w:p w14:paraId="74BC61C3">
                              <w:pPr>
                                <w:ind w:left="0" w:leftChars="0" w:firstLine="0" w:firstLineChars="0"/>
                                <w:rPr>
                                  <w:sz w:val="21"/>
                                  <w:szCs w:val="21"/>
                                </w:rPr>
                              </w:pPr>
                              <w:r>
                                <w:rPr>
                                  <w:rFonts w:hint="eastAsia"/>
                                  <w:sz w:val="21"/>
                                  <w:szCs w:val="21"/>
                                </w:rPr>
                                <w:t>噪音、粉尘</w:t>
                              </w:r>
                            </w:p>
                            <w:p w14:paraId="4908FB7E">
                              <w:pPr>
                                <w:rPr>
                                  <w:sz w:val="21"/>
                                  <w:szCs w:val="21"/>
                                </w:rPr>
                              </w:pPr>
                            </w:p>
                          </w:txbxContent>
                        </v:textbox>
                      </v:shape>
                      <v:shape id="直接箭头连接符 4" o:spid="_x0000_s1026" o:spt="32" type="#_x0000_t32" style="position:absolute;left:417830;top:265430;flip:y;height:280035;width:4445;" filled="f" stroked="t" coordsize="21600,21600" o:gfxdata="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3ml/tEAAAAFAQAADwAAAAAAAAAB&#10;ACAAAAAiAAAAZHJzL2Rvd25yZXYueG1sUEsBAhQAFAAAAAgAh07iQI1t/dAXAgAABwQAAA4AAAAA&#10;AAAAAQAgAAAAIAEAAGRycy9lMm9Eb2MueG1sUEsFBgAAAAAGAAYAWQEAAKkFAAAAAA==&#10;">
                        <v:fill on="f" focussize="0,0"/>
                        <v:stroke color="#000000" joinstyle="round" dashstyle="dash" endarrow="block"/>
                        <v:imagedata o:title=""/>
                        <o:lock v:ext="edit" aspectratio="f"/>
                      </v:shape>
                      <v:shape id="直接箭头连接符 4" o:spid="_x0000_s1026" o:spt="32" type="#_x0000_t32" style="position:absolute;left:884555;top:701675;flip:y;height:5715;width:335915;" filled="f" stroked="t" coordsize="21600,21600" o:gfxdata="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3ml/tEAAAAFAQAADwAAAAAA&#10;AAABACAAAAAiAAAAZHJzL2Rvd25yZXYueG1sUEsBAhQAFAAAAAgAh07iQKaVaUoaAgAABgQAAA4A&#10;AAAAAAAAAQAgAAAAIAEAAGRycy9lMm9Eb2MueG1sUEsFBgAAAAAGAAYAWQEAAKwFAAAAAA==&#10;">
                        <v:fill on="f" focussize="0,0"/>
                        <v:stroke color="#000000" joinstyle="round" dashstyle="dash" endarrow="block"/>
                        <v:imagedata o:title=""/>
                        <o:lock v:ext="edit" aspectratio="f"/>
                      </v:shape>
                      <v:shape id="文本框 5" o:spid="_x0000_s1026" o:spt="202" type="#_x0000_t202" style="position:absolute;left:1132205;top:570230;height:335915;width:534035;" filled="f" stroked="f" coordsize="21600,21600" o:gfxdata="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v&#10;81jA0wAAAAUBAAAPAAAAAAAAAAEAIAAAACIAAABkcnMvZG93bnJldi54bWxQSwECFAAUAAAACACH&#10;TuJAmFfo+rcBAABZAwAADgAAAAAAAAABACAAAAAiAQAAZHJzL2Uyb0RvYy54bWxQSwUGAAAAAAYA&#10;BgBZAQAASwUAAAAA&#10;">
                        <v:fill on="f" focussize="0,0"/>
                        <v:stroke on="f"/>
                        <v:imagedata o:title=""/>
                        <o:lock v:ext="edit" aspectratio="f"/>
                        <v:textbox>
                          <w:txbxContent>
                            <w:p w14:paraId="3EEF2619">
                              <w:pPr>
                                <w:ind w:left="0" w:leftChars="0" w:firstLine="0" w:firstLineChars="0"/>
                                <w:rPr>
                                  <w:sz w:val="21"/>
                                  <w:szCs w:val="21"/>
                                </w:rPr>
                              </w:pPr>
                              <w:r>
                                <w:rPr>
                                  <w:rFonts w:hint="eastAsia"/>
                                  <w:sz w:val="21"/>
                                  <w:szCs w:val="21"/>
                                </w:rPr>
                                <w:t>固废</w:t>
                              </w:r>
                            </w:p>
                            <w:p w14:paraId="06CB7CB2">
                              <w:pPr>
                                <w:rPr>
                                  <w:sz w:val="21"/>
                                  <w:szCs w:val="21"/>
                                </w:rPr>
                              </w:pPr>
                            </w:p>
                          </w:txbxContent>
                        </v:textbox>
                      </v:shape>
                      <v:shape id="直接箭头连接符 4" o:spid="_x0000_s1026" o:spt="32" type="#_x0000_t32" style="position:absolute;left:1541780;top:703580;flip:y;height:5715;width:335915;" filled="f" stroked="t" coordsize="21600,21600" o:gfxdata="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95pf7RAAAABQEAAA8AAAAAAAAA&#10;AQAgAAAAIgAAAGRycy9kb3ducmV2LnhtbFBLAQIUABQAAAAIAIdO4kDl3AhlGAIAAAcEAAAOAAAA&#10;AAAAAAEAIAAAACABAABkcnMvZTJvRG9jLnhtbFBLBQYAAAAABgAGAFkBAACqBQAAAAA=&#10;">
                        <v:fill on="f" focussize="0,0"/>
                        <v:stroke color="#000000" joinstyle="round" dashstyle="dash" endarrow="block"/>
                        <v:imagedata o:title=""/>
                        <o:lock v:ext="edit" aspectratio="f"/>
                      </v:shape>
                      <v:shape id="文本框 5" o:spid="_x0000_s1026" o:spt="202" type="#_x0000_t202" style="position:absolute;left:1884680;top:280035;height:798830;width:1266825;" filled="f" stroked="f" coordsize="21600,21600" o:gfxdata="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NYwNMAAAAFAQAADwAAAAAAAAABACAAAAAiAAAAZHJzL2Rvd25yZXYueG1sUEsBAhQAFAAAAAgA&#10;h07iQA7+ekO4AQAAWgMAAA4AAAAAAAAAAQAgAAAAIgEAAGRycy9lMm9Eb2MueG1sUEsFBgAAAAAG&#10;AAYAWQEAAEwFAAAAAA==&#10;">
                        <v:fill on="f" focussize="0,0"/>
                        <v:stroke on="f"/>
                        <v:imagedata o:title=""/>
                        <o:lock v:ext="edit" aspectratio="f"/>
                        <v:textbox>
                          <w:txbxContent>
                            <w:p w14:paraId="394F4640">
                              <w:pPr>
                                <w:rPr>
                                  <w:rFonts w:hint="eastAsia" w:eastAsia="宋体"/>
                                  <w:sz w:val="21"/>
                                  <w:szCs w:val="21"/>
                                  <w:lang w:eastAsia="zh-CN"/>
                                </w:rPr>
                              </w:pPr>
                              <w:r>
                                <w:rPr>
                                  <w:rFonts w:hint="eastAsia"/>
                                  <w:sz w:val="21"/>
                                  <w:szCs w:val="21"/>
                                  <w:lang w:eastAsia="zh-CN"/>
                                </w:rPr>
                                <w:t>能回收利用部分交由回收商；不能回收利用部分运至建筑部门指定地点</w:t>
                              </w:r>
                            </w:p>
                          </w:txbxContent>
                        </v:textbox>
                      </v:shape>
                      <w10:wrap type="none"/>
                      <w10:anchorlock/>
                    </v:group>
                  </w:pict>
                </mc:Fallback>
              </mc:AlternateContent>
            </w:r>
          </w:p>
          <w:p w14:paraId="737FF3CF">
            <w:pPr>
              <w:pStyle w:val="19"/>
              <w:keepNext w:val="0"/>
              <w:keepLines w:val="0"/>
              <w:pageBreakBefore w:val="0"/>
              <w:widowControl w:val="0"/>
              <w:tabs>
                <w:tab w:val="left" w:pos="4830"/>
              </w:tabs>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000000" w:themeColor="text1"/>
                <w:spacing w:val="8"/>
                <w:sz w:val="21"/>
                <w:szCs w:val="21"/>
                <w:shd w:val="clear" w:color="auto" w:fill="FFFFFF"/>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mc:AlternateContent>
                <mc:Choice Requires="wpc">
                  <w:drawing>
                    <wp:inline distT="0" distB="0" distL="114300" distR="114300">
                      <wp:extent cx="4373880" cy="907415"/>
                      <wp:effectExtent l="4445" t="0" r="3175" b="5080"/>
                      <wp:docPr id="15" name="画布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 name="文本框 16"/>
                              <wps:cNvSpPr txBox="1"/>
                              <wps:spPr>
                                <a:xfrm>
                                  <a:off x="0" y="581660"/>
                                  <a:ext cx="1057275" cy="316230"/>
                                </a:xfrm>
                                <a:prstGeom prst="rect">
                                  <a:avLst/>
                                </a:prstGeom>
                                <a:noFill/>
                                <a:ln w="9525" cap="flat" cmpd="sng">
                                  <a:solidFill>
                                    <a:srgbClr val="000000"/>
                                  </a:solidFill>
                                  <a:prstDash val="solid"/>
                                  <a:miter/>
                                  <a:headEnd type="none" w="med" len="med"/>
                                  <a:tailEnd type="none" w="med" len="med"/>
                                </a:ln>
                              </wps:spPr>
                              <wps:txbx>
                                <w:txbxContent>
                                  <w:p w14:paraId="2E4698B1">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eastAsia="宋体"/>
                                        <w:sz w:val="21"/>
                                        <w:szCs w:val="21"/>
                                        <w:lang w:eastAsia="zh-CN"/>
                                      </w:rPr>
                                    </w:pPr>
                                    <w:r>
                                      <w:rPr>
                                        <w:rFonts w:hint="eastAsia"/>
                                        <w:sz w:val="21"/>
                                        <w:szCs w:val="21"/>
                                        <w:lang w:eastAsia="zh-CN"/>
                                      </w:rPr>
                                      <w:t>厂房分区改造</w:t>
                                    </w:r>
                                  </w:p>
                                </w:txbxContent>
                              </wps:txbx>
                              <wps:bodyPr upright="1"/>
                            </wps:wsp>
                            <wps:wsp>
                              <wps:cNvPr id="35" name="文本框 17"/>
                              <wps:cNvSpPr txBox="1"/>
                              <wps:spPr>
                                <a:xfrm>
                                  <a:off x="3467100" y="565150"/>
                                  <a:ext cx="843915" cy="315595"/>
                                </a:xfrm>
                                <a:prstGeom prst="rect">
                                  <a:avLst/>
                                </a:prstGeom>
                                <a:noFill/>
                                <a:ln w="9525" cap="flat" cmpd="sng">
                                  <a:solidFill>
                                    <a:srgbClr val="000000"/>
                                  </a:solidFill>
                                  <a:prstDash val="solid"/>
                                  <a:miter/>
                                  <a:headEnd type="none" w="med" len="med"/>
                                  <a:tailEnd type="none" w="med" len="med"/>
                                </a:ln>
                              </wps:spPr>
                              <wps:txbx>
                                <w:txbxContent>
                                  <w:p w14:paraId="06A27ED1">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eastAsia="宋体"/>
                                        <w:sz w:val="21"/>
                                        <w:szCs w:val="21"/>
                                        <w:lang w:eastAsia="zh-CN"/>
                                      </w:rPr>
                                    </w:pPr>
                                    <w:r>
                                      <w:rPr>
                                        <w:rFonts w:hint="eastAsia"/>
                                        <w:color w:val="000000"/>
                                        <w:sz w:val="21"/>
                                        <w:szCs w:val="21"/>
                                        <w:lang w:eastAsia="zh-CN"/>
                                      </w:rPr>
                                      <w:t>调试运营</w:t>
                                    </w:r>
                                  </w:p>
                                </w:txbxContent>
                              </wps:txbx>
                              <wps:bodyPr upright="1"/>
                            </wps:wsp>
                            <wps:wsp>
                              <wps:cNvPr id="44" name="直接箭头连接符 25"/>
                              <wps:cNvCnPr/>
                              <wps:spPr>
                                <a:xfrm flipV="1">
                                  <a:off x="1077595" y="713740"/>
                                  <a:ext cx="368935" cy="1270"/>
                                </a:xfrm>
                                <a:prstGeom prst="straightConnector1">
                                  <a:avLst/>
                                </a:prstGeom>
                                <a:ln w="9525" cap="flat" cmpd="sng">
                                  <a:solidFill>
                                    <a:srgbClr val="000000"/>
                                  </a:solidFill>
                                  <a:prstDash val="solid"/>
                                  <a:headEnd type="none" w="med" len="med"/>
                                  <a:tailEnd type="triangle" w="med" len="med"/>
                                </a:ln>
                              </wps:spPr>
                              <wps:bodyPr/>
                            </wps:wsp>
                            <wps:wsp>
                              <wps:cNvPr id="45" name="文本框 27"/>
                              <wps:cNvSpPr txBox="1"/>
                              <wps:spPr>
                                <a:xfrm>
                                  <a:off x="257175" y="36195"/>
                                  <a:ext cx="850900" cy="335915"/>
                                </a:xfrm>
                                <a:prstGeom prst="rect">
                                  <a:avLst/>
                                </a:prstGeom>
                                <a:noFill/>
                                <a:ln>
                                  <a:noFill/>
                                </a:ln>
                              </wps:spPr>
                              <wps:txbx>
                                <w:txbxContent>
                                  <w:p w14:paraId="2762215A">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sz w:val="21"/>
                                        <w:szCs w:val="21"/>
                                      </w:rPr>
                                    </w:pPr>
                                    <w:r>
                                      <w:rPr>
                                        <w:rFonts w:hint="eastAsia"/>
                                        <w:sz w:val="21"/>
                                        <w:szCs w:val="21"/>
                                      </w:rPr>
                                      <w:t>噪音、固废</w:t>
                                    </w:r>
                                  </w:p>
                                </w:txbxContent>
                              </wps:txbx>
                              <wps:bodyPr upright="1"/>
                            </wps:wsp>
                            <wps:wsp>
                              <wps:cNvPr id="46" name="直接箭头连接符 28"/>
                              <wps:cNvCnPr/>
                              <wps:spPr>
                                <a:xfrm flipV="1">
                                  <a:off x="627380" y="276860"/>
                                  <a:ext cx="4445" cy="280035"/>
                                </a:xfrm>
                                <a:prstGeom prst="straightConnector1">
                                  <a:avLst/>
                                </a:prstGeom>
                                <a:ln w="9525" cap="flat" cmpd="sng">
                                  <a:solidFill>
                                    <a:srgbClr val="000000"/>
                                  </a:solidFill>
                                  <a:prstDash val="dash"/>
                                  <a:headEnd type="none" w="med" len="med"/>
                                  <a:tailEnd type="triangle" w="med" len="med"/>
                                </a:ln>
                              </wps:spPr>
                              <wps:bodyPr/>
                            </wps:wsp>
                            <wps:wsp>
                              <wps:cNvPr id="47" name="直接箭头连接符 30"/>
                              <wps:cNvCnPr/>
                              <wps:spPr>
                                <a:xfrm flipV="1">
                                  <a:off x="3759835" y="272415"/>
                                  <a:ext cx="4445" cy="280035"/>
                                </a:xfrm>
                                <a:prstGeom prst="straightConnector1">
                                  <a:avLst/>
                                </a:prstGeom>
                                <a:ln w="9525" cap="flat" cmpd="sng">
                                  <a:solidFill>
                                    <a:srgbClr val="000000"/>
                                  </a:solidFill>
                                  <a:prstDash val="dash"/>
                                  <a:headEnd type="none" w="med" len="med"/>
                                  <a:tailEnd type="triangle" w="med" len="med"/>
                                </a:ln>
                              </wps:spPr>
                              <wps:bodyPr/>
                            </wps:wsp>
                            <wps:wsp>
                              <wps:cNvPr id="48" name="文本框 33"/>
                              <wps:cNvSpPr txBox="1"/>
                              <wps:spPr>
                                <a:xfrm>
                                  <a:off x="3475990" y="0"/>
                                  <a:ext cx="866775" cy="345440"/>
                                </a:xfrm>
                                <a:prstGeom prst="rect">
                                  <a:avLst/>
                                </a:prstGeom>
                                <a:noFill/>
                                <a:ln>
                                  <a:noFill/>
                                </a:ln>
                              </wps:spPr>
                              <wps:txbx>
                                <w:txbxContent>
                                  <w:p w14:paraId="14FDE36A">
                                    <w:pPr>
                                      <w:ind w:left="0" w:leftChars="0" w:firstLine="0" w:firstLineChars="0"/>
                                      <w:rPr>
                                        <w:sz w:val="21"/>
                                        <w:szCs w:val="21"/>
                                      </w:rPr>
                                    </w:pPr>
                                    <w:r>
                                      <w:rPr>
                                        <w:rFonts w:hint="eastAsia"/>
                                        <w:sz w:val="21"/>
                                        <w:szCs w:val="21"/>
                                      </w:rPr>
                                      <w:t>噪声、固废</w:t>
                                    </w:r>
                                  </w:p>
                                </w:txbxContent>
                              </wps:txbx>
                              <wps:bodyPr upright="1"/>
                            </wps:wsp>
                            <wps:wsp>
                              <wps:cNvPr id="49" name="直接箭头连接符 2"/>
                              <wps:cNvCnPr/>
                              <wps:spPr>
                                <a:xfrm>
                                  <a:off x="3048000" y="723265"/>
                                  <a:ext cx="445135" cy="8890"/>
                                </a:xfrm>
                                <a:prstGeom prst="straightConnector1">
                                  <a:avLst/>
                                </a:prstGeom>
                                <a:ln w="9525" cap="flat" cmpd="sng">
                                  <a:solidFill>
                                    <a:srgbClr val="000000"/>
                                  </a:solidFill>
                                  <a:prstDash val="solid"/>
                                  <a:headEnd type="none" w="med" len="med"/>
                                  <a:tailEnd type="triangle" w="med" len="med"/>
                                </a:ln>
                              </wps:spPr>
                              <wps:bodyPr/>
                            </wps:wsp>
                            <wps:wsp>
                              <wps:cNvPr id="50" name="文本框 3"/>
                              <wps:cNvSpPr txBox="1"/>
                              <wps:spPr>
                                <a:xfrm>
                                  <a:off x="1447165" y="572770"/>
                                  <a:ext cx="1597025" cy="315595"/>
                                </a:xfrm>
                                <a:prstGeom prst="rect">
                                  <a:avLst/>
                                </a:prstGeom>
                                <a:noFill/>
                                <a:ln w="9525" cap="flat" cmpd="sng">
                                  <a:solidFill>
                                    <a:srgbClr val="000000"/>
                                  </a:solidFill>
                                  <a:prstDash val="solid"/>
                                  <a:miter/>
                                  <a:headEnd type="none" w="med" len="med"/>
                                  <a:tailEnd type="none" w="med" len="med"/>
                                </a:ln>
                              </wps:spPr>
                              <wps:txbx>
                                <w:txbxContent>
                                  <w:p w14:paraId="6775765F">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default" w:eastAsia="宋体"/>
                                        <w:sz w:val="21"/>
                                        <w:szCs w:val="21"/>
                                        <w:lang w:val="en-US" w:eastAsia="zh-CN"/>
                                      </w:rPr>
                                    </w:pPr>
                                    <w:r>
                                      <w:rPr>
                                        <w:rFonts w:hint="eastAsia"/>
                                        <w:sz w:val="21"/>
                                        <w:szCs w:val="21"/>
                                        <w:lang w:eastAsia="zh-CN"/>
                                      </w:rPr>
                                      <w:t>设备安装、配套设施建设</w:t>
                                    </w:r>
                                  </w:p>
                                </w:txbxContent>
                              </wps:txbx>
                              <wps:bodyPr upright="1"/>
                            </wps:wsp>
                            <wps:wsp>
                              <wps:cNvPr id="51" name="直接箭头连接符 4"/>
                              <wps:cNvCnPr/>
                              <wps:spPr>
                                <a:xfrm flipV="1">
                                  <a:off x="2254885" y="276860"/>
                                  <a:ext cx="4445" cy="280035"/>
                                </a:xfrm>
                                <a:prstGeom prst="straightConnector1">
                                  <a:avLst/>
                                </a:prstGeom>
                                <a:ln w="9525" cap="flat" cmpd="sng">
                                  <a:solidFill>
                                    <a:srgbClr val="000000"/>
                                  </a:solidFill>
                                  <a:prstDash val="dash"/>
                                  <a:headEnd type="none" w="med" len="med"/>
                                  <a:tailEnd type="triangle" w="med" len="med"/>
                                </a:ln>
                              </wps:spPr>
                              <wps:bodyPr/>
                            </wps:wsp>
                            <wps:wsp>
                              <wps:cNvPr id="52" name="文本框 5"/>
                              <wps:cNvSpPr txBox="1"/>
                              <wps:spPr>
                                <a:xfrm>
                                  <a:off x="1562100" y="0"/>
                                  <a:ext cx="1266825" cy="335915"/>
                                </a:xfrm>
                                <a:prstGeom prst="rect">
                                  <a:avLst/>
                                </a:prstGeom>
                                <a:noFill/>
                                <a:ln>
                                  <a:noFill/>
                                </a:ln>
                              </wps:spPr>
                              <wps:txbx>
                                <w:txbxContent>
                                  <w:p w14:paraId="5EDA31BE">
                                    <w:pPr>
                                      <w:ind w:left="0" w:leftChars="0" w:firstLine="0" w:firstLineChars="0"/>
                                      <w:rPr>
                                        <w:sz w:val="21"/>
                                        <w:szCs w:val="21"/>
                                      </w:rPr>
                                    </w:pPr>
                                    <w:r>
                                      <w:rPr>
                                        <w:rFonts w:hint="eastAsia"/>
                                        <w:sz w:val="21"/>
                                        <w:szCs w:val="21"/>
                                      </w:rPr>
                                      <w:t>噪音、粉尘、固废</w:t>
                                    </w:r>
                                  </w:p>
                                  <w:p w14:paraId="3B8656A6">
                                    <w:pPr>
                                      <w:rPr>
                                        <w:sz w:val="21"/>
                                        <w:szCs w:val="21"/>
                                      </w:rPr>
                                    </w:pPr>
                                  </w:p>
                                </w:txbxContent>
                              </wps:txbx>
                              <wps:bodyPr upright="1"/>
                            </wps:wsp>
                          </wpc:wpc>
                        </a:graphicData>
                      </a:graphic>
                    </wp:inline>
                  </w:drawing>
                </mc:Choice>
                <mc:Fallback>
                  <w:pict>
                    <v:group id="_x0000_s1026" o:spid="_x0000_s1026" o:spt="203" style="height:71.45pt;width:344.4pt;" coordsize="4373880,907415" editas="canvas" o:gfxdata="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">
                      <o:lock v:ext="edit" aspectratio="f"/>
                      <v:shape id="_x0000_s1026" o:spid="_x0000_s1026" style="position:absolute;left:0;top:0;height:907415;width:4373880;" filled="f" stroked="f" coordsize="21600,21600" o:gfxdata="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">
                        <v:fill on="f" focussize="0,0"/>
                        <v:stroke on="f"/>
                        <v:imagedata o:title=""/>
                        <o:lock v:ext="edit" aspectratio="t"/>
                      </v:shape>
                      <v:shape id="文本框 16" o:spid="_x0000_s1026" o:spt="202" type="#_x0000_t202" style="position:absolute;left:0;top:581660;height:316230;width:1057275;" filled="f" stroked="t" coordsize="21600,21600" o:gfxdata="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zrTcE0wAAAAUBAAAPAAAAAAAAAAEAIAAAACIA&#10;AABkcnMvZG93bnJldi54bWxQSwECFAAUAAAACACHTuJA3PeAlQ4CAAAUBAAADgAAAAAAAAABACAA&#10;AAAiAQAAZHJzL2Uyb0RvYy54bWxQSwUGAAAAAAYABgBZAQAAogUAAAAA&#10;">
                        <v:fill on="f" focussize="0,0"/>
                        <v:stroke color="#000000" joinstyle="miter"/>
                        <v:imagedata o:title=""/>
                        <o:lock v:ext="edit" aspectratio="f"/>
                        <v:textbox>
                          <w:txbxContent>
                            <w:p w14:paraId="2E4698B1">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eastAsia="宋体"/>
                                  <w:sz w:val="21"/>
                                  <w:szCs w:val="21"/>
                                  <w:lang w:eastAsia="zh-CN"/>
                                </w:rPr>
                              </w:pPr>
                              <w:r>
                                <w:rPr>
                                  <w:rFonts w:hint="eastAsia"/>
                                  <w:sz w:val="21"/>
                                  <w:szCs w:val="21"/>
                                  <w:lang w:eastAsia="zh-CN"/>
                                </w:rPr>
                                <w:t>厂房分区改造</w:t>
                              </w:r>
                            </w:p>
                          </w:txbxContent>
                        </v:textbox>
                      </v:shape>
                      <v:shape id="文本框 17" o:spid="_x0000_s1026" o:spt="202" type="#_x0000_t202" style="position:absolute;left:3467100;top:565150;height:315595;width:843915;" filled="f" stroked="t" coordsize="21600,21600" o:gfxdata="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zrTcE0wAAAAUBAAAPAAAAAAAAAAEAIAAA&#10;ACIAAABkcnMvZG93bnJldi54bWxQSwECFAAUAAAACACHTuJAvNtTShECAAAZBAAADgAAAAAAAAAB&#10;ACAAAAAiAQAAZHJzL2Uyb0RvYy54bWxQSwUGAAAAAAYABgBZAQAApQUAAAAA&#10;">
                        <v:fill on="f" focussize="0,0"/>
                        <v:stroke color="#000000" joinstyle="miter"/>
                        <v:imagedata o:title=""/>
                        <o:lock v:ext="edit" aspectratio="f"/>
                        <v:textbox>
                          <w:txbxContent>
                            <w:p w14:paraId="06A27ED1">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eastAsia="宋体"/>
                                  <w:sz w:val="21"/>
                                  <w:szCs w:val="21"/>
                                  <w:lang w:eastAsia="zh-CN"/>
                                </w:rPr>
                              </w:pPr>
                              <w:r>
                                <w:rPr>
                                  <w:rFonts w:hint="eastAsia"/>
                                  <w:color w:val="000000"/>
                                  <w:sz w:val="21"/>
                                  <w:szCs w:val="21"/>
                                  <w:lang w:eastAsia="zh-CN"/>
                                </w:rPr>
                                <w:t>调试运营</w:t>
                              </w:r>
                            </w:p>
                          </w:txbxContent>
                        </v:textbox>
                      </v:shape>
                      <v:shape id="直接箭头连接符 25" o:spid="_x0000_s1026" o:spt="32" type="#_x0000_t32" style="position:absolute;left:1077595;top:713740;flip:y;height:1270;width:368935;" filled="f" stroked="t" coordsize="21600,21600" o:gfxdata="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2QFa7WAAAABQEA&#10;AA8AAAAAAAAAAQAgAAAAIgAAAGRycy9kb3ducmV2LnhtbFBLAQIUABQAAAAIAIdO4kB+0pUqHAIA&#10;AAkEAAAOAAAAAAAAAAEAIAAAACUBAABkcnMvZTJvRG9jLnhtbFBLBQYAAAAABgAGAFkBAACzBQAA&#10;AAA=&#10;">
                        <v:fill on="f" focussize="0,0"/>
                        <v:stroke color="#000000" joinstyle="round" endarrow="block"/>
                        <v:imagedata o:title=""/>
                        <o:lock v:ext="edit" aspectratio="f"/>
                      </v:shape>
                      <v:shape id="文本框 27" o:spid="_x0000_s1026" o:spt="202" type="#_x0000_t202" style="position:absolute;left:257175;top:36195;height:335915;width:850900;" filled="f" stroked="f" coordsize="21600,21600" o:gfxdata="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9s+jd9MAAAAFAQAADwAAAAAAAAABACAAAAAiAAAAZHJzL2Rvd25yZXYueG1sUEsBAhQAFAAAAAgA&#10;h07iQIyc+Hm4AQAAWAMAAA4AAAAAAAAAAQAgAAAAIgEAAGRycy9lMm9Eb2MueG1sUEsFBgAAAAAG&#10;AAYAWQEAAEwFAAAAAA==&#10;">
                        <v:fill on="f" focussize="0,0"/>
                        <v:stroke on="f"/>
                        <v:imagedata o:title=""/>
                        <o:lock v:ext="edit" aspectratio="f"/>
                        <v:textbox>
                          <w:txbxContent>
                            <w:p w14:paraId="2762215A">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sz w:val="21"/>
                                  <w:szCs w:val="21"/>
                                </w:rPr>
                              </w:pPr>
                              <w:r>
                                <w:rPr>
                                  <w:rFonts w:hint="eastAsia"/>
                                  <w:sz w:val="21"/>
                                  <w:szCs w:val="21"/>
                                </w:rPr>
                                <w:t>噪音、固废</w:t>
                              </w:r>
                            </w:p>
                          </w:txbxContent>
                        </v:textbox>
                      </v:shape>
                      <v:shape id="直接箭头连接符 28" o:spid="_x0000_s1026" o:spt="32" type="#_x0000_t32" style="position:absolute;left:627380;top:276860;flip:y;height:280035;width:4445;" filled="f" stroked="t" coordsize="21600,21600" o:gfxdata="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kVeSdEAAAAFAQAADwAAAAAA&#10;AAABACAAAAAiAAAAZHJzL2Rvd25yZXYueG1sUEsBAhQAFAAAAAgAh07iQH9Kot0aAgAABwQAAA4A&#10;AAAAAAAAAQAgAAAAIAEAAGRycy9lMm9Eb2MueG1sUEsFBgAAAAAGAAYAWQEAAKwFAAAAAA==&#10;">
                        <v:fill on="f" focussize="0,0"/>
                        <v:stroke color="#000000" joinstyle="round" dashstyle="dash" endarrow="block"/>
                        <v:imagedata o:title=""/>
                        <o:lock v:ext="edit" aspectratio="f"/>
                      </v:shape>
                      <v:shape id="直接箭头连接符 30" o:spid="_x0000_s1026" o:spt="32" type="#_x0000_t32" style="position:absolute;left:3759835;top:272415;flip:y;height:280035;width:4445;" filled="f" stroked="t" coordsize="21600,21600" o:gfxdata="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ZFXknRAAAABQEAAA8AAAAAAAAA&#10;AQAgAAAAIgAAAGRycy9kb3ducmV2LnhtbFBLAQIUABQAAAAIAIdO4kDLb8L1GAIAAAgEAAAOAAAA&#10;AAAAAAEAIAAAACABAABkcnMvZTJvRG9jLnhtbFBLBQYAAAAABgAGAFkBAACqBQAAAAA=&#10;">
                        <v:fill on="f" focussize="0,0"/>
                        <v:stroke color="#000000" joinstyle="round" dashstyle="dash" endarrow="block"/>
                        <v:imagedata o:title=""/>
                        <o:lock v:ext="edit" aspectratio="f"/>
                      </v:shape>
                      <v:shape id="文本框 33" o:spid="_x0000_s1026" o:spt="202" type="#_x0000_t202" style="position:absolute;left:3475990;top:0;height:345440;width:866775;" filled="f" stroked="f" coordsize="21600,21600" o:gfxdata="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9s+j&#10;d9MAAAAFAQAADwAAAAAAAAABACAAAAAiAAAAZHJzL2Rvd25yZXYueG1sUEsBAhQAFAAAAAgAh07i&#10;QGl90KO1AQAAVQMAAA4AAAAAAAAAAQAgAAAAIgEAAGRycy9lMm9Eb2MueG1sUEsFBgAAAAAGAAYA&#10;WQEAAEkFAAAAAA==&#10;">
                        <v:fill on="f" focussize="0,0"/>
                        <v:stroke on="f"/>
                        <v:imagedata o:title=""/>
                        <o:lock v:ext="edit" aspectratio="f"/>
                        <v:textbox>
                          <w:txbxContent>
                            <w:p w14:paraId="14FDE36A">
                              <w:pPr>
                                <w:ind w:left="0" w:leftChars="0" w:firstLine="0" w:firstLineChars="0"/>
                                <w:rPr>
                                  <w:sz w:val="21"/>
                                  <w:szCs w:val="21"/>
                                </w:rPr>
                              </w:pPr>
                              <w:r>
                                <w:rPr>
                                  <w:rFonts w:hint="eastAsia"/>
                                  <w:sz w:val="21"/>
                                  <w:szCs w:val="21"/>
                                </w:rPr>
                                <w:t>噪声、固废</w:t>
                              </w:r>
                            </w:p>
                          </w:txbxContent>
                        </v:textbox>
                      </v:shape>
                      <v:shape id="直接箭头连接符 2" o:spid="_x0000_s1026" o:spt="32" type="#_x0000_t32" style="position:absolute;left:3048000;top:723265;height:8890;width:445135;" filled="f" stroked="t" coordsize="21600,21600" o:gfxdata="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0MPdDWAAAABQEAAA8AAAAA&#10;AAAAAQAgAAAAIgAAAGRycy9kb3ducmV2LnhtbFBLAQIUABQAAAAIAIdO4kDtoMpgFgIAAP4DAAAO&#10;AAAAAAAAAAEAIAAAACUBAABkcnMvZTJvRG9jLnhtbFBLBQYAAAAABgAGAFkBAACtBQAAAAA=&#10;">
                        <v:fill on="f" focussize="0,0"/>
                        <v:stroke color="#000000" joinstyle="round" endarrow="block"/>
                        <v:imagedata o:title=""/>
                        <o:lock v:ext="edit" aspectratio="f"/>
                      </v:shape>
                      <v:shape id="文本框 3" o:spid="_x0000_s1026" o:spt="202" type="#_x0000_t202" style="position:absolute;left:1447165;top:572770;height:315595;width:1597025;" filled="f" stroked="t" coordsize="21600,21600" o:gfxdata="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OtNwTTAAAABQEAAA8AAAAAAAAAAQAgAAAAIgAA&#10;AGRycy9kb3ducmV2LnhtbFBLAQIUABQAAAAIAIdO4kDV/4yFDQIAABkEAAAOAAAAAAAAAAEAIAAA&#10;ACIBAABkcnMvZTJvRG9jLnhtbFBLBQYAAAAABgAGAFkBAAChBQAAAAA=&#10;">
                        <v:fill on="f" focussize="0,0"/>
                        <v:stroke color="#000000" joinstyle="miter"/>
                        <v:imagedata o:title=""/>
                        <o:lock v:ext="edit" aspectratio="f"/>
                        <v:textbox>
                          <w:txbxContent>
                            <w:p w14:paraId="6775765F">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default" w:eastAsia="宋体"/>
                                  <w:sz w:val="21"/>
                                  <w:szCs w:val="21"/>
                                  <w:lang w:val="en-US" w:eastAsia="zh-CN"/>
                                </w:rPr>
                              </w:pPr>
                              <w:r>
                                <w:rPr>
                                  <w:rFonts w:hint="eastAsia"/>
                                  <w:sz w:val="21"/>
                                  <w:szCs w:val="21"/>
                                  <w:lang w:eastAsia="zh-CN"/>
                                </w:rPr>
                                <w:t>设备安装、配套设施建设</w:t>
                              </w:r>
                            </w:p>
                          </w:txbxContent>
                        </v:textbox>
                      </v:shape>
                      <v:shape id="直接箭头连接符 4" o:spid="_x0000_s1026" o:spt="32" type="#_x0000_t32" style="position:absolute;left:2254885;top:276860;flip:y;height:280035;width:4445;" filled="f" stroked="t" coordsize="21600,21600" o:gfxdata="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ZFXknRAAAABQEAAA8AAAAAAAAA&#10;AQAgAAAAIgAAAGRycy9kb3ducmV2LnhtbFBLAQIUABQAAAAIAIdO4kA+De5AGAIAAAcEAAAOAAAA&#10;AAAAAAEAIAAAACABAABkcnMvZTJvRG9jLnhtbFBLBQYAAAAABgAGAFkBAACqBQAAAAA=&#10;">
                        <v:fill on="f" focussize="0,0"/>
                        <v:stroke color="#000000" joinstyle="round" dashstyle="dash" endarrow="block"/>
                        <v:imagedata o:title=""/>
                        <o:lock v:ext="edit" aspectratio="f"/>
                      </v:shape>
                      <v:shape id="文本框 5" o:spid="_x0000_s1026" o:spt="202" type="#_x0000_t202" style="position:absolute;left:1562100;top:0;height:335915;width:1266825;" filled="f" stroked="f" coordsize="21600,21600" o:gfxdata="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9s+jd9MA&#10;AAAFAQAADwAAAAAAAAABACAAAAAiAAAAZHJzL2Rvd25yZXYueG1sUEsBAhQAFAAAAAgAh07iQPIo&#10;KHmyAQAAVQMAAA4AAAAAAAAAAQAgAAAAIgEAAGRycy9lMm9Eb2MueG1sUEsFBgAAAAAGAAYAWQEA&#10;AEYFAAAAAA==&#10;">
                        <v:fill on="f" focussize="0,0"/>
                        <v:stroke on="f"/>
                        <v:imagedata o:title=""/>
                        <o:lock v:ext="edit" aspectratio="f"/>
                        <v:textbox>
                          <w:txbxContent>
                            <w:p w14:paraId="5EDA31BE">
                              <w:pPr>
                                <w:ind w:left="0" w:leftChars="0" w:firstLine="0" w:firstLineChars="0"/>
                                <w:rPr>
                                  <w:sz w:val="21"/>
                                  <w:szCs w:val="21"/>
                                </w:rPr>
                              </w:pPr>
                              <w:r>
                                <w:rPr>
                                  <w:rFonts w:hint="eastAsia"/>
                                  <w:sz w:val="21"/>
                                  <w:szCs w:val="21"/>
                                </w:rPr>
                                <w:t>噪音、粉尘、固废</w:t>
                              </w:r>
                            </w:p>
                            <w:p w14:paraId="3B8656A6">
                              <w:pPr>
                                <w:rPr>
                                  <w:sz w:val="21"/>
                                  <w:szCs w:val="21"/>
                                </w:rPr>
                              </w:pPr>
                            </w:p>
                          </w:txbxContent>
                        </v:textbox>
                      </v:shape>
                      <w10:wrap type="none"/>
                      <w10:anchorlock/>
                    </v:group>
                  </w:pict>
                </mc:Fallback>
              </mc:AlternateContent>
            </w:r>
          </w:p>
          <w:p w14:paraId="19E5F175">
            <w:pPr>
              <w:pStyle w:val="19"/>
              <w:keepNext w:val="0"/>
              <w:keepLines w:val="0"/>
              <w:pageBreakBefore w:val="0"/>
              <w:widowControl w:val="0"/>
              <w:tabs>
                <w:tab w:val="left" w:pos="4830"/>
              </w:tabs>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pacing w:val="8"/>
                <w:sz w:val="21"/>
                <w:szCs w:val="21"/>
                <w:shd w:val="clear" w:color="auto" w:fill="FFFFFF"/>
                <w14:textFill>
                  <w14:solidFill>
                    <w14:schemeClr w14:val="tx1"/>
                  </w14:solidFill>
                </w14:textFill>
              </w:rPr>
              <w:t>图2-</w:t>
            </w:r>
            <w:r>
              <w:rPr>
                <w:rFonts w:hint="default" w:ascii="Times New Roman" w:hAnsi="Times New Roman" w:cs="Times New Roman"/>
                <w:b/>
                <w:bCs/>
                <w:color w:val="000000" w:themeColor="text1"/>
                <w:spacing w:val="8"/>
                <w:sz w:val="21"/>
                <w:szCs w:val="21"/>
                <w:shd w:val="clear" w:color="auto" w:fill="FFFFFF"/>
                <w:lang w:val="en-US" w:eastAsia="zh-CN"/>
                <w14:textFill>
                  <w14:solidFill>
                    <w14:schemeClr w14:val="tx1"/>
                  </w14:solidFill>
                </w14:textFill>
              </w:rPr>
              <w:t>3</w:t>
            </w:r>
            <w:r>
              <w:rPr>
                <w:rFonts w:hint="default" w:ascii="Times New Roman" w:hAnsi="Times New Roman" w:eastAsia="宋体" w:cs="Times New Roman"/>
                <w:b/>
                <w:bCs/>
                <w:color w:val="000000" w:themeColor="text1"/>
                <w:spacing w:val="8"/>
                <w:sz w:val="21"/>
                <w:szCs w:val="21"/>
                <w:shd w:val="clear" w:color="auto" w:fill="FFFFFF"/>
                <w14:textFill>
                  <w14:solidFill>
                    <w14:schemeClr w14:val="tx1"/>
                  </w14:solidFill>
                </w14:textFill>
              </w:rPr>
              <w:t>施工阶段程序及污染流程图</w:t>
            </w:r>
          </w:p>
          <w:p w14:paraId="7337822E">
            <w:pPr>
              <w:pageBreakBefore w:val="0"/>
              <w:numPr>
                <w:ilvl w:val="0"/>
                <w:numId w:val="0"/>
              </w:numPr>
              <w:kinsoku/>
              <w:overflowPunct/>
              <w:topLinePunct w:val="0"/>
              <w:bidi w:val="0"/>
              <w:spacing w:line="360" w:lineRule="auto"/>
              <w:ind w:left="0" w:leftChars="0" w:right="0" w:rightChars="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二、</w:t>
            </w:r>
            <w:r>
              <w:rPr>
                <w:rFonts w:hint="default" w:ascii="Times New Roman" w:hAnsi="Times New Roman" w:cs="Times New Roman"/>
                <w:b/>
                <w:color w:val="000000" w:themeColor="text1"/>
                <w:sz w:val="24"/>
                <w14:textFill>
                  <w14:solidFill>
                    <w14:schemeClr w14:val="tx1"/>
                  </w14:solidFill>
                </w14:textFill>
              </w:rPr>
              <w:t>运营期工艺流程和产排污节点</w:t>
            </w:r>
          </w:p>
          <w:p w14:paraId="0A098E1F">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工艺流程说明：</w:t>
            </w:r>
          </w:p>
          <w:p w14:paraId="312A383A">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cs="Times New Roman"/>
                <w:b/>
                <w:bCs/>
                <w:color w:val="000000" w:themeColor="text1"/>
                <w:sz w:val="24"/>
                <w:lang w:eastAsia="zh-CN" w:bidi="ar"/>
                <w14:textFill>
                  <w14:solidFill>
                    <w14:schemeClr w14:val="tx1"/>
                  </w14:solidFill>
                </w14:textFill>
              </w:rPr>
            </w:pPr>
            <w:r>
              <w:rPr>
                <w:rFonts w:hint="default" w:ascii="Times New Roman" w:hAnsi="Times New Roman" w:cs="Times New Roman"/>
                <w:b/>
                <w:bCs/>
                <w:color w:val="000000" w:themeColor="text1"/>
                <w:sz w:val="24"/>
                <w:lang w:val="en-US" w:eastAsia="zh-CN" w:bidi="ar"/>
                <w14:textFill>
                  <w14:solidFill>
                    <w14:schemeClr w14:val="tx1"/>
                  </w14:solidFill>
                </w14:textFill>
              </w:rPr>
              <w:t>（1）外观检测</w:t>
            </w:r>
          </w:p>
          <w:p w14:paraId="71A0CD56">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cs="Times New Roman"/>
                <w:color w:val="000000" w:themeColor="text1"/>
                <w:sz w:val="24"/>
                <w:lang w:val="en-US" w:eastAsia="zh-CN" w:bidi="ar"/>
                <w14:textFill>
                  <w14:solidFill>
                    <w14:schemeClr w14:val="tx1"/>
                  </w14:solidFill>
                </w14:textFill>
              </w:rPr>
            </w:pPr>
            <w:r>
              <w:rPr>
                <w:rFonts w:hint="default" w:ascii="Times New Roman" w:hAnsi="Times New Roman" w:cs="Times New Roman"/>
                <w:color w:val="000000" w:themeColor="text1"/>
                <w:sz w:val="24"/>
                <w:lang w:val="en-US" w:eastAsia="zh-CN" w:bidi="ar"/>
                <w14:textFill>
                  <w14:solidFill>
                    <w14:schemeClr w14:val="tx1"/>
                  </w14:solidFill>
                </w14:textFill>
              </w:rPr>
              <w:t>逐只检查记录液化石油气钢瓶的制造标志和检验标志。记录的内容包括制造单位名称代号或制造许可编号、</w:t>
            </w:r>
            <w:r>
              <w:rPr>
                <w:rFonts w:hint="eastAsia" w:ascii="Times New Roman" w:hAnsi="Times New Roman" w:cs="Times New Roman"/>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color w:val="000000" w:themeColor="text1"/>
                <w:sz w:val="24"/>
                <w:lang w:val="en-US" w:eastAsia="zh-CN" w:bidi="ar"/>
                <w14:textFill>
                  <w14:solidFill>
                    <w14:schemeClr w14:val="tx1"/>
                  </w14:solidFill>
                </w14:textFill>
              </w:rPr>
              <w:t>编号、制造年月、公称工作压力、水压试验压力、</w:t>
            </w:r>
            <w:r>
              <w:rPr>
                <w:rFonts w:hint="eastAsia" w:ascii="Times New Roman" w:hAnsi="Times New Roman" w:cs="Times New Roman"/>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color w:val="000000" w:themeColor="text1"/>
                <w:sz w:val="24"/>
                <w:lang w:val="en-US" w:eastAsia="zh-CN" w:bidi="ar"/>
                <w14:textFill>
                  <w14:solidFill>
                    <w14:schemeClr w14:val="tx1"/>
                  </w14:solidFill>
                </w14:textFill>
              </w:rPr>
              <w:t>重量，公称容积、瓶体设计壁厚、上次检验日期及检验单位或代号等信息，对进口</w:t>
            </w:r>
            <w:r>
              <w:rPr>
                <w:rFonts w:hint="eastAsia" w:ascii="Times New Roman" w:hAnsi="Times New Roman" w:cs="Times New Roman"/>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color w:val="000000" w:themeColor="text1"/>
                <w:sz w:val="24"/>
                <w:lang w:val="en-US" w:eastAsia="zh-CN" w:bidi="ar"/>
                <w14:textFill>
                  <w14:solidFill>
                    <w14:schemeClr w14:val="tx1"/>
                  </w14:solidFill>
                </w14:textFill>
              </w:rPr>
              <w:t>应当记录国别。</w:t>
            </w:r>
          </w:p>
          <w:p w14:paraId="2EBB9B78">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cs="Times New Roman"/>
                <w:color w:val="000000" w:themeColor="text1"/>
                <w:sz w:val="24"/>
                <w:lang w:val="en-US" w:eastAsia="zh-CN" w:bidi="ar"/>
                <w14:textFill>
                  <w14:solidFill>
                    <w14:schemeClr w14:val="tx1"/>
                  </w14:solidFill>
                </w14:textFill>
              </w:rPr>
            </w:pPr>
            <w:r>
              <w:rPr>
                <w:rFonts w:hint="default" w:ascii="Times New Roman" w:hAnsi="Times New Roman" w:cs="Times New Roman"/>
                <w:color w:val="000000" w:themeColor="text1"/>
                <w:sz w:val="24"/>
                <w:lang w:val="en-US" w:eastAsia="zh-CN" w:bidi="ar"/>
                <w14:textFill>
                  <w14:solidFill>
                    <w14:schemeClr w14:val="tx1"/>
                  </w14:solidFill>
                </w14:textFill>
              </w:rPr>
              <w:t>对于肉眼可见的瓶身变形、裂纹、 缺陷等情况作报废判定，被认定为不能继续使用的</w:t>
            </w:r>
            <w:r>
              <w:rPr>
                <w:rFonts w:hint="eastAsia" w:ascii="Times New Roman" w:hAnsi="Times New Roman" w:cs="Times New Roman"/>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color w:val="000000" w:themeColor="text1"/>
                <w:sz w:val="24"/>
                <w:lang w:val="en-US" w:eastAsia="zh-CN" w:bidi="ar"/>
                <w14:textFill>
                  <w14:solidFill>
                    <w14:schemeClr w14:val="tx1"/>
                  </w14:solidFill>
                </w14:textFill>
              </w:rPr>
              <w:t>以及使用期超过设计使用年限的</w:t>
            </w:r>
            <w:r>
              <w:rPr>
                <w:rFonts w:hint="eastAsia" w:ascii="Times New Roman" w:hAnsi="Times New Roman" w:cs="Times New Roman"/>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color w:val="000000" w:themeColor="text1"/>
                <w:sz w:val="24"/>
                <w:lang w:val="en-US" w:eastAsia="zh-CN" w:bidi="ar"/>
                <w14:textFill>
                  <w14:solidFill>
                    <w14:schemeClr w14:val="tx1"/>
                  </w14:solidFill>
                </w14:textFill>
              </w:rPr>
              <w:t>，按报废处理。对未取得特种设备制造许可的制造企业生产的</w:t>
            </w:r>
            <w:r>
              <w:rPr>
                <w:rFonts w:hint="eastAsia" w:ascii="Times New Roman" w:hAnsi="Times New Roman" w:cs="Times New Roman"/>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color w:val="000000" w:themeColor="text1"/>
                <w:sz w:val="24"/>
                <w:lang w:val="en-US" w:eastAsia="zh-CN" w:bidi="ar"/>
                <w14:textFill>
                  <w14:solidFill>
                    <w14:schemeClr w14:val="tx1"/>
                  </w14:solidFill>
                </w14:textFill>
              </w:rPr>
              <w:t>、制造标志模糊不清或项目不全导致无法评定的</w:t>
            </w:r>
            <w:r>
              <w:rPr>
                <w:rFonts w:hint="eastAsia" w:ascii="Times New Roman" w:hAnsi="Times New Roman" w:cs="Times New Roman"/>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color w:val="000000" w:themeColor="text1"/>
                <w:sz w:val="24"/>
                <w:lang w:val="en-US" w:eastAsia="zh-CN" w:bidi="ar"/>
                <w14:textFill>
                  <w14:solidFill>
                    <w14:schemeClr w14:val="tx1"/>
                  </w14:solidFill>
                </w14:textFill>
              </w:rPr>
              <w:t>、特种设备安全监督管理部门规定不准再用的</w:t>
            </w:r>
            <w:r>
              <w:rPr>
                <w:rFonts w:hint="eastAsia" w:ascii="Times New Roman" w:hAnsi="Times New Roman" w:cs="Times New Roman"/>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color w:val="000000" w:themeColor="text1"/>
                <w:sz w:val="24"/>
                <w:lang w:val="en-US" w:eastAsia="zh-CN" w:bidi="ar"/>
                <w14:textFill>
                  <w14:solidFill>
                    <w14:schemeClr w14:val="tx1"/>
                  </w14:solidFill>
                </w14:textFill>
              </w:rPr>
              <w:t>，记录后不予检验，按报废处理。报废量约10万只。报废</w:t>
            </w:r>
            <w:r>
              <w:rPr>
                <w:rFonts w:hint="eastAsia" w:ascii="Times New Roman" w:hAnsi="Times New Roman" w:cs="Times New Roman"/>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color w:val="000000" w:themeColor="text1"/>
                <w:sz w:val="24"/>
                <w:lang w:val="en-US" w:eastAsia="zh-CN" w:bidi="ar"/>
                <w14:textFill>
                  <w14:solidFill>
                    <w14:schemeClr w14:val="tx1"/>
                  </w14:solidFill>
                </w14:textFill>
              </w:rPr>
              <w:t>残液回收以后进去压扁区压扁处置。</w:t>
            </w:r>
          </w:p>
          <w:p w14:paraId="6558E7D3">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cs="Times New Roman"/>
                <w:b/>
                <w:bCs/>
                <w:color w:val="000000" w:themeColor="text1"/>
                <w:sz w:val="24"/>
                <w:lang w:val="en-US" w:eastAsia="zh-CN" w:bidi="ar"/>
                <w14:textFill>
                  <w14:solidFill>
                    <w14:schemeClr w14:val="tx1"/>
                  </w14:solidFill>
                </w14:textFill>
              </w:rPr>
            </w:pPr>
            <w:r>
              <w:rPr>
                <w:rFonts w:hint="default" w:ascii="Times New Roman" w:hAnsi="Times New Roman" w:cs="Times New Roman"/>
                <w:b/>
                <w:bCs/>
                <w:color w:val="000000" w:themeColor="text1"/>
                <w:sz w:val="24"/>
                <w:lang w:val="en-US" w:eastAsia="zh-CN" w:bidi="ar"/>
                <w14:textFill>
                  <w14:solidFill>
                    <w14:schemeClr w14:val="tx1"/>
                  </w14:solidFill>
                </w14:textFill>
              </w:rPr>
              <w:t>（2）残液、</w:t>
            </w:r>
            <w:r>
              <w:rPr>
                <w:rFonts w:hint="eastAsia" w:cs="Times New Roman"/>
                <w:b/>
                <w:bCs/>
                <w:color w:val="000000" w:themeColor="text1"/>
                <w:sz w:val="24"/>
                <w:lang w:val="en-US" w:eastAsia="zh-CN" w:bidi="ar"/>
                <w14:textFill>
                  <w14:solidFill>
                    <w14:schemeClr w14:val="tx1"/>
                  </w14:solidFill>
                </w14:textFill>
              </w:rPr>
              <w:t>残液回收</w:t>
            </w:r>
          </w:p>
          <w:p w14:paraId="132F3B45">
            <w:pPr>
              <w:pageBreakBefore w:val="0"/>
              <w:kinsoku/>
              <w:overflowPunct/>
              <w:topLinePunct w:val="0"/>
              <w:bidi w:val="0"/>
              <w:adjustRightInd w:val="0"/>
              <w:snapToGrid w:val="0"/>
              <w:spacing w:line="360" w:lineRule="auto"/>
              <w:ind w:left="0" w:leftChars="0" w:right="0" w:firstLine="480" w:firstLineChars="200"/>
              <w:rPr>
                <w:rFonts w:hint="eastAsia" w:ascii="Times New Roman" w:hAnsi="Times New Roman" w:cs="Times New Roman"/>
                <w:color w:val="000000" w:themeColor="text1"/>
                <w:sz w:val="24"/>
                <w:lang w:val="en-US" w:eastAsia="zh-CN" w:bidi="ar"/>
                <w14:textFill>
                  <w14:solidFill>
                    <w14:schemeClr w14:val="tx1"/>
                  </w14:solidFill>
                </w14:textFill>
              </w:rPr>
            </w:pPr>
            <w:r>
              <w:rPr>
                <w:rFonts w:hint="default" w:ascii="Times New Roman" w:hAnsi="Times New Roman" w:cs="Times New Roman"/>
                <w:color w:val="000000" w:themeColor="text1"/>
                <w:sz w:val="24"/>
                <w:lang w:val="en-US" w:eastAsia="zh-CN" w:bidi="ar"/>
                <w14:textFill>
                  <w14:solidFill>
                    <w14:schemeClr w14:val="tx1"/>
                  </w14:solidFill>
                </w14:textFill>
              </w:rPr>
              <w:t>报废的</w:t>
            </w:r>
            <w:r>
              <w:rPr>
                <w:rFonts w:hint="eastAsia" w:ascii="Times New Roman" w:hAnsi="Times New Roman" w:cs="Times New Roman"/>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color w:val="000000" w:themeColor="text1"/>
                <w:sz w:val="24"/>
                <w:lang w:val="en-US" w:eastAsia="zh-CN" w:bidi="ar"/>
                <w14:textFill>
                  <w14:solidFill>
                    <w14:schemeClr w14:val="tx1"/>
                  </w14:solidFill>
                </w14:textFill>
              </w:rPr>
              <w:t>与待检验</w:t>
            </w:r>
            <w:r>
              <w:rPr>
                <w:rFonts w:hint="eastAsia" w:ascii="Times New Roman" w:hAnsi="Times New Roman" w:cs="Times New Roman"/>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color w:val="000000" w:themeColor="text1"/>
                <w:sz w:val="24"/>
                <w:lang w:val="en-US" w:eastAsia="zh-CN" w:bidi="ar"/>
                <w14:textFill>
                  <w14:solidFill>
                    <w14:schemeClr w14:val="tx1"/>
                  </w14:solidFill>
                </w14:textFill>
              </w:rPr>
              <w:t>内有少量的液化石油气残液，需逐只回收瓶内残液，采用液化气残液回收装置进行回收处理。</w:t>
            </w:r>
            <w:r>
              <w:rPr>
                <w:rFonts w:hint="eastAsia" w:cs="Times New Roman"/>
                <w:color w:val="000000" w:themeColor="text1"/>
                <w:sz w:val="24"/>
                <w:lang w:val="en-US" w:eastAsia="zh-CN" w:bidi="ar"/>
                <w14:textFill>
                  <w14:solidFill>
                    <w14:schemeClr w14:val="tx1"/>
                  </w14:solidFill>
                </w14:textFill>
              </w:rPr>
              <w:t>残液经收集后进入残液回收</w:t>
            </w:r>
            <w:r>
              <w:rPr>
                <w:rFonts w:hint="default" w:ascii="Times New Roman" w:hAnsi="Times New Roman" w:cs="Times New Roman"/>
                <w:color w:val="000000" w:themeColor="text1"/>
                <w:sz w:val="24"/>
                <w:lang w:val="en-US" w:eastAsia="zh-CN" w:bidi="ar"/>
                <w14:textFill>
                  <w14:solidFill>
                    <w14:schemeClr w14:val="tx1"/>
                  </w14:solidFill>
                </w14:textFill>
              </w:rPr>
              <w:t>管道，直接进入</w:t>
            </w:r>
            <w:r>
              <w:rPr>
                <w:rFonts w:hint="eastAsia" w:cs="Times New Roman"/>
                <w:color w:val="000000" w:themeColor="text1"/>
                <w:sz w:val="24"/>
                <w:lang w:val="en-US" w:eastAsia="zh-CN" w:bidi="ar"/>
                <w14:textFill>
                  <w14:solidFill>
                    <w14:schemeClr w14:val="tx1"/>
                  </w14:solidFill>
                </w14:textFill>
              </w:rPr>
              <w:t>烘干固化</w:t>
            </w:r>
            <w:r>
              <w:rPr>
                <w:rFonts w:hint="default" w:ascii="Times New Roman" w:hAnsi="Times New Roman" w:cs="Times New Roman"/>
                <w:color w:val="000000" w:themeColor="text1"/>
                <w:sz w:val="24"/>
                <w:lang w:val="en-US" w:eastAsia="zh-CN" w:bidi="ar"/>
                <w14:textFill>
                  <w14:solidFill>
                    <w14:schemeClr w14:val="tx1"/>
                  </w14:solidFill>
                </w14:textFill>
              </w:rPr>
              <w:t>炉</w:t>
            </w:r>
            <w:r>
              <w:rPr>
                <w:rFonts w:hint="eastAsia" w:cs="Times New Roman"/>
                <w:color w:val="000000" w:themeColor="text1"/>
                <w:sz w:val="24"/>
                <w:lang w:val="en-US" w:eastAsia="zh-CN" w:bidi="ar"/>
                <w14:textFill>
                  <w14:solidFill>
                    <w14:schemeClr w14:val="tx1"/>
                  </w14:solidFill>
                </w14:textFill>
              </w:rPr>
              <w:t>作为燃料使用</w:t>
            </w:r>
            <w:r>
              <w:rPr>
                <w:rFonts w:hint="default" w:ascii="Times New Roman" w:hAnsi="Times New Roman" w:cs="Times New Roman"/>
                <w:color w:val="000000" w:themeColor="text1"/>
                <w:sz w:val="24"/>
                <w:lang w:val="en-US" w:eastAsia="zh-CN" w:bidi="ar"/>
                <w14:textFill>
                  <w14:solidFill>
                    <w14:schemeClr w14:val="tx1"/>
                  </w14:solidFill>
                </w14:textFill>
              </w:rPr>
              <w:t>。</w:t>
            </w:r>
          </w:p>
          <w:p w14:paraId="6E2C2E19">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cs="Times New Roman"/>
                <w:color w:val="000000" w:themeColor="text1"/>
                <w:sz w:val="24"/>
                <w:lang w:val="en-US" w:eastAsia="zh-CN" w:bidi="ar"/>
                <w14:textFill>
                  <w14:solidFill>
                    <w14:schemeClr w14:val="tx1"/>
                  </w14:solidFill>
                </w14:textFill>
              </w:rPr>
            </w:pPr>
            <w:r>
              <w:rPr>
                <w:rFonts w:hint="default" w:ascii="Times New Roman" w:hAnsi="Times New Roman" w:cs="Times New Roman"/>
                <w:color w:val="000000" w:themeColor="text1"/>
                <w:sz w:val="24"/>
                <w:lang w:val="en-US" w:eastAsia="zh-CN" w:bidi="ar"/>
                <w14:textFill>
                  <w14:solidFill>
                    <w14:schemeClr w14:val="tx1"/>
                  </w14:solidFill>
                </w14:textFill>
              </w:rPr>
              <w:t>残气、残液回收</w:t>
            </w:r>
            <w:r>
              <w:rPr>
                <w:rFonts w:hint="eastAsia" w:ascii="Times New Roman" w:hAnsi="Times New Roman" w:cs="Times New Roman"/>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color w:val="000000" w:themeColor="text1"/>
                <w:sz w:val="24"/>
                <w:lang w:val="en-US" w:eastAsia="zh-CN" w:bidi="ar"/>
                <w14:textFill>
                  <w14:solidFill>
                    <w14:schemeClr w14:val="tx1"/>
                  </w14:solidFill>
                </w14:textFill>
              </w:rPr>
              <w:t>量为30万只，其中包括10万只报废</w:t>
            </w:r>
            <w:r>
              <w:rPr>
                <w:rFonts w:hint="eastAsia" w:ascii="Times New Roman" w:hAnsi="Times New Roman" w:cs="Times New Roman"/>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color w:val="000000" w:themeColor="text1"/>
                <w:sz w:val="24"/>
                <w:lang w:val="en-US" w:eastAsia="zh-CN" w:bidi="ar"/>
                <w14:textFill>
                  <w14:solidFill>
                    <w14:schemeClr w14:val="tx1"/>
                  </w14:solidFill>
                </w14:textFill>
              </w:rPr>
              <w:t>、20万只检测</w:t>
            </w:r>
            <w:r>
              <w:rPr>
                <w:rFonts w:hint="eastAsia" w:ascii="Times New Roman" w:hAnsi="Times New Roman" w:cs="Times New Roman"/>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color w:val="000000" w:themeColor="text1"/>
                <w:sz w:val="24"/>
                <w:lang w:val="en-US" w:eastAsia="zh-CN" w:bidi="ar"/>
                <w14:textFill>
                  <w14:solidFill>
                    <w14:schemeClr w14:val="tx1"/>
                  </w14:solidFill>
                </w14:textFill>
              </w:rPr>
              <w:t>。主要污染为</w:t>
            </w:r>
            <w:r>
              <w:rPr>
                <w:rFonts w:hint="eastAsia" w:cs="Times New Roman"/>
                <w:color w:val="000000" w:themeColor="text1"/>
                <w:sz w:val="24"/>
                <w:lang w:val="en-US" w:eastAsia="zh-CN" w:bidi="ar"/>
                <w14:textFill>
                  <w14:solidFill>
                    <w14:schemeClr w14:val="tx1"/>
                  </w14:solidFill>
                </w14:textFill>
              </w:rPr>
              <w:t>无组织</w:t>
            </w:r>
            <w:r>
              <w:rPr>
                <w:rFonts w:hint="default" w:ascii="Times New Roman" w:hAnsi="Times New Roman" w:cs="Times New Roman"/>
                <w:color w:val="000000" w:themeColor="text1"/>
                <w:sz w:val="24"/>
                <w:lang w:val="en-US" w:eastAsia="zh-CN" w:bidi="ar"/>
                <w14:textFill>
                  <w14:solidFill>
                    <w14:schemeClr w14:val="tx1"/>
                  </w14:solidFill>
                </w14:textFill>
              </w:rPr>
              <w:t>非甲烷总烃、噪声。</w:t>
            </w:r>
          </w:p>
          <w:p w14:paraId="69928183">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cs="Times New Roman"/>
                <w:b/>
                <w:bCs/>
                <w:color w:val="000000" w:themeColor="text1"/>
                <w:sz w:val="24"/>
                <w:lang w:val="en-US" w:eastAsia="zh-CN" w:bidi="ar"/>
                <w14:textFill>
                  <w14:solidFill>
                    <w14:schemeClr w14:val="tx1"/>
                  </w14:solidFill>
                </w14:textFill>
              </w:rPr>
            </w:pPr>
            <w:r>
              <w:rPr>
                <w:rFonts w:hint="default" w:ascii="Times New Roman" w:hAnsi="Times New Roman" w:cs="Times New Roman"/>
                <w:b/>
                <w:bCs/>
                <w:color w:val="000000" w:themeColor="text1"/>
                <w:sz w:val="24"/>
                <w:lang w:val="en-US" w:eastAsia="zh-CN" w:bidi="ar"/>
                <w14:textFill>
                  <w14:solidFill>
                    <w14:schemeClr w14:val="tx1"/>
                  </w14:solidFill>
                </w14:textFill>
              </w:rPr>
              <w:t>（3）拆卸角阀</w:t>
            </w:r>
          </w:p>
          <w:p w14:paraId="11B0103F">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bidi="ar"/>
                <w14:textFill>
                  <w14:solidFill>
                    <w14:schemeClr w14:val="tx1"/>
                  </w14:solidFill>
                </w14:textFill>
              </w:rPr>
            </w:pPr>
            <w:r>
              <w:rPr>
                <w:rFonts w:hint="eastAsia" w:ascii="Times New Roman" w:hAnsi="Times New Roman" w:eastAsia="宋体" w:cs="Times New Roman"/>
                <w:color w:val="000000" w:themeColor="text1"/>
                <w:sz w:val="24"/>
                <w:lang w:val="en-US" w:eastAsia="zh-CN" w:bidi="ar"/>
                <w14:textFill>
                  <w14:solidFill>
                    <w14:schemeClr w14:val="tx1"/>
                  </w14:solidFill>
                </w14:textFill>
              </w:rPr>
              <w:t>液化石油气钢瓶</w:t>
            </w:r>
            <w:r>
              <w:rPr>
                <w:rFonts w:hint="default" w:ascii="Times New Roman" w:hAnsi="Times New Roman" w:eastAsia="宋体" w:cs="Times New Roman"/>
                <w:color w:val="000000" w:themeColor="text1"/>
                <w:sz w:val="24"/>
                <w:lang w:val="en-US" w:eastAsia="zh-CN" w:bidi="ar"/>
                <w14:textFill>
                  <w14:solidFill>
                    <w14:schemeClr w14:val="tx1"/>
                  </w14:solidFill>
                </w14:textFill>
              </w:rPr>
              <w:t>残液回收后进行角阀拆卸，</w:t>
            </w:r>
            <w:r>
              <w:rPr>
                <w:rFonts w:hint="eastAsia" w:ascii="Times New Roman" w:hAnsi="Times New Roman" w:eastAsia="宋体" w:cs="Times New Roman"/>
                <w:color w:val="000000" w:themeColor="text1"/>
                <w:sz w:val="24"/>
                <w:lang w:val="en-US" w:eastAsia="zh-CN" w:bidi="ar"/>
                <w14:textFill>
                  <w14:solidFill>
                    <w14:schemeClr w14:val="tx1"/>
                  </w14:solidFill>
                </w14:textFill>
              </w:rPr>
              <w:t>液化石油气钢瓶</w:t>
            </w:r>
            <w:r>
              <w:rPr>
                <w:rFonts w:hint="default" w:ascii="Times New Roman" w:hAnsi="Times New Roman" w:eastAsia="宋体" w:cs="Times New Roman"/>
                <w:color w:val="000000" w:themeColor="text1"/>
                <w:sz w:val="24"/>
                <w:lang w:val="en-US" w:eastAsia="zh-CN" w:bidi="ar"/>
                <w14:textFill>
                  <w14:solidFill>
                    <w14:schemeClr w14:val="tx1"/>
                  </w14:solidFill>
                </w14:textFill>
              </w:rPr>
              <w:t>角阀拆卸量为30万只。</w:t>
            </w:r>
            <w:r>
              <w:rPr>
                <w:rFonts w:hint="default" w:ascii="Times New Roman" w:hAnsi="Times New Roman" w:cs="Times New Roman"/>
                <w:color w:val="000000" w:themeColor="text1"/>
                <w:sz w:val="24"/>
                <w:lang w:val="en-US" w:eastAsia="zh-CN" w:bidi="ar"/>
                <w14:textFill>
                  <w14:solidFill>
                    <w14:schemeClr w14:val="tx1"/>
                  </w14:solidFill>
                </w14:textFill>
              </w:rPr>
              <w:t>主要污染为</w:t>
            </w:r>
            <w:r>
              <w:rPr>
                <w:rFonts w:hint="eastAsia" w:cs="Times New Roman"/>
                <w:color w:val="000000" w:themeColor="text1"/>
                <w:sz w:val="24"/>
                <w:lang w:val="en-US" w:eastAsia="zh-CN" w:bidi="ar"/>
                <w14:textFill>
                  <w14:solidFill>
                    <w14:schemeClr w14:val="tx1"/>
                  </w14:solidFill>
                </w14:textFill>
              </w:rPr>
              <w:t>无组织</w:t>
            </w:r>
            <w:r>
              <w:rPr>
                <w:rFonts w:hint="default" w:ascii="Times New Roman" w:hAnsi="Times New Roman" w:cs="Times New Roman"/>
                <w:color w:val="000000" w:themeColor="text1"/>
                <w:sz w:val="24"/>
                <w:lang w:val="en-US" w:eastAsia="zh-CN" w:bidi="ar"/>
                <w14:textFill>
                  <w14:solidFill>
                    <w14:schemeClr w14:val="tx1"/>
                  </w14:solidFill>
                </w14:textFill>
              </w:rPr>
              <w:t>非甲烷总烃</w:t>
            </w:r>
            <w:r>
              <w:rPr>
                <w:rFonts w:hint="eastAsia" w:cs="Times New Roman"/>
                <w:color w:val="000000" w:themeColor="text1"/>
                <w:sz w:val="24"/>
                <w:lang w:val="en-US" w:eastAsia="zh-CN" w:bidi="ar"/>
                <w14:textFill>
                  <w14:solidFill>
                    <w14:schemeClr w14:val="tx1"/>
                  </w14:solidFill>
                </w14:textFill>
              </w:rPr>
              <w:t>。</w:t>
            </w:r>
          </w:p>
          <w:p w14:paraId="4DB60FC5">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cs="Times New Roman"/>
                <w:b/>
                <w:bCs/>
                <w:color w:val="000000" w:themeColor="text1"/>
                <w:sz w:val="24"/>
                <w:lang w:val="en-US" w:eastAsia="zh-CN" w:bidi="ar"/>
                <w14:textFill>
                  <w14:solidFill>
                    <w14:schemeClr w14:val="tx1"/>
                  </w14:solidFill>
                </w14:textFill>
              </w:rPr>
            </w:pPr>
            <w:r>
              <w:rPr>
                <w:rFonts w:hint="default" w:ascii="Times New Roman" w:hAnsi="Times New Roman" w:cs="Times New Roman"/>
                <w:b/>
                <w:bCs/>
                <w:color w:val="000000" w:themeColor="text1"/>
                <w:sz w:val="24"/>
                <w:lang w:val="en-US" w:eastAsia="zh-CN" w:bidi="ar"/>
                <w14:textFill>
                  <w14:solidFill>
                    <w14:schemeClr w14:val="tx1"/>
                  </w14:solidFill>
                </w14:textFill>
              </w:rPr>
              <w:t>（4）表面焚烧</w:t>
            </w:r>
          </w:p>
          <w:p w14:paraId="673E8C44">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cs="Times New Roman"/>
                <w:color w:val="000000" w:themeColor="text1"/>
                <w:sz w:val="24"/>
                <w:lang w:val="en-US" w:eastAsia="zh-CN" w:bidi="ar"/>
                <w14:textFill>
                  <w14:solidFill>
                    <w14:schemeClr w14:val="tx1"/>
                  </w14:solidFill>
                </w14:textFill>
              </w:rPr>
            </w:pPr>
            <w:r>
              <w:rPr>
                <w:rFonts w:hint="eastAsia" w:ascii="Times New Roman" w:hAnsi="Times New Roman" w:cs="Times New Roman"/>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color w:val="000000" w:themeColor="text1"/>
                <w:sz w:val="24"/>
                <w:lang w:val="en-US" w:eastAsia="zh-CN" w:bidi="ar"/>
                <w14:textFill>
                  <w14:solidFill>
                    <w14:schemeClr w14:val="tx1"/>
                  </w14:solidFill>
                </w14:textFill>
              </w:rPr>
              <w:t>送至焚烧炉内进行表面焚烧，分为3个温区：预热区（110°C~300°C）、燃烧区（300°C~560°C）、</w:t>
            </w:r>
            <w:r>
              <w:rPr>
                <w:rFonts w:hint="eastAsia" w:ascii="Times New Roman" w:hAnsi="Times New Roman" w:cs="Times New Roman"/>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color w:val="000000" w:themeColor="text1"/>
                <w:sz w:val="24"/>
                <w:lang w:val="en-US" w:eastAsia="zh-CN" w:bidi="ar"/>
                <w14:textFill>
                  <w14:solidFill>
                    <w14:schemeClr w14:val="tx1"/>
                  </w14:solidFill>
                </w14:textFill>
              </w:rPr>
              <w:t>降温区（560°C-150°C），气瓶在焚烧炉内呈均匀低速、连续、水平运行，炉内运行时间约2分钟。从而达到焚烧的目的。</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设备每天运行时间约为8h，</w:t>
            </w:r>
            <w:r>
              <w:rPr>
                <w:rFonts w:hint="eastAsia" w:ascii="Times New Roman" w:hAnsi="Times New Roman" w:cs="Times New Roman"/>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color w:val="000000" w:themeColor="text1"/>
                <w:sz w:val="24"/>
                <w:lang w:val="en-US" w:eastAsia="zh-CN" w:bidi="ar"/>
                <w14:textFill>
                  <w14:solidFill>
                    <w14:schemeClr w14:val="tx1"/>
                  </w14:solidFill>
                </w14:textFill>
              </w:rPr>
              <w:t>经过焚烧后可以有效清理表面杂质，还可以使</w:t>
            </w:r>
            <w:r>
              <w:rPr>
                <w:rFonts w:hint="eastAsia" w:ascii="Times New Roman" w:hAnsi="Times New Roman" w:cs="Times New Roman"/>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color w:val="000000" w:themeColor="text1"/>
                <w:sz w:val="24"/>
                <w:lang w:val="en-US" w:eastAsia="zh-CN" w:bidi="ar"/>
                <w14:textFill>
                  <w14:solidFill>
                    <w14:schemeClr w14:val="tx1"/>
                  </w14:solidFill>
                </w14:textFill>
              </w:rPr>
              <w:t>表面的锈蚀物和涂敷物完全碳化，提高表面清理效率。焚烧</w:t>
            </w:r>
            <w:r>
              <w:rPr>
                <w:rFonts w:hint="eastAsia" w:ascii="Times New Roman" w:hAnsi="Times New Roman" w:cs="Times New Roman"/>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color w:val="000000" w:themeColor="text1"/>
                <w:sz w:val="24"/>
                <w:lang w:val="en-US" w:eastAsia="zh-CN" w:bidi="ar"/>
                <w14:textFill>
                  <w14:solidFill>
                    <w14:schemeClr w14:val="tx1"/>
                  </w14:solidFill>
                </w14:textFill>
              </w:rPr>
              <w:t>量为20万只。主要污染为焚烧炉废气（颗粒物、SO</w:t>
            </w:r>
            <w:r>
              <w:rPr>
                <w:rFonts w:hint="default" w:ascii="Times New Roman" w:hAnsi="Times New Roman" w:cs="Times New Roman"/>
                <w:color w:val="000000" w:themeColor="text1"/>
                <w:sz w:val="24"/>
                <w:vertAlign w:val="subscript"/>
                <w:lang w:val="en-US" w:eastAsia="zh-CN" w:bidi="ar"/>
                <w14:textFill>
                  <w14:solidFill>
                    <w14:schemeClr w14:val="tx1"/>
                  </w14:solidFill>
                </w14:textFill>
              </w:rPr>
              <w:t>2</w:t>
            </w:r>
            <w:r>
              <w:rPr>
                <w:rFonts w:hint="default" w:ascii="Times New Roman" w:hAnsi="Times New Roman" w:cs="Times New Roman"/>
                <w:color w:val="000000" w:themeColor="text1"/>
                <w:sz w:val="24"/>
                <w:lang w:val="en-US" w:eastAsia="zh-CN" w:bidi="ar"/>
                <w14:textFill>
                  <w14:solidFill>
                    <w14:schemeClr w14:val="tx1"/>
                  </w14:solidFill>
                </w14:textFill>
              </w:rPr>
              <w:t>、NO</w:t>
            </w:r>
            <w:r>
              <w:rPr>
                <w:rFonts w:hint="default" w:ascii="Times New Roman" w:hAnsi="Times New Roman" w:cs="Times New Roman"/>
                <w:color w:val="000000" w:themeColor="text1"/>
                <w:sz w:val="24"/>
                <w:vertAlign w:val="subscript"/>
                <w:lang w:val="en-US" w:eastAsia="zh-CN" w:bidi="ar"/>
                <w14:textFill>
                  <w14:solidFill>
                    <w14:schemeClr w14:val="tx1"/>
                  </w14:solidFill>
                </w14:textFill>
              </w:rPr>
              <w:t>X</w:t>
            </w:r>
            <w:r>
              <w:rPr>
                <w:rFonts w:hint="eastAsia" w:cs="Times New Roman"/>
                <w:color w:val="000000" w:themeColor="text1"/>
                <w:sz w:val="24"/>
                <w:lang w:val="en-US" w:eastAsia="zh-CN" w:bidi="ar"/>
                <w14:textFill>
                  <w14:solidFill>
                    <w14:schemeClr w14:val="tx1"/>
                  </w14:solidFill>
                </w14:textFill>
              </w:rPr>
              <w:t>、微量非甲烷总烃</w:t>
            </w:r>
            <w:r>
              <w:rPr>
                <w:rFonts w:hint="default" w:ascii="Times New Roman" w:hAnsi="Times New Roman" w:cs="Times New Roman"/>
                <w:color w:val="000000" w:themeColor="text1"/>
                <w:sz w:val="24"/>
                <w:lang w:val="en-US" w:eastAsia="zh-CN" w:bidi="ar"/>
                <w14:textFill>
                  <w14:solidFill>
                    <w14:schemeClr w14:val="tx1"/>
                  </w14:solidFill>
                </w14:textFill>
              </w:rPr>
              <w:t>）、噪声。</w:t>
            </w:r>
          </w:p>
          <w:p w14:paraId="3B52C6A2">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cs="Times New Roman"/>
                <w:b/>
                <w:bCs/>
                <w:color w:val="000000" w:themeColor="text1"/>
                <w:sz w:val="24"/>
                <w:lang w:val="en-US" w:eastAsia="zh-CN" w:bidi="ar"/>
                <w14:textFill>
                  <w14:solidFill>
                    <w14:schemeClr w14:val="tx1"/>
                  </w14:solidFill>
                </w14:textFill>
              </w:rPr>
            </w:pPr>
            <w:r>
              <w:rPr>
                <w:rFonts w:hint="default" w:ascii="Times New Roman" w:hAnsi="Times New Roman" w:cs="Times New Roman"/>
                <w:b/>
                <w:bCs/>
                <w:color w:val="000000" w:themeColor="text1"/>
                <w:sz w:val="24"/>
                <w:lang w:val="en-US" w:eastAsia="zh-CN" w:bidi="ar"/>
                <w14:textFill>
                  <w14:solidFill>
                    <w14:schemeClr w14:val="tx1"/>
                  </w14:solidFill>
                </w14:textFill>
              </w:rPr>
              <w:t>（5）水压试验</w:t>
            </w:r>
          </w:p>
          <w:p w14:paraId="0C0BD347">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cs="Times New Roman"/>
                <w:b w:val="0"/>
                <w:bCs w:val="0"/>
                <w:color w:val="000000" w:themeColor="text1"/>
                <w:sz w:val="24"/>
                <w:lang w:val="en-US" w:eastAsia="zh-CN" w:bidi="ar"/>
                <w14:textFill>
                  <w14:solidFill>
                    <w14:schemeClr w14:val="tx1"/>
                  </w14:solidFill>
                </w14:textFill>
              </w:rPr>
            </w:pPr>
            <w:r>
              <w:rPr>
                <w:rFonts w:hint="default" w:ascii="Times New Roman" w:hAnsi="Times New Roman" w:cs="Times New Roman"/>
                <w:b w:val="0"/>
                <w:bCs w:val="0"/>
                <w:color w:val="000000" w:themeColor="text1"/>
                <w:sz w:val="24"/>
                <w:lang w:val="en-US" w:eastAsia="zh-CN" w:bidi="ar"/>
                <w14:textFill>
                  <w14:solidFill>
                    <w14:schemeClr w14:val="tx1"/>
                  </w14:solidFill>
                </w14:textFill>
              </w:rPr>
              <w:t>使用年限在8年以上，12年以下的</w:t>
            </w:r>
            <w:r>
              <w:rPr>
                <w:rFonts w:hint="eastAsia" w:ascii="Times New Roman" w:hAnsi="Times New Roman" w:cs="Times New Roman"/>
                <w:b w:val="0"/>
                <w:bCs w:val="0"/>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需进行水压试验，使用水压试验装置按照相关技术要求对</w:t>
            </w:r>
            <w:r>
              <w:rPr>
                <w:rFonts w:hint="eastAsia" w:ascii="Times New Roman" w:hAnsi="Times New Roman" w:cs="Times New Roman"/>
                <w:b w:val="0"/>
                <w:bCs w:val="0"/>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进行水压试验，按照相关标准规范判定是否合格，合格品进入后续检测。水压试验</w:t>
            </w:r>
            <w:r>
              <w:rPr>
                <w:rFonts w:hint="eastAsia" w:ascii="Times New Roman" w:hAnsi="Times New Roman" w:cs="Times New Roman"/>
                <w:b w:val="0"/>
                <w:bCs w:val="0"/>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预计检测量约占检测</w:t>
            </w:r>
            <w:r>
              <w:rPr>
                <w:rFonts w:hint="eastAsia" w:ascii="Times New Roman" w:hAnsi="Times New Roman" w:cs="Times New Roman"/>
                <w:b w:val="0"/>
                <w:bCs w:val="0"/>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的20%，即水压试验</w:t>
            </w:r>
            <w:r>
              <w:rPr>
                <w:rFonts w:hint="eastAsia" w:ascii="Times New Roman" w:hAnsi="Times New Roman" w:cs="Times New Roman"/>
                <w:b w:val="0"/>
                <w:bCs w:val="0"/>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约4万只，淘汰约3500只不合格</w:t>
            </w:r>
            <w:r>
              <w:rPr>
                <w:rFonts w:hint="eastAsia" w:ascii="Times New Roman" w:hAnsi="Times New Roman" w:cs="Times New Roman"/>
                <w:b w:val="0"/>
                <w:bCs w:val="0"/>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。水压试验、气密试验用水循环使用不外排。</w:t>
            </w:r>
          </w:p>
          <w:p w14:paraId="0EAF08CB">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cs="Times New Roman"/>
                <w:b/>
                <w:bCs/>
                <w:color w:val="000000" w:themeColor="text1"/>
                <w:sz w:val="24"/>
                <w:lang w:val="en-US" w:eastAsia="zh-CN" w:bidi="ar"/>
                <w14:textFill>
                  <w14:solidFill>
                    <w14:schemeClr w14:val="tx1"/>
                  </w14:solidFill>
                </w14:textFill>
              </w:rPr>
            </w:pPr>
            <w:r>
              <w:rPr>
                <w:rFonts w:hint="default" w:ascii="Times New Roman" w:hAnsi="Times New Roman" w:cs="Times New Roman"/>
                <w:b/>
                <w:bCs/>
                <w:color w:val="000000" w:themeColor="text1"/>
                <w:sz w:val="24"/>
                <w:lang w:val="en-US" w:eastAsia="zh-CN" w:bidi="ar"/>
                <w14:textFill>
                  <w14:solidFill>
                    <w14:schemeClr w14:val="tx1"/>
                  </w14:solidFill>
                </w14:textFill>
              </w:rPr>
              <w:t>（6）抛丸除锈</w:t>
            </w:r>
          </w:p>
          <w:p w14:paraId="59B71F10">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cs="Times New Roman"/>
                <w:b w:val="0"/>
                <w:bCs w:val="0"/>
                <w:color w:val="000000" w:themeColor="text1"/>
                <w:sz w:val="24"/>
                <w:lang w:val="en-US" w:eastAsia="zh-CN" w:bidi="ar"/>
                <w14:textFill>
                  <w14:solidFill>
                    <w14:schemeClr w14:val="tx1"/>
                  </w14:solidFill>
                </w14:textFill>
              </w:rPr>
            </w:pPr>
            <w:r>
              <w:rPr>
                <w:rFonts w:hint="default" w:ascii="Times New Roman" w:hAnsi="Times New Roman" w:cs="Times New Roman"/>
                <w:b w:val="0"/>
                <w:bCs w:val="0"/>
                <w:color w:val="000000" w:themeColor="text1"/>
                <w:sz w:val="24"/>
                <w:lang w:val="en-US" w:eastAsia="zh-CN" w:bidi="ar"/>
                <w14:textFill>
                  <w14:solidFill>
                    <w14:schemeClr w14:val="tx1"/>
                  </w14:solidFill>
                </w14:textFill>
              </w:rPr>
              <w:t>焚烧完成后的</w:t>
            </w:r>
            <w:r>
              <w:rPr>
                <w:rFonts w:hint="eastAsia" w:ascii="Times New Roman" w:hAnsi="Times New Roman" w:cs="Times New Roman"/>
                <w:b w:val="0"/>
                <w:bCs w:val="0"/>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利用高速运动的钢丸流连续冲击工件表面，去除表面氧化皮等杂质提高外观质量。</w:t>
            </w:r>
            <w:r>
              <w:rPr>
                <w:rFonts w:hint="eastAsia" w:ascii="Times New Roman" w:hAnsi="Times New Roman" w:cs="Times New Roman"/>
                <w:b w:val="0"/>
                <w:bCs w:val="0"/>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量为19.65万只。主要污染为抛丸颗粒物、噪声、废钢丸。</w:t>
            </w:r>
          </w:p>
          <w:p w14:paraId="641EFEAF">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cs="Times New Roman"/>
                <w:b/>
                <w:bCs/>
                <w:color w:val="000000" w:themeColor="text1"/>
                <w:sz w:val="24"/>
                <w:lang w:val="en-US" w:eastAsia="zh-CN" w:bidi="ar"/>
                <w14:textFill>
                  <w14:solidFill>
                    <w14:schemeClr w14:val="tx1"/>
                  </w14:solidFill>
                </w14:textFill>
              </w:rPr>
            </w:pPr>
            <w:r>
              <w:rPr>
                <w:rFonts w:hint="default" w:ascii="Times New Roman" w:hAnsi="Times New Roman" w:cs="Times New Roman"/>
                <w:b/>
                <w:bCs/>
                <w:color w:val="000000" w:themeColor="text1"/>
                <w:sz w:val="24"/>
                <w:lang w:val="en-US" w:eastAsia="zh-CN" w:bidi="ar"/>
                <w14:textFill>
                  <w14:solidFill>
                    <w14:schemeClr w14:val="tx1"/>
                  </w14:solidFill>
                </w14:textFill>
              </w:rPr>
              <w:t>（7）外观复检、壁厚测定</w:t>
            </w:r>
          </w:p>
          <w:p w14:paraId="36BCC614">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cs="Times New Roman"/>
                <w:b w:val="0"/>
                <w:bCs w:val="0"/>
                <w:color w:val="000000" w:themeColor="text1"/>
                <w:sz w:val="24"/>
                <w:lang w:val="en-US" w:eastAsia="zh-CN" w:bidi="ar"/>
                <w14:textFill>
                  <w14:solidFill>
                    <w14:schemeClr w14:val="tx1"/>
                  </w14:solidFill>
                </w14:textFill>
              </w:rPr>
            </w:pPr>
            <w:r>
              <w:rPr>
                <w:rFonts w:hint="default" w:ascii="Times New Roman" w:hAnsi="Times New Roman" w:cs="Times New Roman"/>
                <w:b w:val="0"/>
                <w:bCs w:val="0"/>
                <w:color w:val="000000" w:themeColor="text1"/>
                <w:sz w:val="24"/>
                <w:lang w:val="en-US" w:eastAsia="zh-CN" w:bidi="ar"/>
                <w14:textFill>
                  <w14:solidFill>
                    <w14:schemeClr w14:val="tx1"/>
                  </w14:solidFill>
                </w14:textFill>
              </w:rPr>
              <w:t>经抛丸除锈后的</w:t>
            </w:r>
            <w:r>
              <w:rPr>
                <w:rFonts w:hint="eastAsia" w:ascii="Times New Roman" w:hAnsi="Times New Roman" w:cs="Times New Roman"/>
                <w:b w:val="0"/>
                <w:bCs w:val="0"/>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进行外观复检及壁厚测定，合格品进入后续喷塑工段，不合格品进入</w:t>
            </w:r>
            <w:r>
              <w:rPr>
                <w:rFonts w:hint="eastAsia" w:cs="Times New Roman"/>
                <w:b w:val="0"/>
                <w:bCs w:val="0"/>
                <w:color w:val="000000" w:themeColor="text1"/>
                <w:sz w:val="24"/>
                <w:lang w:val="en-US" w:eastAsia="zh-CN" w:bidi="ar"/>
                <w14:textFill>
                  <w14:solidFill>
                    <w14:schemeClr w14:val="tx1"/>
                  </w14:solidFill>
                </w14:textFill>
              </w:rPr>
              <w:t>压扁区压扁后外售</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w:t>
            </w:r>
            <w:r>
              <w:rPr>
                <w:rFonts w:hint="eastAsia" w:ascii="Times New Roman" w:hAnsi="Times New Roman" w:cs="Times New Roman"/>
                <w:b w:val="0"/>
                <w:bCs w:val="0"/>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量为19.65万只，淘汰不合格</w:t>
            </w:r>
            <w:r>
              <w:rPr>
                <w:rFonts w:hint="eastAsia" w:ascii="Times New Roman" w:hAnsi="Times New Roman" w:cs="Times New Roman"/>
                <w:b w:val="0"/>
                <w:bCs w:val="0"/>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1000只。</w:t>
            </w:r>
          </w:p>
          <w:p w14:paraId="27123D2D">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cs="Times New Roman"/>
                <w:b/>
                <w:bCs/>
                <w:color w:val="000000" w:themeColor="text1"/>
                <w:sz w:val="24"/>
                <w:lang w:val="en-US" w:eastAsia="zh-CN" w:bidi="ar"/>
                <w14:textFill>
                  <w14:solidFill>
                    <w14:schemeClr w14:val="tx1"/>
                  </w14:solidFill>
                </w14:textFill>
              </w:rPr>
            </w:pPr>
            <w:r>
              <w:rPr>
                <w:rFonts w:hint="default" w:ascii="Times New Roman" w:hAnsi="Times New Roman" w:cs="Times New Roman"/>
                <w:b/>
                <w:bCs/>
                <w:color w:val="000000" w:themeColor="text1"/>
                <w:sz w:val="24"/>
                <w:lang w:val="en-US" w:eastAsia="zh-CN" w:bidi="ar"/>
                <w14:textFill>
                  <w14:solidFill>
                    <w14:schemeClr w14:val="tx1"/>
                  </w14:solidFill>
                </w14:textFill>
              </w:rPr>
              <w:t>（8）喷塑</w:t>
            </w:r>
          </w:p>
          <w:p w14:paraId="1F9B6E3F">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cs="Times New Roman"/>
                <w:b w:val="0"/>
                <w:bCs w:val="0"/>
                <w:color w:val="000000" w:themeColor="text1"/>
                <w:sz w:val="24"/>
                <w:lang w:val="en-US" w:eastAsia="zh-CN" w:bidi="ar"/>
                <w14:textFill>
                  <w14:solidFill>
                    <w14:schemeClr w14:val="tx1"/>
                  </w14:solidFill>
                </w14:textFill>
              </w:rPr>
            </w:pPr>
            <w:r>
              <w:rPr>
                <w:rFonts w:hint="default" w:ascii="Times New Roman" w:hAnsi="Times New Roman" w:cs="Times New Roman"/>
                <w:b w:val="0"/>
                <w:bCs w:val="0"/>
                <w:color w:val="000000" w:themeColor="text1"/>
                <w:sz w:val="24"/>
                <w:lang w:val="en-US" w:eastAsia="zh-CN" w:bidi="ar"/>
                <w14:textFill>
                  <w14:solidFill>
                    <w14:schemeClr w14:val="tx1"/>
                  </w14:solidFill>
                </w14:textFill>
              </w:rPr>
              <w:t>经气密性试验后的</w:t>
            </w:r>
            <w:r>
              <w:rPr>
                <w:rFonts w:hint="eastAsia" w:ascii="Times New Roman" w:hAnsi="Times New Roman" w:cs="Times New Roman"/>
                <w:b w:val="0"/>
                <w:bCs w:val="0"/>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放置静电喷涂流水线中进行喷塑，在静电作用下，塑粉会均匀吸附于</w:t>
            </w:r>
            <w:r>
              <w:rPr>
                <w:rFonts w:hint="eastAsia" w:ascii="Times New Roman" w:hAnsi="Times New Roman" w:cs="Times New Roman"/>
                <w:b w:val="0"/>
                <w:bCs w:val="0"/>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表面，形成粉状的涂层。喷塑设备自带脉冲反吹式过滤装置，经回收的塑粉可继续使用。喷塑工段</w:t>
            </w:r>
            <w:r>
              <w:rPr>
                <w:rFonts w:hint="eastAsia" w:ascii="Times New Roman" w:hAnsi="Times New Roman" w:cs="Times New Roman"/>
                <w:b w:val="0"/>
                <w:bCs w:val="0"/>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量为19.55万只。喷塑过程会产生喷塑颗粒物、噪声。</w:t>
            </w:r>
          </w:p>
          <w:p w14:paraId="13775B76">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cs="Times New Roman"/>
                <w:b/>
                <w:bCs/>
                <w:color w:val="000000" w:themeColor="text1"/>
                <w:sz w:val="24"/>
                <w:lang w:val="en-US" w:eastAsia="zh-CN" w:bidi="ar"/>
                <w14:textFill>
                  <w14:solidFill>
                    <w14:schemeClr w14:val="tx1"/>
                  </w14:solidFill>
                </w14:textFill>
              </w:rPr>
            </w:pPr>
            <w:r>
              <w:rPr>
                <w:rFonts w:hint="default" w:ascii="Times New Roman" w:hAnsi="Times New Roman" w:cs="Times New Roman"/>
                <w:b/>
                <w:bCs/>
                <w:color w:val="000000" w:themeColor="text1"/>
                <w:sz w:val="24"/>
                <w:lang w:val="en-US" w:eastAsia="zh-CN" w:bidi="ar"/>
                <w14:textFill>
                  <w14:solidFill>
                    <w14:schemeClr w14:val="tx1"/>
                  </w14:solidFill>
                </w14:textFill>
              </w:rPr>
              <w:t>（9）</w:t>
            </w:r>
            <w:r>
              <w:rPr>
                <w:rFonts w:hint="eastAsia" w:cs="Times New Roman"/>
                <w:b/>
                <w:bCs/>
                <w:color w:val="000000" w:themeColor="text1"/>
                <w:sz w:val="24"/>
                <w:lang w:val="en-US" w:eastAsia="zh-CN" w:bidi="ar"/>
                <w14:textFill>
                  <w14:solidFill>
                    <w14:schemeClr w14:val="tx1"/>
                  </w14:solidFill>
                </w14:textFill>
              </w:rPr>
              <w:t>烘干</w:t>
            </w:r>
            <w:r>
              <w:rPr>
                <w:rFonts w:hint="default" w:ascii="Times New Roman" w:hAnsi="Times New Roman" w:cs="Times New Roman"/>
                <w:b/>
                <w:bCs/>
                <w:color w:val="000000" w:themeColor="text1"/>
                <w:sz w:val="24"/>
                <w:lang w:val="en-US" w:eastAsia="zh-CN" w:bidi="ar"/>
                <w14:textFill>
                  <w14:solidFill>
                    <w14:schemeClr w14:val="tx1"/>
                  </w14:solidFill>
                </w14:textFill>
              </w:rPr>
              <w:t>固化</w:t>
            </w:r>
          </w:p>
          <w:p w14:paraId="16B0C1DD">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cs="Times New Roman"/>
                <w:b w:val="0"/>
                <w:bCs w:val="0"/>
                <w:color w:val="000000" w:themeColor="text1"/>
                <w:sz w:val="24"/>
                <w:lang w:val="en-US" w:eastAsia="zh-CN" w:bidi="ar"/>
                <w14:textFill>
                  <w14:solidFill>
                    <w14:schemeClr w14:val="tx1"/>
                  </w14:solidFill>
                </w14:textFill>
              </w:rPr>
            </w:pPr>
            <w:r>
              <w:rPr>
                <w:rFonts w:hint="default" w:ascii="Times New Roman" w:hAnsi="Times New Roman" w:cs="Times New Roman"/>
                <w:b w:val="0"/>
                <w:bCs w:val="0"/>
                <w:color w:val="000000" w:themeColor="text1"/>
                <w:sz w:val="24"/>
                <w:lang w:val="en-US" w:eastAsia="zh-CN" w:bidi="ar"/>
                <w14:textFill>
                  <w14:solidFill>
                    <w14:schemeClr w14:val="tx1"/>
                  </w14:solidFill>
                </w14:textFill>
              </w:rPr>
              <w:t>静电喷塑后的工件需置于240°C左右的烘干炉内20分钟，使粉末熔融、流平、固化，即在工件表面形成坚硬的涂膜。设备每天运行时间约为8h，项目烘干炉采用液化气作为</w:t>
            </w:r>
            <w:r>
              <w:rPr>
                <w:rFonts w:hint="eastAsia" w:cs="Times New Roman"/>
                <w:b w:val="0"/>
                <w:bCs w:val="0"/>
                <w:color w:val="000000" w:themeColor="text1"/>
                <w:sz w:val="24"/>
                <w:lang w:val="en-US" w:eastAsia="zh-CN" w:bidi="ar"/>
                <w14:textFill>
                  <w14:solidFill>
                    <w14:schemeClr w14:val="tx1"/>
                  </w14:solidFill>
                </w14:textFill>
              </w:rPr>
              <w:t>燃料</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w:t>
            </w:r>
            <w:r>
              <w:rPr>
                <w:rFonts w:hint="eastAsia" w:cs="Times New Roman"/>
                <w:b w:val="0"/>
                <w:bCs w:val="0"/>
                <w:color w:val="000000" w:themeColor="text1"/>
                <w:sz w:val="24"/>
                <w:lang w:val="en-US" w:eastAsia="zh-CN" w:bidi="ar"/>
                <w14:textFill>
                  <w14:solidFill>
                    <w14:schemeClr w14:val="tx1"/>
                  </w14:solidFill>
                </w14:textFill>
              </w:rPr>
              <w:t>液化气通入燃烧设备进行燃烧，液化气燃烧后通过喷枪直接接触液化气钢瓶进行塑粉烘干固化</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w:t>
            </w:r>
            <w:r>
              <w:rPr>
                <w:rFonts w:hint="eastAsia" w:ascii="Times New Roman" w:hAnsi="Times New Roman" w:cs="Times New Roman"/>
                <w:b w:val="0"/>
                <w:bCs w:val="0"/>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量为19.55万只。</w:t>
            </w:r>
          </w:p>
          <w:p w14:paraId="4EF2330D">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cs="Times New Roman"/>
                <w:b w:val="0"/>
                <w:bCs w:val="0"/>
                <w:color w:val="000000" w:themeColor="text1"/>
                <w:sz w:val="24"/>
                <w:lang w:val="en-US" w:eastAsia="zh-CN" w:bidi="ar"/>
                <w14:textFill>
                  <w14:solidFill>
                    <w14:schemeClr w14:val="tx1"/>
                  </w14:solidFill>
                </w14:textFill>
              </w:rPr>
            </w:pPr>
            <w:r>
              <w:rPr>
                <w:rFonts w:hint="eastAsia" w:cs="Times New Roman"/>
                <w:b w:val="0"/>
                <w:bCs w:val="0"/>
                <w:color w:val="000000" w:themeColor="text1"/>
                <w:sz w:val="24"/>
                <w:lang w:val="en-US" w:eastAsia="zh-CN" w:bidi="ar"/>
                <w14:textFill>
                  <w14:solidFill>
                    <w14:schemeClr w14:val="tx1"/>
                  </w14:solidFill>
                </w14:textFill>
              </w:rPr>
              <w:t>烘干固化环节产生废气污染物主要为颗粒物、二氧化硫、氮氧化物，</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非甲烷总烃。</w:t>
            </w:r>
          </w:p>
          <w:p w14:paraId="2B8F3EAC">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cs="Times New Roman"/>
                <w:b/>
                <w:bCs/>
                <w:color w:val="000000" w:themeColor="text1"/>
                <w:sz w:val="24"/>
                <w:lang w:val="en-US" w:eastAsia="zh-CN" w:bidi="ar"/>
                <w14:textFill>
                  <w14:solidFill>
                    <w14:schemeClr w14:val="tx1"/>
                  </w14:solidFill>
                </w14:textFill>
              </w:rPr>
            </w:pPr>
            <w:r>
              <w:rPr>
                <w:rFonts w:hint="default" w:ascii="Times New Roman" w:hAnsi="Times New Roman" w:cs="Times New Roman"/>
                <w:b/>
                <w:bCs/>
                <w:color w:val="000000" w:themeColor="text1"/>
                <w:sz w:val="24"/>
                <w:lang w:val="en-US" w:eastAsia="zh-CN" w:bidi="ar"/>
                <w14:textFill>
                  <w14:solidFill>
                    <w14:schemeClr w14:val="tx1"/>
                  </w14:solidFill>
                </w14:textFill>
              </w:rPr>
              <w:t>（10）登记称重</w:t>
            </w:r>
          </w:p>
          <w:p w14:paraId="64968924">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cs="Times New Roman"/>
                <w:b w:val="0"/>
                <w:bCs w:val="0"/>
                <w:color w:val="000000" w:themeColor="text1"/>
                <w:sz w:val="24"/>
                <w:lang w:val="en-US" w:eastAsia="zh-CN" w:bidi="ar"/>
                <w14:textFill>
                  <w14:solidFill>
                    <w14:schemeClr w14:val="tx1"/>
                  </w14:solidFill>
                </w14:textFill>
              </w:rPr>
            </w:pPr>
            <w:r>
              <w:rPr>
                <w:rFonts w:hint="default" w:ascii="Times New Roman" w:hAnsi="Times New Roman" w:cs="Times New Roman"/>
                <w:b w:val="0"/>
                <w:bCs w:val="0"/>
                <w:color w:val="000000" w:themeColor="text1"/>
                <w:sz w:val="24"/>
                <w:lang w:val="en-US" w:eastAsia="zh-CN" w:bidi="ar"/>
                <w14:textFill>
                  <w14:solidFill>
                    <w14:schemeClr w14:val="tx1"/>
                  </w14:solidFill>
                </w14:textFill>
              </w:rPr>
              <w:t>固化完成后的</w:t>
            </w:r>
            <w:r>
              <w:rPr>
                <w:rFonts w:hint="eastAsia" w:ascii="Times New Roman" w:hAnsi="Times New Roman" w:cs="Times New Roman"/>
                <w:b w:val="0"/>
                <w:bCs w:val="0"/>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登记称重，</w:t>
            </w:r>
            <w:r>
              <w:rPr>
                <w:rFonts w:hint="eastAsia" w:ascii="Times New Roman" w:hAnsi="Times New Roman" w:cs="Times New Roman"/>
                <w:b w:val="0"/>
                <w:bCs w:val="0"/>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量为19.55万只，淘汰不合格</w:t>
            </w:r>
            <w:r>
              <w:rPr>
                <w:rFonts w:hint="eastAsia" w:ascii="Times New Roman" w:hAnsi="Times New Roman" w:cs="Times New Roman"/>
                <w:b w:val="0"/>
                <w:bCs w:val="0"/>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1000只。</w:t>
            </w:r>
          </w:p>
          <w:p w14:paraId="118550B7">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cs="Times New Roman"/>
                <w:b w:val="0"/>
                <w:bCs w:val="0"/>
                <w:color w:val="000000" w:themeColor="text1"/>
                <w:sz w:val="24"/>
                <w:lang w:val="en-US" w:eastAsia="zh-CN" w:bidi="ar"/>
                <w14:textFill>
                  <w14:solidFill>
                    <w14:schemeClr w14:val="tx1"/>
                  </w14:solidFill>
                </w14:textFill>
              </w:rPr>
            </w:pPr>
            <w:r>
              <w:rPr>
                <w:rFonts w:hint="default" w:ascii="Times New Roman" w:hAnsi="Times New Roman" w:cs="Times New Roman"/>
                <w:b/>
                <w:bCs/>
                <w:color w:val="000000" w:themeColor="text1"/>
                <w:sz w:val="24"/>
                <w:lang w:val="en-US" w:eastAsia="zh-CN" w:bidi="ar"/>
                <w14:textFill>
                  <w14:solidFill>
                    <w14:schemeClr w14:val="tx1"/>
                  </w14:solidFill>
                </w14:textFill>
              </w:rPr>
              <w:t>（11）角阀安装、气密性试验：</w:t>
            </w:r>
          </w:p>
          <w:p w14:paraId="5BF78AF6">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cs="Times New Roman"/>
                <w:b w:val="0"/>
                <w:bCs w:val="0"/>
                <w:color w:val="000000" w:themeColor="text1"/>
                <w:sz w:val="24"/>
                <w:lang w:val="en-US" w:eastAsia="zh-CN" w:bidi="ar"/>
                <w14:textFill>
                  <w14:solidFill>
                    <w14:schemeClr w14:val="tx1"/>
                  </w14:solidFill>
                </w14:textFill>
              </w:rPr>
            </w:pPr>
            <w:r>
              <w:rPr>
                <w:rFonts w:hint="default" w:ascii="Times New Roman" w:hAnsi="Times New Roman" w:cs="Times New Roman"/>
                <w:b w:val="0"/>
                <w:bCs w:val="0"/>
                <w:color w:val="000000" w:themeColor="text1"/>
                <w:sz w:val="24"/>
                <w:lang w:val="en-US" w:eastAsia="zh-CN" w:bidi="ar"/>
                <w14:textFill>
                  <w14:solidFill>
                    <w14:schemeClr w14:val="tx1"/>
                  </w14:solidFill>
                </w14:textFill>
              </w:rPr>
              <w:t>称重后使用角阀装卸机安装角阀，后使用气密测试机根据GB/T12137的规定进行气密性试验。</w:t>
            </w:r>
            <w:r>
              <w:rPr>
                <w:rFonts w:hint="eastAsia" w:ascii="Times New Roman" w:hAnsi="Times New Roman" w:cs="Times New Roman"/>
                <w:b w:val="0"/>
                <w:bCs w:val="0"/>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量为19.45万只，淘汰不合格</w:t>
            </w:r>
            <w:r>
              <w:rPr>
                <w:rFonts w:hint="eastAsia" w:ascii="Times New Roman" w:hAnsi="Times New Roman" w:cs="Times New Roman"/>
                <w:b w:val="0"/>
                <w:bCs w:val="0"/>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1000只。</w:t>
            </w:r>
          </w:p>
          <w:p w14:paraId="411B8E0D">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cs="Times New Roman"/>
                <w:b/>
                <w:bCs/>
                <w:color w:val="000000" w:themeColor="text1"/>
                <w:sz w:val="24"/>
                <w:lang w:val="en-US" w:eastAsia="zh-CN" w:bidi="ar"/>
                <w14:textFill>
                  <w14:solidFill>
                    <w14:schemeClr w14:val="tx1"/>
                  </w14:solidFill>
                </w14:textFill>
              </w:rPr>
            </w:pPr>
            <w:r>
              <w:rPr>
                <w:rFonts w:hint="default" w:ascii="Times New Roman" w:hAnsi="Times New Roman" w:cs="Times New Roman"/>
                <w:b/>
                <w:bCs/>
                <w:color w:val="000000" w:themeColor="text1"/>
                <w:sz w:val="24"/>
                <w:lang w:val="en-US" w:eastAsia="zh-CN" w:bidi="ar"/>
                <w14:textFill>
                  <w14:solidFill>
                    <w14:schemeClr w14:val="tx1"/>
                  </w14:solidFill>
                </w14:textFill>
              </w:rPr>
              <w:t>（12）抽真空：</w:t>
            </w:r>
          </w:p>
          <w:p w14:paraId="1B7BD418">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cs="Times New Roman"/>
                <w:b w:val="0"/>
                <w:bCs w:val="0"/>
                <w:color w:val="000000" w:themeColor="text1"/>
                <w:sz w:val="24"/>
                <w:lang w:val="en-US" w:eastAsia="zh-CN" w:bidi="ar"/>
                <w14:textFill>
                  <w14:solidFill>
                    <w14:schemeClr w14:val="tx1"/>
                  </w14:solidFill>
                </w14:textFill>
              </w:rPr>
            </w:pPr>
            <w:r>
              <w:rPr>
                <w:rFonts w:hint="default" w:ascii="Times New Roman" w:hAnsi="Times New Roman" w:cs="Times New Roman"/>
                <w:b w:val="0"/>
                <w:bCs w:val="0"/>
                <w:color w:val="000000" w:themeColor="text1"/>
                <w:sz w:val="24"/>
                <w:lang w:val="en-US" w:eastAsia="zh-CN" w:bidi="ar"/>
                <w14:textFill>
                  <w14:solidFill>
                    <w14:schemeClr w14:val="tx1"/>
                  </w14:solidFill>
                </w14:textFill>
              </w:rPr>
              <w:t>确保</w:t>
            </w:r>
            <w:r>
              <w:rPr>
                <w:rFonts w:hint="eastAsia" w:ascii="Times New Roman" w:hAnsi="Times New Roman" w:cs="Times New Roman"/>
                <w:b w:val="0"/>
                <w:bCs w:val="0"/>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气密性后使用抽真空系统将</w:t>
            </w:r>
            <w:r>
              <w:rPr>
                <w:rFonts w:hint="eastAsia" w:ascii="Times New Roman" w:hAnsi="Times New Roman" w:cs="Times New Roman"/>
                <w:b w:val="0"/>
                <w:bCs w:val="0"/>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抽真空。抽真空</w:t>
            </w:r>
            <w:r>
              <w:rPr>
                <w:rFonts w:hint="eastAsia" w:ascii="Times New Roman" w:hAnsi="Times New Roman" w:cs="Times New Roman"/>
                <w:b w:val="0"/>
                <w:bCs w:val="0"/>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为19.35万只。</w:t>
            </w:r>
          </w:p>
          <w:p w14:paraId="6AB2BA4B">
            <w:pPr>
              <w:pageBreakBefore w:val="0"/>
              <w:numPr>
                <w:ilvl w:val="0"/>
                <w:numId w:val="0"/>
              </w:numPr>
              <w:kinsoku/>
              <w:overflowPunct/>
              <w:topLinePunct w:val="0"/>
              <w:bidi w:val="0"/>
              <w:adjustRightInd w:val="0"/>
              <w:snapToGrid w:val="0"/>
              <w:spacing w:line="360" w:lineRule="auto"/>
              <w:ind w:left="0" w:leftChars="0" w:right="0" w:rightChars="0" w:firstLine="482" w:firstLineChars="200"/>
              <w:rPr>
                <w:rFonts w:hint="default" w:ascii="Times New Roman" w:hAnsi="Times New Roman" w:cs="Times New Roman"/>
                <w:b/>
                <w:bCs/>
                <w:color w:val="000000" w:themeColor="text1"/>
                <w:sz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
                <w14:textFill>
                  <w14:solidFill>
                    <w14:schemeClr w14:val="tx1"/>
                  </w14:solidFill>
                </w14:textFill>
              </w:rPr>
              <w:t>（13）</w:t>
            </w:r>
            <w:r>
              <w:rPr>
                <w:rFonts w:hint="default" w:ascii="Times New Roman" w:hAnsi="Times New Roman" w:cs="Times New Roman"/>
                <w:b/>
                <w:bCs/>
                <w:color w:val="000000" w:themeColor="text1"/>
                <w:kern w:val="2"/>
                <w:sz w:val="24"/>
                <w:szCs w:val="24"/>
                <w:lang w:val="en-US" w:eastAsia="zh-CN" w:bidi="ar"/>
                <w14:textFill>
                  <w14:solidFill>
                    <w14:schemeClr w14:val="tx1"/>
                  </w14:solidFill>
                </w14:textFill>
              </w:rPr>
              <w:t>手工刷字</w:t>
            </w:r>
            <w:r>
              <w:rPr>
                <w:rFonts w:hint="default" w:ascii="Times New Roman" w:hAnsi="Times New Roman" w:cs="Times New Roman"/>
                <w:b/>
                <w:bCs/>
                <w:color w:val="000000" w:themeColor="text1"/>
                <w:sz w:val="24"/>
                <w:lang w:val="en-US" w:eastAsia="zh-CN" w:bidi="ar"/>
                <w14:textFill>
                  <w14:solidFill>
                    <w14:schemeClr w14:val="tx1"/>
                  </w14:solidFill>
                </w14:textFill>
              </w:rPr>
              <w:t>、入库：</w:t>
            </w:r>
          </w:p>
          <w:p w14:paraId="09A33D54">
            <w:pPr>
              <w:pageBreakBefore w:val="0"/>
              <w:numPr>
                <w:ilvl w:val="0"/>
                <w:numId w:val="0"/>
              </w:numPr>
              <w:kinsoku/>
              <w:overflowPunct/>
              <w:topLinePunct w:val="0"/>
              <w:bidi w:val="0"/>
              <w:adjustRightInd w:val="0"/>
              <w:snapToGrid w:val="0"/>
              <w:spacing w:line="360" w:lineRule="auto"/>
              <w:ind w:left="0" w:leftChars="0" w:right="0" w:rightChars="0" w:firstLine="480"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val="0"/>
                <w:bCs w:val="0"/>
                <w:color w:val="000000" w:themeColor="text1"/>
                <w:sz w:val="24"/>
                <w:lang w:val="en-US" w:eastAsia="zh-CN" w:bidi="ar"/>
                <w14:textFill>
                  <w14:solidFill>
                    <w14:schemeClr w14:val="tx1"/>
                  </w14:solidFill>
                </w14:textFill>
              </w:rPr>
              <w:t>项目</w:t>
            </w:r>
            <w:r>
              <w:rPr>
                <w:rFonts w:hint="eastAsia" w:ascii="Times New Roman" w:hAnsi="Times New Roman" w:cs="Times New Roman"/>
                <w:b w:val="0"/>
                <w:bCs w:val="0"/>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需刷写标识，市场购买成品网板，采用</w:t>
            </w:r>
            <w:r>
              <w:rPr>
                <w:rFonts w:hint="default" w:ascii="Times New Roman" w:hAnsi="Times New Roman" w:eastAsia="宋体" w:cs="Times New Roman"/>
                <w:b w:val="0"/>
                <w:bCs w:val="0"/>
                <w:color w:val="000000" w:themeColor="text1"/>
                <w:sz w:val="24"/>
                <w:lang w:val="en-US" w:eastAsia="zh-CN" w:bidi="ar"/>
                <w14:textFill>
                  <w14:solidFill>
                    <w14:schemeClr w14:val="tx1"/>
                  </w14:solidFill>
                </w14:textFill>
              </w:rPr>
              <w:t>网板</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手工刷字</w:t>
            </w:r>
            <w:r>
              <w:rPr>
                <w:rFonts w:hint="default" w:ascii="Times New Roman" w:hAnsi="Times New Roman" w:eastAsia="宋体" w:cs="Times New Roman"/>
                <w:b w:val="0"/>
                <w:bCs w:val="0"/>
                <w:color w:val="000000" w:themeColor="text1"/>
                <w:sz w:val="24"/>
                <w:lang w:val="en-US" w:eastAsia="zh-CN" w:bidi="ar"/>
                <w14:textFill>
                  <w14:solidFill>
                    <w14:schemeClr w14:val="tx1"/>
                  </w14:solidFill>
                </w14:textFill>
              </w:rPr>
              <w:t>方</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式，使用油墨进行手工刷字。手工刷字后</w:t>
            </w:r>
            <w:r>
              <w:rPr>
                <w:rFonts w:hint="eastAsia" w:ascii="Times New Roman" w:hAnsi="Times New Roman" w:cs="Times New Roman"/>
                <w:b w:val="0"/>
                <w:bCs w:val="0"/>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进入成品区暂存。刷字</w:t>
            </w:r>
            <w:r>
              <w:rPr>
                <w:rFonts w:hint="eastAsia" w:ascii="Times New Roman" w:hAnsi="Times New Roman" w:cs="Times New Roman"/>
                <w:b w:val="0"/>
                <w:bCs w:val="0"/>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为19.35万只。主要污染物为刷字产生的</w:t>
            </w:r>
            <w:r>
              <w:rPr>
                <w:rFonts w:hint="eastAsia" w:cs="Times New Roman"/>
                <w:b w:val="0"/>
                <w:bCs w:val="0"/>
                <w:color w:val="000000" w:themeColor="text1"/>
                <w:sz w:val="24"/>
                <w:lang w:val="en-US" w:eastAsia="zh-CN" w:bidi="ar"/>
                <w14:textFill>
                  <w14:solidFill>
                    <w14:schemeClr w14:val="tx1"/>
                  </w14:solidFill>
                </w14:textFill>
              </w:rPr>
              <w:t>非甲烷总烃</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、废油墨瓶等。</w:t>
            </w:r>
          </w:p>
          <w:p w14:paraId="2971264F">
            <w:pPr>
              <w:pageBreakBefore w:val="0"/>
              <w:numPr>
                <w:ilvl w:val="0"/>
                <w:numId w:val="0"/>
              </w:numPr>
              <w:kinsoku/>
              <w:overflowPunct/>
              <w:topLinePunct w:val="0"/>
              <w:bidi w:val="0"/>
              <w:spacing w:line="360" w:lineRule="auto"/>
              <w:ind w:right="0" w:rightChars="0"/>
              <w:rPr>
                <w:rFonts w:hint="eastAsia" w:cs="Times New Roman"/>
                <w:b/>
                <w:color w:val="000000" w:themeColor="text1"/>
                <w:sz w:val="24"/>
                <w:lang w:eastAsia="zh-CN"/>
                <w14:textFill>
                  <w14:solidFill>
                    <w14:schemeClr w14:val="tx1"/>
                  </w14:solidFill>
                </w14:textFill>
              </w:rPr>
            </w:pPr>
          </w:p>
          <w:p w14:paraId="2631F05D">
            <w:pPr>
              <w:pageBreakBefore w:val="0"/>
              <w:numPr>
                <w:ilvl w:val="0"/>
                <w:numId w:val="0"/>
              </w:numPr>
              <w:kinsoku/>
              <w:overflowPunct/>
              <w:topLinePunct w:val="0"/>
              <w:bidi w:val="0"/>
              <w:spacing w:line="360" w:lineRule="auto"/>
              <w:ind w:right="0" w:rightChars="0"/>
              <w:rPr>
                <w:rFonts w:hint="eastAsia" w:cs="Times New Roman"/>
                <w:b/>
                <w:color w:val="000000" w:themeColor="text1"/>
                <w:sz w:val="24"/>
                <w:lang w:eastAsia="zh-CN"/>
                <w14:textFill>
                  <w14:solidFill>
                    <w14:schemeClr w14:val="tx1"/>
                  </w14:solidFill>
                </w14:textFill>
              </w:rPr>
            </w:pPr>
          </w:p>
          <w:p w14:paraId="081F3E48">
            <w:pPr>
              <w:pageBreakBefore w:val="0"/>
              <w:numPr>
                <w:ilvl w:val="0"/>
                <w:numId w:val="0"/>
              </w:numPr>
              <w:kinsoku/>
              <w:overflowPunct/>
              <w:topLinePunct w:val="0"/>
              <w:bidi w:val="0"/>
              <w:spacing w:line="360" w:lineRule="auto"/>
              <w:ind w:right="0" w:rightChars="0"/>
              <w:rPr>
                <w:rFonts w:hint="eastAsia" w:cs="Times New Roman"/>
                <w:b/>
                <w:color w:val="000000" w:themeColor="text1"/>
                <w:sz w:val="24"/>
                <w:lang w:eastAsia="zh-CN"/>
                <w14:textFill>
                  <w14:solidFill>
                    <w14:schemeClr w14:val="tx1"/>
                  </w14:solidFill>
                </w14:textFill>
              </w:rPr>
            </w:pPr>
          </w:p>
          <w:p w14:paraId="2D06FC27">
            <w:pPr>
              <w:pageBreakBefore w:val="0"/>
              <w:numPr>
                <w:ilvl w:val="0"/>
                <w:numId w:val="0"/>
              </w:numPr>
              <w:kinsoku/>
              <w:overflowPunct/>
              <w:topLinePunct w:val="0"/>
              <w:bidi w:val="0"/>
              <w:spacing w:line="360" w:lineRule="auto"/>
              <w:ind w:right="0" w:rightChars="0"/>
              <w:rPr>
                <w:rFonts w:hint="eastAsia" w:cs="Times New Roman"/>
                <w:b/>
                <w:color w:val="000000" w:themeColor="text1"/>
                <w:sz w:val="24"/>
                <w:lang w:eastAsia="zh-CN"/>
                <w14:textFill>
                  <w14:solidFill>
                    <w14:schemeClr w14:val="tx1"/>
                  </w14:solidFill>
                </w14:textFill>
              </w:rPr>
            </w:pPr>
          </w:p>
          <w:p w14:paraId="7D370D08">
            <w:pPr>
              <w:pageBreakBefore w:val="0"/>
              <w:numPr>
                <w:ilvl w:val="0"/>
                <w:numId w:val="0"/>
              </w:numPr>
              <w:kinsoku/>
              <w:overflowPunct/>
              <w:topLinePunct w:val="0"/>
              <w:bidi w:val="0"/>
              <w:spacing w:line="360" w:lineRule="auto"/>
              <w:ind w:right="0" w:rightChars="0"/>
              <w:rPr>
                <w:rFonts w:hint="eastAsia" w:cs="Times New Roman"/>
                <w:b/>
                <w:color w:val="000000" w:themeColor="text1"/>
                <w:sz w:val="24"/>
                <w:lang w:eastAsia="zh-CN"/>
                <w14:textFill>
                  <w14:solidFill>
                    <w14:schemeClr w14:val="tx1"/>
                  </w14:solidFill>
                </w14:textFill>
              </w:rPr>
            </w:pPr>
          </w:p>
          <w:p w14:paraId="29DD1430">
            <w:pPr>
              <w:pStyle w:val="44"/>
              <w:pageBreakBefore w:val="0"/>
              <w:kinsoku/>
              <w:overflowPunct/>
              <w:topLinePunct w:val="0"/>
              <w:bidi w:val="0"/>
              <w:ind w:left="0" w:leftChars="0" w:right="0" w:firstLine="0" w:firstLineChars="0"/>
              <w:jc w:val="center"/>
              <w:rPr>
                <w:rFonts w:hint="default"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object>
                <v:shape id="_x0000_i1027" o:spt="75" type="#_x0000_t75" style="height:620.9pt;width:368.55pt;" o:ole="t" filled="f" o:preferrelative="t" stroked="f" coordsize="21600,21600">
                  <v:path/>
                  <v:fill on="f" focussize="0,0"/>
                  <v:stroke on="f"/>
                  <v:imagedata r:id="rId20" o:title=""/>
                  <o:lock v:ext="edit" aspectratio="f"/>
                  <w10:wrap type="none"/>
                  <w10:anchorlock/>
                </v:shape>
                <o:OLEObject Type="Embed" ProgID="Visio.Drawing.11" ShapeID="_x0000_i1027" DrawAspect="Content" ObjectID="_1468075727" r:id="rId19">
                  <o:LockedField>false</o:LockedField>
                </o:OLEObject>
              </w:object>
            </w:r>
          </w:p>
          <w:p w14:paraId="1092BB4D">
            <w:pPr>
              <w:pStyle w:val="128"/>
              <w:pageBreakBefore w:val="0"/>
              <w:kinsoku/>
              <w:overflowPunct/>
              <w:topLinePunct w:val="0"/>
              <w:bidi w:val="0"/>
              <w:spacing w:after="0"/>
              <w:ind w:left="0" w:leftChars="0" w:right="0"/>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图2-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运营期生产工艺流程及产污节点示意图</w:t>
            </w:r>
          </w:p>
        </w:tc>
      </w:tr>
      <w:tr w14:paraId="13AB04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00" w:hRule="atLeast"/>
          <w:jc w:val="center"/>
        </w:trPr>
        <w:tc>
          <w:tcPr>
            <w:tcW w:w="723" w:type="dxa"/>
            <w:vAlign w:val="center"/>
          </w:tcPr>
          <w:p w14:paraId="13D8436F">
            <w:pPr>
              <w:pStyle w:val="29"/>
              <w:pageBreakBefore w:val="0"/>
              <w:kinsoku/>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lang w:val="en-US" w:eastAsia="zh-CN"/>
                <w14:textFill>
                  <w14:solidFill>
                    <w14:schemeClr w14:val="tx1"/>
                  </w14:solidFill>
                </w14:textFill>
              </w:rPr>
              <w:t>与项目有关的原有环境污染问题</w:t>
            </w:r>
          </w:p>
        </w:tc>
        <w:tc>
          <w:tcPr>
            <w:tcW w:w="8635" w:type="dxa"/>
          </w:tcPr>
          <w:p w14:paraId="3670CAD5">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b/>
                <w:bCs/>
                <w:color w:val="000000" w:themeColor="text1"/>
                <w:sz w:val="24"/>
                <w:lang w:val="en-US" w:eastAsia="zh-CN" w:bidi="ar"/>
                <w14:textFill>
                  <w14:solidFill>
                    <w14:schemeClr w14:val="tx1"/>
                  </w14:solidFill>
                </w14:textFill>
              </w:rPr>
              <w:t>1、与项目有关的原有环境污染问题</w:t>
            </w:r>
          </w:p>
          <w:p w14:paraId="7DF0C5D0">
            <w:pPr>
              <w:pStyle w:val="2"/>
              <w:keepNext w:val="0"/>
              <w:keepLines w:val="0"/>
              <w:pageBreakBefore w:val="0"/>
              <w:widowControl/>
              <w:kinsoku/>
              <w:wordWrap/>
              <w:overflowPunct/>
              <w:topLinePunct w:val="0"/>
              <w:autoSpaceDE/>
              <w:autoSpaceDN/>
              <w:bidi w:val="0"/>
              <w:adjustRightInd w:val="0"/>
              <w:snapToGrid w:val="0"/>
              <w:spacing w:after="0" w:afterLines="0" w:line="360" w:lineRule="auto"/>
              <w:ind w:firstLine="480" w:firstLineChars="200"/>
              <w:jc w:val="both"/>
              <w:textAlignment w:val="auto"/>
              <w:outlineLvl w:val="9"/>
              <w:rPr>
                <w:rFonts w:hint="default" w:ascii="Times New Roman" w:hAnsi="Times New Roman" w:eastAsia="宋体" w:cs="Times New Roman"/>
                <w:b w:val="0"/>
                <w:bCs w:val="0"/>
                <w:snapToGrid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z w:val="24"/>
                <w:szCs w:val="24"/>
                <w:lang w:val="en-US" w:eastAsia="zh-CN"/>
                <w14:textFill>
                  <w14:solidFill>
                    <w14:schemeClr w14:val="tx1"/>
                  </w14:solidFill>
                </w14:textFill>
              </w:rPr>
              <w:t>玉溪市宏兴液化石油气瓶检测中心成立于2004年3月30日。2008年12月，公司项目委托云南靖尚达环境咨询有限公司编制完成《液化石油气瓶检测中心迁建项目环境影响报告表》，2009年3月16日，玉溪市红塔区环境保护局（现玉溪市生态环境局红塔分局）对项目进行审批，准予项目行政许可（详见附件）。项目于2018年8月30日完成自主验收取得验收意见，并于2018年9月11日取得玉溪市红塔区环境保护局（现玉溪市生态环境局红塔分局）《关于玉溪市宏兴液化石油气瓶检测中心迁建项目噪声及固体废物污染防治设施的验收意见》（玉红环验[2018]33号）。</w:t>
            </w:r>
          </w:p>
          <w:p w14:paraId="4D398AC2">
            <w:pPr>
              <w:pStyle w:val="2"/>
              <w:keepNext w:val="0"/>
              <w:keepLines w:val="0"/>
              <w:pageBreakBefore w:val="0"/>
              <w:widowControl/>
              <w:kinsoku/>
              <w:wordWrap/>
              <w:overflowPunct/>
              <w:topLinePunct w:val="0"/>
              <w:autoSpaceDE/>
              <w:autoSpaceDN/>
              <w:bidi w:val="0"/>
              <w:adjustRightInd w:val="0"/>
              <w:snapToGrid w:val="0"/>
              <w:spacing w:after="0" w:afterLines="0" w:line="360" w:lineRule="auto"/>
              <w:ind w:firstLine="480" w:firstLineChars="200"/>
              <w:jc w:val="both"/>
              <w:textAlignment w:val="auto"/>
              <w:outlineLvl w:val="9"/>
              <w:rPr>
                <w:rFonts w:hint="default" w:ascii="Times New Roman" w:hAnsi="Times New Roman" w:eastAsia="宋体" w:cs="Times New Roman"/>
                <w:b w:val="0"/>
                <w:bCs w:val="0"/>
                <w:snapToGrid w:val="0"/>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snapToGrid w:val="0"/>
                <w:color w:val="000000" w:themeColor="text1"/>
                <w:sz w:val="24"/>
                <w:szCs w:val="24"/>
                <w:lang w:val="en-US" w:eastAsia="zh-CN"/>
                <w14:textFill>
                  <w14:solidFill>
                    <w14:schemeClr w14:val="tx1"/>
                  </w14:solidFill>
                </w14:textFill>
              </w:rPr>
              <w:t>公司原有项目位于玉溪市红塔区高仓街道桃源村哨坡，</w:t>
            </w:r>
            <w:r>
              <w:rPr>
                <w:rFonts w:hint="default" w:ascii="Times New Roman" w:hAnsi="Times New Roman" w:eastAsia="宋体" w:cs="Times New Roman"/>
                <w:b w:val="0"/>
                <w:bCs w:val="0"/>
                <w:snapToGrid w:val="0"/>
                <w:color w:val="000000" w:themeColor="text1"/>
                <w:sz w:val="24"/>
                <w:szCs w:val="24"/>
                <w:lang w:val="en-US" w:eastAsia="zh-CN"/>
                <w14:textFill>
                  <w14:solidFill>
                    <w14:schemeClr w14:val="tx1"/>
                  </w14:solidFill>
                </w14:textFill>
              </w:rPr>
              <w:t>由于设备老旧、房租到期等原因，玉溪市宏兴液化石油气瓶检测中心租用</w:t>
            </w:r>
            <w:r>
              <w:rPr>
                <w:rFonts w:hint="default" w:ascii="Times New Roman" w:hAnsi="Times New Roman" w:cs="Times New Roman"/>
                <w:color w:val="000000" w:themeColor="text1"/>
                <w:sz w:val="24"/>
                <w:lang w:val="en-US" w:eastAsia="zh-CN"/>
                <w14:textFill>
                  <w14:solidFill>
                    <w14:schemeClr w14:val="tx1"/>
                  </w14:solidFill>
                </w14:textFill>
              </w:rPr>
              <w:t>云南省玉溪市红塔区研和街道可官社区可官一组定古自然村后面的原村办企业雄峰饲料厂（上半部分）的场地内的1900m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生产车间进行</w:t>
            </w:r>
            <w:r>
              <w:rPr>
                <w:rFonts w:hint="default" w:ascii="Times New Roman" w:hAnsi="Times New Roman" w:eastAsia="宋体" w:cs="Times New Roman"/>
                <w:b w:val="0"/>
                <w:bCs w:val="0"/>
                <w:snapToGrid w:val="0"/>
                <w:color w:val="000000" w:themeColor="text1"/>
                <w:sz w:val="24"/>
                <w:szCs w:val="24"/>
                <w:lang w:val="en-US" w:eastAsia="zh-CN"/>
                <w14:textFill>
                  <w14:solidFill>
                    <w14:schemeClr w14:val="tx1"/>
                  </w14:solidFill>
                </w14:textFill>
              </w:rPr>
              <w:t>建设“</w:t>
            </w:r>
            <w:r>
              <w:rPr>
                <w:rFonts w:hint="default" w:ascii="Times New Roman" w:hAnsi="Times New Roman" w:cs="Times New Roman"/>
                <w:color w:val="000000" w:themeColor="text1"/>
                <w:sz w:val="24"/>
                <w:lang w:val="en-US" w:eastAsia="zh-CN"/>
                <w14:textFill>
                  <w14:solidFill>
                    <w14:schemeClr w14:val="tx1"/>
                  </w14:solidFill>
                </w14:textFill>
              </w:rPr>
              <w:t>玉溪市宏兴液化石油气瓶检测中心钢瓶检测迁建项目</w:t>
            </w:r>
            <w:r>
              <w:rPr>
                <w:rFonts w:hint="default" w:ascii="Times New Roman" w:hAnsi="Times New Roman" w:eastAsia="宋体" w:cs="Times New Roman"/>
                <w:b w:val="0"/>
                <w:bCs w:val="0"/>
                <w:snapToGrid w:val="0"/>
                <w:color w:val="000000" w:themeColor="text1"/>
                <w:sz w:val="24"/>
                <w:szCs w:val="24"/>
                <w:lang w:val="en-US" w:eastAsia="zh-CN"/>
                <w14:textFill>
                  <w14:solidFill>
                    <w14:schemeClr w14:val="tx1"/>
                  </w14:solidFill>
                </w14:textFill>
              </w:rPr>
              <w:t>”。</w:t>
            </w:r>
          </w:p>
          <w:p w14:paraId="29562D81">
            <w:pPr>
              <w:pStyle w:val="2"/>
              <w:keepNext w:val="0"/>
              <w:keepLines w:val="0"/>
              <w:pageBreakBefore w:val="0"/>
              <w:widowControl/>
              <w:kinsoku/>
              <w:wordWrap/>
              <w:overflowPunct/>
              <w:topLinePunct w:val="0"/>
              <w:autoSpaceDE/>
              <w:autoSpaceDN/>
              <w:bidi w:val="0"/>
              <w:adjustRightInd w:val="0"/>
              <w:snapToGrid w:val="0"/>
              <w:spacing w:after="0" w:afterLines="0" w:line="360" w:lineRule="auto"/>
              <w:ind w:firstLine="480" w:firstLineChars="200"/>
              <w:jc w:val="both"/>
              <w:textAlignment w:val="auto"/>
              <w:outlineLvl w:val="9"/>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根据调查，玉溪市宏兴液化石油气瓶检测中心近年内不存在环境污染投诉、纠纷，不存在因环境问题受到的环境保护主管部门处罚。</w:t>
            </w:r>
            <w:r>
              <w:rPr>
                <w:rFonts w:hint="default" w:ascii="Times New Roman" w:hAnsi="Times New Roman" w:eastAsia="宋体" w:cs="Times New Roman"/>
                <w:b w:val="0"/>
                <w:bCs w:val="0"/>
                <w:snapToGrid w:val="0"/>
                <w:color w:val="000000" w:themeColor="text1"/>
                <w:sz w:val="24"/>
                <w:szCs w:val="24"/>
                <w:lang w:val="en-US" w:eastAsia="zh-CN"/>
                <w14:textFill>
                  <w14:solidFill>
                    <w14:schemeClr w14:val="tx1"/>
                  </w14:solidFill>
                </w14:textFill>
              </w:rPr>
              <w:t>原有项目老旧</w:t>
            </w:r>
            <w:r>
              <w:rPr>
                <w:rFonts w:hint="default" w:ascii="Times New Roman" w:hAnsi="Times New Roman" w:cs="Times New Roman"/>
                <w:b w:val="0"/>
                <w:bCs w:val="0"/>
                <w:snapToGrid w:val="0"/>
                <w:color w:val="000000" w:themeColor="text1"/>
                <w:sz w:val="24"/>
                <w:szCs w:val="24"/>
                <w:lang w:val="en-US" w:eastAsia="zh-CN"/>
                <w14:textFill>
                  <w14:solidFill>
                    <w14:schemeClr w14:val="tx1"/>
                  </w14:solidFill>
                </w14:textFill>
              </w:rPr>
              <w:t>设备均进行拆除报废处置</w:t>
            </w:r>
            <w:r>
              <w:rPr>
                <w:rFonts w:hint="default" w:ascii="Times New Roman" w:hAnsi="Times New Roman" w:eastAsia="宋体" w:cs="Times New Roman"/>
                <w:b w:val="0"/>
                <w:bCs w:val="0"/>
                <w:snapToGrid w:val="0"/>
                <w:color w:val="000000" w:themeColor="text1"/>
                <w:sz w:val="24"/>
                <w:szCs w:val="24"/>
                <w:lang w:val="en-US" w:eastAsia="zh-CN"/>
                <w14:textFill>
                  <w14:solidFill>
                    <w14:schemeClr w14:val="tx1"/>
                  </w14:solidFill>
                </w14:textFill>
              </w:rPr>
              <w:t>，本次项目购置新设备进行建设。</w:t>
            </w:r>
            <w:r>
              <w:rPr>
                <w:rFonts w:hint="default" w:ascii="Times New Roman" w:hAnsi="Times New Roman" w:eastAsia="新宋体" w:cs="Times New Roman"/>
                <w:color w:val="000000" w:themeColor="text1"/>
                <w:kern w:val="0"/>
                <w:sz w:val="24"/>
                <w14:textFill>
                  <w14:solidFill>
                    <w14:schemeClr w14:val="tx1"/>
                  </w14:solidFill>
                </w14:textFill>
              </w:rPr>
              <w:t>经核实</w:t>
            </w:r>
            <w:r>
              <w:rPr>
                <w:rFonts w:hint="default" w:ascii="Times New Roman" w:hAnsi="Times New Roman" w:eastAsia="新宋体" w:cs="Times New Roman"/>
                <w:color w:val="000000" w:themeColor="text1"/>
                <w:kern w:val="0"/>
                <w:sz w:val="24"/>
                <w:lang w:eastAsia="zh-CN"/>
                <w14:textFill>
                  <w14:solidFill>
                    <w14:schemeClr w14:val="tx1"/>
                  </w14:solidFill>
                </w14:textFill>
              </w:rPr>
              <w:t>原</w:t>
            </w:r>
            <w:r>
              <w:rPr>
                <w:rFonts w:hint="default" w:ascii="Times New Roman" w:hAnsi="Times New Roman" w:eastAsia="新宋体" w:cs="Times New Roman"/>
                <w:color w:val="000000" w:themeColor="text1"/>
                <w:kern w:val="0"/>
                <w:sz w:val="24"/>
                <w14:textFill>
                  <w14:solidFill>
                    <w14:schemeClr w14:val="tx1"/>
                  </w14:solidFill>
                </w14:textFill>
              </w:rPr>
              <w:t>有项目环保手续齐全，</w:t>
            </w:r>
            <w:r>
              <w:rPr>
                <w:rFonts w:hint="default" w:ascii="Times New Roman" w:hAnsi="Times New Roman" w:eastAsia="新宋体" w:cs="Times New Roman"/>
                <w:color w:val="000000" w:themeColor="text1"/>
                <w:sz w:val="24"/>
                <w:lang w:eastAsia="zh-CN"/>
                <w14:textFill>
                  <w14:solidFill>
                    <w14:schemeClr w14:val="tx1"/>
                  </w14:solidFill>
                </w14:textFill>
              </w:rPr>
              <w:t>原有</w:t>
            </w:r>
            <w:r>
              <w:rPr>
                <w:rFonts w:hint="default" w:ascii="Times New Roman" w:hAnsi="Times New Roman" w:eastAsia="新宋体" w:cs="Times New Roman"/>
                <w:color w:val="000000" w:themeColor="text1"/>
                <w:kern w:val="0"/>
                <w:sz w:val="24"/>
                <w14:textFill>
                  <w14:solidFill>
                    <w14:schemeClr w14:val="tx1"/>
                  </w14:solidFill>
                </w14:textFill>
              </w:rPr>
              <w:t>项目</w:t>
            </w:r>
            <w:r>
              <w:rPr>
                <w:rFonts w:hint="default" w:ascii="Times New Roman" w:hAnsi="Times New Roman" w:cs="Times New Roman"/>
                <w:color w:val="000000" w:themeColor="text1"/>
                <w:sz w:val="24"/>
                <w14:textFill>
                  <w14:solidFill>
                    <w14:schemeClr w14:val="tx1"/>
                  </w14:solidFill>
                </w14:textFill>
              </w:rPr>
              <w:t>所产生的废气、废水、噪声及固废等均采取了合理的污染防治措施，各污染物达标排放，且</w:t>
            </w:r>
            <w:r>
              <w:rPr>
                <w:rFonts w:hint="default" w:ascii="Times New Roman" w:hAnsi="Times New Roman" w:eastAsia="新宋体" w:cs="Times New Roman"/>
                <w:color w:val="000000" w:themeColor="text1"/>
                <w:kern w:val="0"/>
                <w:sz w:val="24"/>
                <w:lang w:eastAsia="zh-CN"/>
                <w14:textFill>
                  <w14:solidFill>
                    <w14:schemeClr w14:val="tx1"/>
                  </w14:solidFill>
                </w14:textFill>
              </w:rPr>
              <w:t>原</w:t>
            </w:r>
            <w:r>
              <w:rPr>
                <w:rFonts w:hint="default" w:ascii="Times New Roman" w:hAnsi="Times New Roman" w:cs="Times New Roman"/>
                <w:color w:val="000000" w:themeColor="text1"/>
                <w:sz w:val="24"/>
                <w14:textFill>
                  <w14:solidFill>
                    <w14:schemeClr w14:val="tx1"/>
                  </w14:solidFill>
                </w14:textFill>
              </w:rPr>
              <w:t>有项目已通过竣工环保验收。</w:t>
            </w:r>
            <w:r>
              <w:rPr>
                <w:rFonts w:hint="eastAsia" w:cs="Times New Roman"/>
                <w:color w:val="000000" w:themeColor="text1"/>
                <w:sz w:val="24"/>
                <w:lang w:eastAsia="zh-CN"/>
                <w14:textFill>
                  <w14:solidFill>
                    <w14:schemeClr w14:val="tx1"/>
                  </w14:solidFill>
                </w14:textFill>
              </w:rPr>
              <w:t>原有项目拆除过程中主要产生建筑垃圾，建筑垃圾能回收利用部分交由废品回收商，不能回收利用部分运至住建部门制定地点堆放，原有项目拆除后不存在环境遗留问题。</w:t>
            </w:r>
          </w:p>
          <w:p w14:paraId="66912320">
            <w:pPr>
              <w:pStyle w:val="44"/>
              <w:pageBreakBefore w:val="0"/>
              <w:kinsoku/>
              <w:overflowPunct/>
              <w:topLinePunct w:val="0"/>
              <w:bidi w:val="0"/>
              <w:ind w:left="0" w:leftChars="0" w:right="0" w:firstLine="48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根据调查，</w:t>
            </w:r>
            <w:r>
              <w:rPr>
                <w:rFonts w:hint="default" w:ascii="Times New Roman" w:hAnsi="Times New Roman" w:eastAsia="宋体" w:cs="Times New Roman"/>
                <w:color w:val="000000" w:themeColor="text1"/>
                <w:lang w:val="en-US" w:eastAsia="zh-CN"/>
                <w14:textFill>
                  <w14:solidFill>
                    <w14:schemeClr w14:val="tx1"/>
                  </w14:solidFill>
                </w14:textFill>
              </w:rPr>
              <w:t>该</w:t>
            </w:r>
            <w:r>
              <w:rPr>
                <w:rFonts w:hint="default" w:ascii="Times New Roman" w:hAnsi="Times New Roman" w:cs="Times New Roman"/>
                <w:color w:val="000000" w:themeColor="text1"/>
                <w:lang w:val="en-US" w:eastAsia="zh-CN"/>
                <w14:textFill>
                  <w14:solidFill>
                    <w14:schemeClr w14:val="tx1"/>
                  </w14:solidFill>
                </w14:textFill>
              </w:rPr>
              <w:t>租用的场地</w:t>
            </w:r>
            <w:r>
              <w:rPr>
                <w:rFonts w:hint="default" w:ascii="Times New Roman" w:hAnsi="Times New Roman" w:eastAsia="宋体" w:cs="Times New Roman"/>
                <w:color w:val="000000" w:themeColor="text1"/>
                <w:lang w:val="en-US" w:eastAsia="zh-CN"/>
                <w14:textFill>
                  <w14:solidFill>
                    <w14:schemeClr w14:val="tx1"/>
                  </w14:solidFill>
                </w14:textFill>
              </w:rPr>
              <w:t>为原</w:t>
            </w:r>
            <w:r>
              <w:rPr>
                <w:rFonts w:hint="default" w:ascii="Times New Roman" w:hAnsi="Times New Roman" w:eastAsia="宋体" w:cs="Times New Roman"/>
                <w:color w:val="000000" w:themeColor="text1"/>
                <w:lang w:val="zh-CN" w:eastAsia="zh-CN"/>
                <w14:textFill>
                  <w14:solidFill>
                    <w14:schemeClr w14:val="tx1"/>
                  </w14:solidFill>
                </w14:textFill>
              </w:rPr>
              <w:t>云南省玉溪市雄峰饲料添加剂厂</w:t>
            </w:r>
            <w:r>
              <w:rPr>
                <w:rFonts w:hint="default" w:ascii="Times New Roman" w:hAnsi="Times New Roman" w:cs="Times New Roman"/>
                <w:color w:val="000000" w:themeColor="text1"/>
                <w:sz w:val="24"/>
                <w:lang w:val="en-US" w:eastAsia="zh-CN"/>
                <w14:textFill>
                  <w14:solidFill>
                    <w14:schemeClr w14:val="tx1"/>
                  </w14:solidFill>
                </w14:textFill>
              </w:rPr>
              <w:t>上半部分，该企业在该地块于2004年生产运营至2017年，企业停产后地块闲置；可官社区居委会为活化社区内闲置地块，于2024年8月1日将该地块出租张红波进行建设“玉溪浩峰再生资源有限公司年产1.2万吨废塑料颗粒项目”（简称“浩峰公司塑料项目”），该项目于2024年9月24日取得玉溪市红塔区自然资源局部门意见，该项目位于红塔区城镇开发边界范围外，不涉及红塔区永久基本农田，不涉及占用红塔区生态保护红线。</w:t>
            </w:r>
          </w:p>
          <w:p w14:paraId="416095CA">
            <w:pPr>
              <w:pStyle w:val="44"/>
              <w:pageBreakBefore w:val="0"/>
              <w:kinsoku/>
              <w:overflowPunct/>
              <w:topLinePunct w:val="0"/>
              <w:bidi w:val="0"/>
              <w:ind w:left="0" w:leftChars="0" w:right="0" w:firstLine="48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根据调查，浩峰公司塑料项目于2024年12月26日取得玉溪市生态环境局红塔分局《关于年产1.2万吨废塑料颗粒项目环境影响报告表的批复》（玉红环审[2024]25号），浩峰公司塑料项目原设计建设2条生产线，生产能力为年产塑料颗粒1.2万吨，由于市场原因，该项目目前仅建设1条生产线，</w:t>
            </w:r>
            <w:r>
              <w:rPr>
                <w:rFonts w:hint="eastAsia" w:cs="Times New Roman"/>
                <w:color w:val="000000" w:themeColor="text1"/>
                <w:sz w:val="24"/>
                <w:lang w:val="en-US" w:eastAsia="zh-CN"/>
                <w14:textFill>
                  <w14:solidFill>
                    <w14:schemeClr w14:val="tx1"/>
                  </w14:solidFill>
                </w14:textFill>
              </w:rPr>
              <w:t>预计不再新增生产线</w:t>
            </w:r>
            <w:r>
              <w:rPr>
                <w:rFonts w:hint="default" w:ascii="Times New Roman" w:hAnsi="Times New Roman" w:cs="Times New Roman"/>
                <w:color w:val="000000" w:themeColor="text1"/>
                <w:sz w:val="24"/>
                <w:lang w:val="en-US" w:eastAsia="zh-CN"/>
                <w14:textFill>
                  <w14:solidFill>
                    <w14:schemeClr w14:val="tx1"/>
                  </w14:solidFill>
                </w14:textFill>
              </w:rPr>
              <w:t>，故产生空置生产车间。浩峰公司考虑土地使用效率，故将闲置厂房对外招租。本项目于2025年5月11日与玉溪浩峰再生资源有限公司</w:t>
            </w:r>
            <w:r>
              <w:rPr>
                <w:rFonts w:hint="eastAsia" w:ascii="Times New Roman" w:hAnsi="Times New Roman" w:cs="Times New Roman"/>
                <w:color w:val="000000" w:themeColor="text1"/>
                <w:sz w:val="24"/>
                <w:lang w:val="en-US" w:eastAsia="zh-CN"/>
                <w14:textFill>
                  <w14:solidFill>
                    <w14:schemeClr w14:val="tx1"/>
                  </w14:solidFill>
                </w14:textFill>
              </w:rPr>
              <w:t>法人</w:t>
            </w:r>
            <w:r>
              <w:rPr>
                <w:rFonts w:hint="default" w:ascii="Times New Roman" w:hAnsi="Times New Roman" w:cs="Times New Roman"/>
                <w:color w:val="000000" w:themeColor="text1"/>
                <w:sz w:val="24"/>
                <w:lang w:val="en-US" w:eastAsia="zh-CN"/>
                <w14:textFill>
                  <w14:solidFill>
                    <w14:schemeClr w14:val="tx1"/>
                  </w14:solidFill>
                </w14:textFill>
              </w:rPr>
              <w:t>张红波签订厂房租赁合同，租用现有约1900m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生产车间进行建设。</w:t>
            </w:r>
          </w:p>
          <w:p w14:paraId="5F9CA4AD">
            <w:pPr>
              <w:pStyle w:val="44"/>
              <w:pageBreakBefore w:val="0"/>
              <w:kinsoku/>
              <w:overflowPunct/>
              <w:topLinePunct w:val="0"/>
              <w:bidi w:val="0"/>
              <w:ind w:left="0" w:leftChars="0" w:right="0" w:firstLine="48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根据现场踏勘，地块内原有建筑除办公区保留外，其余原有生产车间等建筑均已拆除，目前地块内已新建彩钢瓦生产车间，</w:t>
            </w:r>
            <w:r>
              <w:rPr>
                <w:rFonts w:hint="default" w:ascii="Times New Roman" w:hAnsi="Times New Roman" w:eastAsia="宋体" w:cs="Times New Roman"/>
                <w:color w:val="000000" w:themeColor="text1"/>
                <w:highlight w:val="none"/>
                <w:lang w:val="zh-CN"/>
                <w14:textFill>
                  <w14:solidFill>
                    <w14:schemeClr w14:val="tx1"/>
                  </w14:solidFill>
                </w14:textFill>
              </w:rPr>
              <w:t>无原有环境污染问题</w:t>
            </w:r>
            <w:r>
              <w:rPr>
                <w:rFonts w:hint="default" w:ascii="Times New Roman" w:hAnsi="Times New Roman" w:cs="Times New Roman"/>
                <w:color w:val="000000" w:themeColor="text1"/>
                <w:sz w:val="24"/>
                <w:lang w:val="en-US" w:eastAsia="zh-CN"/>
                <w14:textFill>
                  <w14:solidFill>
                    <w14:schemeClr w14:val="tx1"/>
                  </w14:solidFill>
                </w14:textFill>
              </w:rPr>
              <w:t>。</w:t>
            </w:r>
          </w:p>
          <w:p w14:paraId="780D8287">
            <w:pPr>
              <w:pStyle w:val="44"/>
              <w:pageBreakBefore w:val="0"/>
              <w:kinsoku/>
              <w:overflowPunct/>
              <w:topLinePunct w:val="0"/>
              <w:bidi w:val="0"/>
              <w:ind w:left="0" w:leftChars="0" w:right="0" w:firstLine="480"/>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2、原有项目污染物排放情况</w:t>
            </w:r>
          </w:p>
          <w:p w14:paraId="4E68FBBF">
            <w:pPr>
              <w:widowControl/>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公司</w:t>
            </w:r>
            <w:r>
              <w:rPr>
                <w:rFonts w:hint="eastAsia" w:ascii="宋体" w:hAnsi="宋体" w:eastAsia="宋体" w:cs="宋体"/>
                <w:color w:val="000000" w:themeColor="text1"/>
                <w:sz w:val="24"/>
                <w:szCs w:val="24"/>
                <w:lang w:val="en-US" w:eastAsia="zh-CN"/>
                <w14:textFill>
                  <w14:solidFill>
                    <w14:schemeClr w14:val="tx1"/>
                  </w14:solidFill>
                </w14:textFill>
              </w:rPr>
              <w:t>占地面积约2000m</w:t>
            </w:r>
            <w:r>
              <w:rPr>
                <w:rFonts w:hint="eastAsia" w:ascii="宋体" w:hAnsi="宋体" w:eastAsia="宋体" w:cs="宋体"/>
                <w:color w:val="000000" w:themeColor="text1"/>
                <w:sz w:val="24"/>
                <w:szCs w:val="24"/>
                <w:vertAlign w:val="superscript"/>
                <w:lang w:val="en-US" w:eastAsia="zh-CN"/>
                <w14:textFill>
                  <w14:solidFill>
                    <w14:schemeClr w14:val="tx1"/>
                  </w14:solidFill>
                </w14:textFill>
              </w:rPr>
              <w:t>2</w:t>
            </w:r>
            <w:r>
              <w:rPr>
                <w:rFonts w:hint="eastAsia" w:ascii="宋体" w:hAnsi="宋体" w:eastAsia="宋体" w:cs="宋体"/>
                <w:color w:val="000000" w:themeColor="text1"/>
                <w:sz w:val="24"/>
                <w:szCs w:val="24"/>
                <w:lang w:val="en-US" w:eastAsia="zh-CN"/>
                <w14:textFill>
                  <w14:solidFill>
                    <w14:schemeClr w14:val="tx1"/>
                  </w14:solidFill>
                </w14:textFill>
              </w:rPr>
              <w:t>（约3亩），</w:t>
            </w:r>
            <w:r>
              <w:rPr>
                <w:rFonts w:hint="default" w:ascii="Times New Roman" w:hAnsi="Times New Roman" w:cs="Times New Roman"/>
                <w:color w:val="000000" w:themeColor="text1"/>
                <w:sz w:val="24"/>
                <w:lang w:eastAsia="zh-CN"/>
                <w14:textFill>
                  <w14:solidFill>
                    <w14:schemeClr w14:val="tx1"/>
                  </w14:solidFill>
                </w14:textFill>
              </w:rPr>
              <w:t>原</w:t>
            </w:r>
            <w:r>
              <w:rPr>
                <w:rFonts w:hint="default" w:ascii="Times New Roman" w:hAnsi="Times New Roman" w:cs="Times New Roman"/>
                <w:bCs/>
                <w:color w:val="000000" w:themeColor="text1"/>
                <w:sz w:val="24"/>
                <w14:textFill>
                  <w14:solidFill>
                    <w14:schemeClr w14:val="tx1"/>
                  </w14:solidFill>
                </w14:textFill>
              </w:rPr>
              <w:t>有工程建设内容见下表。</w:t>
            </w:r>
          </w:p>
          <w:p w14:paraId="7E5DD53F">
            <w:pPr>
              <w:keepNext w:val="0"/>
              <w:keepLines w:val="0"/>
              <w:pageBreakBefore w:val="0"/>
              <w:widowControl/>
              <w:kinsoku/>
              <w:wordWrap w:val="0"/>
              <w:overflowPunct/>
              <w:topLinePunct/>
              <w:autoSpaceDE/>
              <w:autoSpaceDN/>
              <w:bidi w:val="0"/>
              <w:adjustRightInd w:val="0"/>
              <w:snapToGrid w:val="0"/>
              <w:spacing w:after="0" w:afterLines="0" w:line="240" w:lineRule="auto"/>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14:textFill>
                  <w14:solidFill>
                    <w14:schemeClr w14:val="tx1"/>
                  </w14:solidFill>
                </w14:textFill>
              </w:rPr>
              <w:t>-</w:t>
            </w:r>
            <w:r>
              <w:rPr>
                <w:rFonts w:hint="default" w:ascii="Times New Roman" w:hAnsi="Times New Roman" w:cs="Times New Roman"/>
                <w:b/>
                <w:bCs/>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b/>
                <w:bCs/>
                <w:color w:val="000000" w:themeColor="text1"/>
                <w:sz w:val="21"/>
                <w:szCs w:val="21"/>
                <w14:textFill>
                  <w14:solidFill>
                    <w14:schemeClr w14:val="tx1"/>
                  </w14:solidFill>
                </w14:textFill>
              </w:rPr>
              <w:t xml:space="preserve"> 工程内容建设情况表</w:t>
            </w:r>
          </w:p>
          <w:tbl>
            <w:tblPr>
              <w:tblStyle w:val="33"/>
              <w:tblW w:w="4998"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957"/>
              <w:gridCol w:w="1836"/>
              <w:gridCol w:w="5618"/>
            </w:tblGrid>
            <w:tr w14:paraId="37AF3CD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69" w:type="pct"/>
                  <w:noWrap w:val="0"/>
                  <w:vAlign w:val="center"/>
                </w:tcPr>
                <w:p w14:paraId="3169893A">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项目</w:t>
                  </w:r>
                </w:p>
              </w:tc>
              <w:tc>
                <w:tcPr>
                  <w:tcW w:w="1091" w:type="pct"/>
                  <w:noWrap w:val="0"/>
                  <w:vAlign w:val="center"/>
                </w:tcPr>
                <w:p w14:paraId="02A9C3E9">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工程内容</w:t>
                  </w:r>
                </w:p>
              </w:tc>
              <w:tc>
                <w:tcPr>
                  <w:tcW w:w="3339" w:type="pct"/>
                  <w:tcBorders>
                    <w:left w:val="single" w:color="auto" w:sz="4" w:space="0"/>
                  </w:tcBorders>
                  <w:noWrap w:val="0"/>
                  <w:vAlign w:val="center"/>
                </w:tcPr>
                <w:p w14:paraId="12417784">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实际</w:t>
                  </w:r>
                  <w:r>
                    <w:rPr>
                      <w:rFonts w:hint="default" w:ascii="Times New Roman" w:hAnsi="Times New Roman" w:eastAsia="宋体" w:cs="Times New Roman"/>
                      <w:b/>
                      <w:bCs/>
                      <w:color w:val="000000" w:themeColor="text1"/>
                      <w:sz w:val="21"/>
                      <w:szCs w:val="21"/>
                      <w14:textFill>
                        <w14:solidFill>
                          <w14:schemeClr w14:val="tx1"/>
                        </w14:solidFill>
                      </w14:textFill>
                    </w:rPr>
                    <w:t>建设内容</w:t>
                  </w:r>
                </w:p>
              </w:tc>
            </w:tr>
            <w:tr w14:paraId="54306CF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69" w:type="pct"/>
                  <w:vMerge w:val="restart"/>
                  <w:noWrap w:val="0"/>
                  <w:vAlign w:val="center"/>
                </w:tcPr>
                <w:p w14:paraId="59A28A50">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主体</w:t>
                  </w:r>
                </w:p>
                <w:p w14:paraId="6AB10803">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工程</w:t>
                  </w:r>
                </w:p>
              </w:tc>
              <w:tc>
                <w:tcPr>
                  <w:tcW w:w="1091" w:type="pct"/>
                  <w:noWrap w:val="0"/>
                  <w:vAlign w:val="center"/>
                </w:tcPr>
                <w:p w14:paraId="0BA52C7B">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生产车间</w:t>
                  </w:r>
                </w:p>
              </w:tc>
              <w:tc>
                <w:tcPr>
                  <w:tcW w:w="3339" w:type="pct"/>
                  <w:tcBorders>
                    <w:left w:val="single" w:color="auto" w:sz="4" w:space="0"/>
                  </w:tcBorders>
                  <w:noWrap w:val="0"/>
                  <w:vAlign w:val="center"/>
                </w:tcPr>
                <w:p w14:paraId="3BFEA0EE">
                  <w:pPr>
                    <w:keepNext w:val="0"/>
                    <w:keepLines w:val="0"/>
                    <w:pageBreakBefore w:val="0"/>
                    <w:widowControl/>
                    <w:kinsoku/>
                    <w:wordWrap/>
                    <w:overflowPunct/>
                    <w:topLinePunct w:val="0"/>
                    <w:autoSpaceDE/>
                    <w:autoSpaceDN/>
                    <w:bidi w:val="0"/>
                    <w:adjustRightInd w:val="0"/>
                    <w:snapToGrid w:val="0"/>
                    <w:spacing w:after="0" w:afterLines="0"/>
                    <w:contextualSpacing/>
                    <w:jc w:val="left"/>
                    <w:textAlignment w:val="auto"/>
                    <w:outlineLvl w:val="9"/>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排架结构，彩钢瓦屋顶，</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1层，建筑面积600m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，位于项目西侧</w:t>
                  </w:r>
                </w:p>
              </w:tc>
            </w:tr>
            <w:tr w14:paraId="1ACC641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69" w:type="pct"/>
                  <w:vMerge w:val="continue"/>
                  <w:noWrap w:val="0"/>
                  <w:vAlign w:val="center"/>
                </w:tcPr>
                <w:p w14:paraId="04CDD63B">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091" w:type="pct"/>
                  <w:noWrap w:val="0"/>
                  <w:vAlign w:val="center"/>
                </w:tcPr>
                <w:p w14:paraId="2044426D">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职工宿舍</w:t>
                  </w:r>
                </w:p>
              </w:tc>
              <w:tc>
                <w:tcPr>
                  <w:tcW w:w="3339" w:type="pct"/>
                  <w:tcBorders>
                    <w:left w:val="single" w:color="auto" w:sz="4" w:space="0"/>
                  </w:tcBorders>
                  <w:noWrap w:val="0"/>
                  <w:vAlign w:val="center"/>
                </w:tcPr>
                <w:p w14:paraId="22186711">
                  <w:pPr>
                    <w:keepNext w:val="0"/>
                    <w:keepLines w:val="0"/>
                    <w:pageBreakBefore w:val="0"/>
                    <w:widowControl/>
                    <w:kinsoku/>
                    <w:wordWrap/>
                    <w:overflowPunct/>
                    <w:topLinePunct w:val="0"/>
                    <w:autoSpaceDE/>
                    <w:autoSpaceDN/>
                    <w:bidi w:val="0"/>
                    <w:adjustRightInd w:val="0"/>
                    <w:snapToGrid w:val="0"/>
                    <w:spacing w:after="0" w:afterLines="0"/>
                    <w:contextualSpacing/>
                    <w:jc w:val="left"/>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砖混结构，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1层，建筑面积150m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位于项目东侧</w:t>
                  </w:r>
                </w:p>
              </w:tc>
            </w:tr>
            <w:tr w14:paraId="3620608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69" w:type="pct"/>
                  <w:vMerge w:val="continue"/>
                  <w:noWrap w:val="0"/>
                  <w:vAlign w:val="center"/>
                </w:tcPr>
                <w:p w14:paraId="6465FED6">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091" w:type="pct"/>
                  <w:noWrap w:val="0"/>
                  <w:vAlign w:val="center"/>
                </w:tcPr>
                <w:p w14:paraId="0850DC54">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综合办公楼</w:t>
                  </w:r>
                </w:p>
              </w:tc>
              <w:tc>
                <w:tcPr>
                  <w:tcW w:w="3339" w:type="pct"/>
                  <w:tcBorders>
                    <w:left w:val="single" w:color="auto" w:sz="4" w:space="0"/>
                  </w:tcBorders>
                  <w:noWrap w:val="0"/>
                  <w:vAlign w:val="center"/>
                </w:tcPr>
                <w:p w14:paraId="20CA05F9">
                  <w:pPr>
                    <w:keepNext w:val="0"/>
                    <w:keepLines w:val="0"/>
                    <w:pageBreakBefore w:val="0"/>
                    <w:widowControl/>
                    <w:kinsoku/>
                    <w:wordWrap/>
                    <w:overflowPunct/>
                    <w:topLinePunct w:val="0"/>
                    <w:autoSpaceDE/>
                    <w:autoSpaceDN/>
                    <w:bidi w:val="0"/>
                    <w:adjustRightInd w:val="0"/>
                    <w:snapToGrid w:val="0"/>
                    <w:spacing w:after="0" w:afterLines="0"/>
                    <w:contextualSpacing/>
                    <w:jc w:val="left"/>
                    <w:textAlignment w:val="auto"/>
                    <w:outlineLvl w:val="9"/>
                    <w:rPr>
                      <w:rFonts w:hint="default" w:ascii="Times New Roman" w:hAnsi="Times New Roman" w:eastAsia="宋体" w:cs="Times New Roman"/>
                      <w:color w:val="000000" w:themeColor="text1"/>
                      <w:sz w:val="21"/>
                      <w:szCs w:val="21"/>
                      <w:vertAlign w:val="baseline"/>
                      <w:lang w:val="en-US"/>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砖混结构，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2层，建筑面积50m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位于项目东南面</w:t>
                  </w:r>
                </w:p>
              </w:tc>
            </w:tr>
            <w:tr w14:paraId="559A8A2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69" w:type="pct"/>
                  <w:vMerge w:val="restart"/>
                  <w:noWrap w:val="0"/>
                  <w:vAlign w:val="center"/>
                </w:tcPr>
                <w:p w14:paraId="5F6ED1A8">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辅助</w:t>
                  </w:r>
                </w:p>
                <w:p w14:paraId="429D81E6">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工程</w:t>
                  </w:r>
                </w:p>
              </w:tc>
              <w:tc>
                <w:tcPr>
                  <w:tcW w:w="1091" w:type="pct"/>
                  <w:noWrap w:val="0"/>
                  <w:vAlign w:val="center"/>
                </w:tcPr>
                <w:p w14:paraId="31807699">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食堂</w:t>
                  </w:r>
                </w:p>
              </w:tc>
              <w:tc>
                <w:tcPr>
                  <w:tcW w:w="3339" w:type="pct"/>
                  <w:tcBorders>
                    <w:left w:val="single" w:color="auto" w:sz="4" w:space="0"/>
                  </w:tcBorders>
                  <w:noWrap w:val="0"/>
                  <w:vAlign w:val="center"/>
                </w:tcPr>
                <w:p w14:paraId="7DC99404">
                  <w:pPr>
                    <w:keepNext w:val="0"/>
                    <w:keepLines w:val="0"/>
                    <w:pageBreakBefore w:val="0"/>
                    <w:widowControl/>
                    <w:kinsoku/>
                    <w:wordWrap/>
                    <w:overflowPunct/>
                    <w:topLinePunct w:val="0"/>
                    <w:autoSpaceDE/>
                    <w:autoSpaceDN/>
                    <w:bidi w:val="0"/>
                    <w:adjustRightInd w:val="0"/>
                    <w:snapToGrid w:val="0"/>
                    <w:spacing w:after="0" w:afterLines="0"/>
                    <w:contextualSpacing/>
                    <w:jc w:val="left"/>
                    <w:textAlignment w:val="auto"/>
                    <w:outlineLvl w:val="9"/>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砖混结构，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1层，建筑面积20m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位于办公楼北面</w:t>
                  </w:r>
                </w:p>
              </w:tc>
            </w:tr>
            <w:tr w14:paraId="0AE9E83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69" w:type="pct"/>
                  <w:vMerge w:val="continue"/>
                  <w:noWrap w:val="0"/>
                  <w:vAlign w:val="center"/>
                </w:tcPr>
                <w:p w14:paraId="4C8F8675">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091" w:type="pct"/>
                  <w:noWrap w:val="0"/>
                  <w:vAlign w:val="center"/>
                </w:tcPr>
                <w:p w14:paraId="4C2E74C9">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值班室</w:t>
                  </w:r>
                </w:p>
              </w:tc>
              <w:tc>
                <w:tcPr>
                  <w:tcW w:w="3339" w:type="pct"/>
                  <w:tcBorders>
                    <w:top w:val="single" w:color="auto" w:sz="4" w:space="0"/>
                    <w:left w:val="single" w:color="auto" w:sz="4" w:space="0"/>
                    <w:bottom w:val="single" w:color="auto" w:sz="4" w:space="0"/>
                  </w:tcBorders>
                  <w:noWrap w:val="0"/>
                  <w:vAlign w:val="center"/>
                </w:tcPr>
                <w:p w14:paraId="3733DFB7">
                  <w:pPr>
                    <w:keepNext w:val="0"/>
                    <w:keepLines w:val="0"/>
                    <w:pageBreakBefore w:val="0"/>
                    <w:widowControl/>
                    <w:kinsoku/>
                    <w:wordWrap/>
                    <w:overflowPunct/>
                    <w:topLinePunct w:val="0"/>
                    <w:autoSpaceDE/>
                    <w:autoSpaceDN/>
                    <w:bidi w:val="0"/>
                    <w:adjustRightInd w:val="0"/>
                    <w:snapToGrid w:val="0"/>
                    <w:spacing w:after="0" w:afterLines="0"/>
                    <w:contextualSpacing/>
                    <w:jc w:val="left"/>
                    <w:textAlignment w:val="auto"/>
                    <w:outlineLvl w:val="9"/>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砖混结构，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1层，建筑面积10m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，位于项目东南面</w:t>
                  </w:r>
                </w:p>
              </w:tc>
            </w:tr>
            <w:tr w14:paraId="3656AA5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69" w:type="pct"/>
                  <w:vMerge w:val="continue"/>
                  <w:noWrap w:val="0"/>
                  <w:vAlign w:val="center"/>
                </w:tcPr>
                <w:p w14:paraId="1C3A59CA">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091" w:type="pct"/>
                  <w:noWrap w:val="0"/>
                  <w:vAlign w:val="center"/>
                </w:tcPr>
                <w:p w14:paraId="1DC49347">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卫生间</w:t>
                  </w:r>
                </w:p>
              </w:tc>
              <w:tc>
                <w:tcPr>
                  <w:tcW w:w="3339" w:type="pct"/>
                  <w:tcBorders>
                    <w:top w:val="single" w:color="auto" w:sz="4" w:space="0"/>
                    <w:left w:val="single" w:color="auto" w:sz="4" w:space="0"/>
                    <w:bottom w:val="single" w:color="auto" w:sz="4" w:space="0"/>
                  </w:tcBorders>
                  <w:noWrap w:val="0"/>
                  <w:vAlign w:val="center"/>
                </w:tcPr>
                <w:p w14:paraId="31807A13">
                  <w:pPr>
                    <w:keepNext w:val="0"/>
                    <w:keepLines w:val="0"/>
                    <w:pageBreakBefore w:val="0"/>
                    <w:widowControl/>
                    <w:kinsoku/>
                    <w:wordWrap/>
                    <w:overflowPunct/>
                    <w:topLinePunct w:val="0"/>
                    <w:autoSpaceDE/>
                    <w:autoSpaceDN/>
                    <w:bidi w:val="0"/>
                    <w:adjustRightInd w:val="0"/>
                    <w:snapToGrid w:val="0"/>
                    <w:spacing w:after="0" w:afterLines="0"/>
                    <w:contextualSpacing/>
                    <w:jc w:val="left"/>
                    <w:textAlignment w:val="auto"/>
                    <w:outlineLvl w:val="9"/>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砖混结构，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1层，建筑面积15m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，位于项目西南面</w:t>
                  </w:r>
                </w:p>
              </w:tc>
            </w:tr>
            <w:tr w14:paraId="08D4F39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69" w:type="pct"/>
                  <w:vMerge w:val="restart"/>
                  <w:noWrap w:val="0"/>
                  <w:vAlign w:val="center"/>
                </w:tcPr>
                <w:p w14:paraId="15493C23">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环保工程</w:t>
                  </w:r>
                </w:p>
              </w:tc>
              <w:tc>
                <w:tcPr>
                  <w:tcW w:w="1836" w:type="dxa"/>
                  <w:noWrap w:val="0"/>
                  <w:vAlign w:val="center"/>
                </w:tcPr>
                <w:p w14:paraId="40D084AA">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焚烧废气</w:t>
                  </w:r>
                </w:p>
              </w:tc>
              <w:tc>
                <w:tcPr>
                  <w:tcW w:w="5618" w:type="dxa"/>
                  <w:tcBorders>
                    <w:top w:val="single" w:color="auto" w:sz="4" w:space="0"/>
                    <w:left w:val="single" w:color="auto" w:sz="4" w:space="0"/>
                    <w:bottom w:val="single" w:color="auto" w:sz="4" w:space="0"/>
                  </w:tcBorders>
                  <w:noWrap w:val="0"/>
                  <w:vAlign w:val="center"/>
                </w:tcPr>
                <w:p w14:paraId="66E9B98C">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焚烧炉</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w:t>
                  </w:r>
                  <w:r>
                    <w:rPr>
                      <w:rFonts w:hint="default" w:ascii="Times New Roman" w:hAnsi="Times New Roman" w:eastAsia="宋体" w:cs="Times New Roman"/>
                      <w:color w:val="000000" w:themeColor="text1"/>
                      <w:sz w:val="21"/>
                      <w:szCs w:val="21"/>
                      <w:lang w:eastAsia="zh-CN"/>
                      <w14:textFill>
                        <w14:solidFill>
                          <w14:schemeClr w14:val="tx1"/>
                        </w14:solidFill>
                      </w14:textFill>
                    </w:rPr>
                    <w:t>采用脉冲除尘</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+活性炭吸附除尘设施</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处理后，经15m高排气筒排放。</w:t>
                  </w:r>
                </w:p>
              </w:tc>
            </w:tr>
            <w:tr w14:paraId="6B22941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69" w:type="pct"/>
                  <w:vMerge w:val="continue"/>
                  <w:noWrap w:val="0"/>
                  <w:vAlign w:val="center"/>
                </w:tcPr>
                <w:p w14:paraId="265107C9">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836" w:type="dxa"/>
                  <w:noWrap w:val="0"/>
                  <w:vAlign w:val="center"/>
                </w:tcPr>
                <w:p w14:paraId="1E2FF0E0">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除锈粉尘</w:t>
                  </w:r>
                </w:p>
              </w:tc>
              <w:tc>
                <w:tcPr>
                  <w:tcW w:w="5618" w:type="dxa"/>
                  <w:tcBorders>
                    <w:top w:val="single" w:color="auto" w:sz="4" w:space="0"/>
                    <w:left w:val="single" w:color="auto" w:sz="4" w:space="0"/>
                    <w:bottom w:val="single" w:color="auto" w:sz="4" w:space="0"/>
                  </w:tcBorders>
                  <w:noWrap w:val="0"/>
                  <w:vAlign w:val="center"/>
                </w:tcPr>
                <w:p w14:paraId="49FF33CB">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项目除锈工序配套建设1套脉冲布袋收尘设施</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，废气经过滤后车间内呈无组织排放。</w:t>
                  </w:r>
                </w:p>
              </w:tc>
            </w:tr>
            <w:tr w14:paraId="1520C12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69" w:type="pct"/>
                  <w:vMerge w:val="continue"/>
                  <w:noWrap w:val="0"/>
                  <w:vAlign w:val="center"/>
                </w:tcPr>
                <w:p w14:paraId="4949556A">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836" w:type="dxa"/>
                  <w:noWrap w:val="0"/>
                  <w:vAlign w:val="center"/>
                </w:tcPr>
                <w:p w14:paraId="2302421D">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喷涂粉尘</w:t>
                  </w:r>
                </w:p>
              </w:tc>
              <w:tc>
                <w:tcPr>
                  <w:tcW w:w="5618" w:type="dxa"/>
                  <w:tcBorders>
                    <w:top w:val="single" w:color="auto" w:sz="4" w:space="0"/>
                    <w:left w:val="single" w:color="auto" w:sz="4" w:space="0"/>
                    <w:bottom w:val="single" w:color="auto" w:sz="4" w:space="0"/>
                  </w:tcBorders>
                  <w:noWrap w:val="0"/>
                  <w:vAlign w:val="center"/>
                </w:tcPr>
                <w:p w14:paraId="11D5F370">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项目静电喷涂工序配套建设1套脉冲布袋除尘设施，</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废气经过滤后车间内呈无组织排放。</w:t>
                  </w:r>
                </w:p>
              </w:tc>
            </w:tr>
            <w:tr w14:paraId="09D4AFE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69" w:type="pct"/>
                  <w:vMerge w:val="continue"/>
                  <w:noWrap w:val="0"/>
                  <w:vAlign w:val="center"/>
                </w:tcPr>
                <w:p w14:paraId="7F0039E5">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836" w:type="dxa"/>
                  <w:noWrap w:val="0"/>
                  <w:vAlign w:val="center"/>
                </w:tcPr>
                <w:p w14:paraId="2C2A6633">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固化粉尘</w:t>
                  </w:r>
                </w:p>
              </w:tc>
              <w:tc>
                <w:tcPr>
                  <w:tcW w:w="5618" w:type="dxa"/>
                  <w:tcBorders>
                    <w:top w:val="single" w:color="auto" w:sz="4" w:space="0"/>
                    <w:left w:val="single" w:color="auto" w:sz="4" w:space="0"/>
                    <w:bottom w:val="single" w:color="auto" w:sz="4" w:space="0"/>
                  </w:tcBorders>
                  <w:noWrap w:val="0"/>
                  <w:vAlign w:val="center"/>
                </w:tcPr>
                <w:p w14:paraId="695E214C">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项目固化房产生的废气与焚烧炉共同</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经</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一套脉冲布袋除尘设施+活性炭吸附装置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处理，处理后后经15m高排气筒排放。</w:t>
                  </w:r>
                </w:p>
              </w:tc>
            </w:tr>
            <w:tr w14:paraId="7CCBC57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69" w:type="pct"/>
                  <w:vMerge w:val="continue"/>
                  <w:noWrap w:val="0"/>
                  <w:vAlign w:val="center"/>
                </w:tcPr>
                <w:p w14:paraId="51388867">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091" w:type="pct"/>
                  <w:noWrap w:val="0"/>
                  <w:vAlign w:val="center"/>
                </w:tcPr>
                <w:p w14:paraId="565E5250">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生活污水收集池</w:t>
                  </w:r>
                </w:p>
              </w:tc>
              <w:tc>
                <w:tcPr>
                  <w:tcW w:w="3339" w:type="pct"/>
                  <w:tcBorders>
                    <w:top w:val="single" w:color="auto" w:sz="4" w:space="0"/>
                    <w:left w:val="single" w:color="auto" w:sz="4" w:space="0"/>
                    <w:bottom w:val="single" w:color="auto" w:sz="4" w:space="0"/>
                  </w:tcBorders>
                  <w:noWrap w:val="0"/>
                  <w:vAlign w:val="center"/>
                </w:tcPr>
                <w:p w14:paraId="4A1D3B3D">
                  <w:pPr>
                    <w:keepNext w:val="0"/>
                    <w:keepLines w:val="0"/>
                    <w:pageBreakBefore w:val="0"/>
                    <w:widowControl/>
                    <w:kinsoku/>
                    <w:wordWrap/>
                    <w:overflowPunct/>
                    <w:topLinePunct w:val="0"/>
                    <w:autoSpaceDE/>
                    <w:autoSpaceDN/>
                    <w:bidi w:val="0"/>
                    <w:adjustRightInd w:val="0"/>
                    <w:snapToGrid w:val="0"/>
                    <w:spacing w:after="0" w:afterLines="0"/>
                    <w:contextualSpacing/>
                    <w:jc w:val="left"/>
                    <w:textAlignment w:val="auto"/>
                    <w:outlineLvl w:val="9"/>
                    <w:rPr>
                      <w:rFonts w:hint="default" w:ascii="Times New Roman" w:hAnsi="Times New Roman" w:eastAsia="宋体" w:cs="Times New Roman"/>
                      <w:color w:val="000000" w:themeColor="text1"/>
                      <w:sz w:val="21"/>
                      <w:szCs w:val="21"/>
                      <w:vertAlign w:val="baseline"/>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污水收集池1个，钢制结构，长方体，与化粪池相连，容积为8m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，位于项目西南角落</w:t>
                  </w:r>
                </w:p>
              </w:tc>
            </w:tr>
            <w:tr w14:paraId="57CE687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69" w:type="pct"/>
                  <w:vMerge w:val="continue"/>
                  <w:noWrap w:val="0"/>
                  <w:vAlign w:val="center"/>
                </w:tcPr>
                <w:p w14:paraId="6AF51137">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091" w:type="pct"/>
                  <w:noWrap w:val="0"/>
                  <w:vAlign w:val="center"/>
                </w:tcPr>
                <w:p w14:paraId="02145807">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化粪池</w:t>
                  </w:r>
                </w:p>
              </w:tc>
              <w:tc>
                <w:tcPr>
                  <w:tcW w:w="3339" w:type="pct"/>
                  <w:tcBorders>
                    <w:top w:val="single" w:color="auto" w:sz="4" w:space="0"/>
                    <w:left w:val="single" w:color="auto" w:sz="4" w:space="0"/>
                    <w:bottom w:val="single" w:color="auto" w:sz="4" w:space="0"/>
                  </w:tcBorders>
                  <w:noWrap w:val="0"/>
                  <w:vAlign w:val="center"/>
                </w:tcPr>
                <w:p w14:paraId="60147F51">
                  <w:pPr>
                    <w:keepNext w:val="0"/>
                    <w:keepLines w:val="0"/>
                    <w:pageBreakBefore w:val="0"/>
                    <w:widowControl/>
                    <w:kinsoku/>
                    <w:wordWrap/>
                    <w:overflowPunct/>
                    <w:topLinePunct w:val="0"/>
                    <w:autoSpaceDE/>
                    <w:autoSpaceDN/>
                    <w:bidi w:val="0"/>
                    <w:adjustRightInd w:val="0"/>
                    <w:snapToGrid w:val="0"/>
                    <w:spacing w:after="0" w:afterLines="0"/>
                    <w:contextualSpacing/>
                    <w:jc w:val="left"/>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化粪池1个，容积为4m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，位于项目西南角落</w:t>
                  </w:r>
                </w:p>
              </w:tc>
            </w:tr>
            <w:tr w14:paraId="4466001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69" w:type="pct"/>
                  <w:vMerge w:val="continue"/>
                  <w:noWrap w:val="0"/>
                  <w:vAlign w:val="center"/>
                </w:tcPr>
                <w:p w14:paraId="553B2121">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091" w:type="pct"/>
                  <w:noWrap w:val="0"/>
                  <w:vAlign w:val="center"/>
                </w:tcPr>
                <w:p w14:paraId="2CB21F70">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垃圾池</w:t>
                  </w:r>
                </w:p>
              </w:tc>
              <w:tc>
                <w:tcPr>
                  <w:tcW w:w="3339" w:type="pct"/>
                  <w:tcBorders>
                    <w:top w:val="single" w:color="auto" w:sz="4" w:space="0"/>
                    <w:left w:val="single" w:color="auto" w:sz="4" w:space="0"/>
                    <w:bottom w:val="single" w:color="auto" w:sz="4" w:space="0"/>
                  </w:tcBorders>
                  <w:noWrap w:val="0"/>
                  <w:vAlign w:val="center"/>
                </w:tcPr>
                <w:p w14:paraId="79F40DEC">
                  <w:pPr>
                    <w:keepNext w:val="0"/>
                    <w:keepLines w:val="0"/>
                    <w:pageBreakBefore w:val="0"/>
                    <w:widowControl/>
                    <w:kinsoku/>
                    <w:wordWrap/>
                    <w:overflowPunct/>
                    <w:topLinePunct w:val="0"/>
                    <w:autoSpaceDE/>
                    <w:autoSpaceDN/>
                    <w:bidi w:val="0"/>
                    <w:adjustRightInd w:val="0"/>
                    <w:snapToGrid w:val="0"/>
                    <w:spacing w:after="0" w:afterLines="0"/>
                    <w:contextualSpacing/>
                    <w:jc w:val="left"/>
                    <w:textAlignment w:val="auto"/>
                    <w:outlineLvl w:val="9"/>
                    <w:rPr>
                      <w:rFonts w:hint="default" w:ascii="Times New Roman" w:hAnsi="Times New Roman" w:eastAsia="宋体" w:cs="Times New Roman"/>
                      <w:color w:val="000000" w:themeColor="text1"/>
                      <w:sz w:val="21"/>
                      <w:szCs w:val="21"/>
                      <w:vertAlign w:val="baseline"/>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垃圾池1个，砖混结构，用砖块垒砌而成，容积4m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，同时设置了2个大垃圾桶</w:t>
                  </w:r>
                </w:p>
              </w:tc>
            </w:tr>
            <w:tr w14:paraId="4A63AD1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69" w:type="pct"/>
                  <w:vMerge w:val="continue"/>
                  <w:noWrap w:val="0"/>
                  <w:vAlign w:val="center"/>
                </w:tcPr>
                <w:p w14:paraId="7C694F2A">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091" w:type="pct"/>
                  <w:noWrap w:val="0"/>
                  <w:vAlign w:val="center"/>
                </w:tcPr>
                <w:p w14:paraId="2E74AB4F">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绿化</w:t>
                  </w:r>
                </w:p>
              </w:tc>
              <w:tc>
                <w:tcPr>
                  <w:tcW w:w="3339" w:type="pct"/>
                  <w:tcBorders>
                    <w:top w:val="single" w:color="auto" w:sz="4" w:space="0"/>
                    <w:left w:val="single" w:color="auto" w:sz="4" w:space="0"/>
                    <w:bottom w:val="single" w:color="auto" w:sz="4" w:space="0"/>
                  </w:tcBorders>
                  <w:noWrap w:val="0"/>
                  <w:vAlign w:val="center"/>
                </w:tcPr>
                <w:p w14:paraId="451C8A01">
                  <w:pPr>
                    <w:keepNext w:val="0"/>
                    <w:keepLines w:val="0"/>
                    <w:pageBreakBefore w:val="0"/>
                    <w:widowControl/>
                    <w:kinsoku/>
                    <w:wordWrap/>
                    <w:overflowPunct/>
                    <w:topLinePunct w:val="0"/>
                    <w:autoSpaceDE/>
                    <w:autoSpaceDN/>
                    <w:bidi w:val="0"/>
                    <w:adjustRightInd w:val="0"/>
                    <w:snapToGrid w:val="0"/>
                    <w:spacing w:after="0" w:afterLines="0"/>
                    <w:contextualSpacing/>
                    <w:jc w:val="left"/>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项目位于213国道线（明珠路延长线）旁，厂内绿化植物较少，仅在宿舍区种植少量盆栽植物</w:t>
                  </w:r>
                </w:p>
              </w:tc>
            </w:tr>
            <w:tr w14:paraId="02B23D0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69" w:type="pct"/>
                  <w:vMerge w:val="continue"/>
                  <w:noWrap w:val="0"/>
                  <w:vAlign w:val="center"/>
                </w:tcPr>
                <w:p w14:paraId="29ADD63E">
                  <w:pPr>
                    <w:keepNext w:val="0"/>
                    <w:keepLines w:val="0"/>
                    <w:pageBreakBefore w:val="0"/>
                    <w:widowControl/>
                    <w:kinsoku/>
                    <w:wordWrap/>
                    <w:overflowPunct/>
                    <w:topLinePunct w:val="0"/>
                    <w:autoSpaceDE/>
                    <w:autoSpaceDN/>
                    <w:bidi w:val="0"/>
                    <w:adjustRightInd w:val="0"/>
                    <w:snapToGrid w:val="0"/>
                    <w:spacing w:after="0" w:afterLines="0"/>
                    <w:contextualSpacing/>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091" w:type="pct"/>
                  <w:noWrap w:val="0"/>
                  <w:vAlign w:val="center"/>
                </w:tcPr>
                <w:p w14:paraId="7EBB8BB3">
                  <w:pPr>
                    <w:pStyle w:val="2"/>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降噪措施</w:t>
                  </w:r>
                </w:p>
              </w:tc>
              <w:tc>
                <w:tcPr>
                  <w:tcW w:w="3339" w:type="pct"/>
                  <w:tcBorders>
                    <w:top w:val="single" w:color="auto" w:sz="4" w:space="0"/>
                    <w:left w:val="single" w:color="auto" w:sz="4" w:space="0"/>
                    <w:bottom w:val="single" w:color="auto" w:sz="4" w:space="0"/>
                  </w:tcBorders>
                  <w:noWrap w:val="0"/>
                  <w:vAlign w:val="center"/>
                </w:tcPr>
                <w:p w14:paraId="5927B1CE">
                  <w:pPr>
                    <w:keepNext w:val="0"/>
                    <w:keepLines w:val="0"/>
                    <w:pageBreakBefore w:val="0"/>
                    <w:widowControl/>
                    <w:kinsoku/>
                    <w:wordWrap/>
                    <w:overflowPunct/>
                    <w:topLinePunct w:val="0"/>
                    <w:autoSpaceDE/>
                    <w:autoSpaceDN/>
                    <w:bidi w:val="0"/>
                    <w:adjustRightInd w:val="0"/>
                    <w:snapToGrid w:val="0"/>
                    <w:spacing w:after="0" w:afterLines="0"/>
                    <w:contextualSpacing/>
                    <w:jc w:val="left"/>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项目对各设备底座进行水泥固定、排气筒焊接口密闭等隔声降噪措施</w:t>
                  </w:r>
                </w:p>
              </w:tc>
            </w:tr>
          </w:tbl>
          <w:p w14:paraId="2005FB6F">
            <w:pPr>
              <w:widowControl/>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lang w:val="en-US" w:eastAsia="zh-CN"/>
                <w14:textFill>
                  <w14:solidFill>
                    <w14:schemeClr w14:val="tx1"/>
                  </w14:solidFill>
                </w14:textFill>
              </w:rPr>
              <w:t>2</w:t>
            </w:r>
            <w:r>
              <w:rPr>
                <w:rFonts w:hint="default" w:ascii="Times New Roman" w:hAnsi="Times New Roman" w:cs="Times New Roman"/>
                <w:b/>
                <w:color w:val="000000" w:themeColor="text1"/>
                <w:sz w:val="24"/>
                <w14:textFill>
                  <w14:solidFill>
                    <w14:schemeClr w14:val="tx1"/>
                  </w14:solidFill>
                </w14:textFill>
              </w:rPr>
              <w:t>、产品方案</w:t>
            </w:r>
          </w:p>
          <w:p w14:paraId="0D86F75A">
            <w:pPr>
              <w:spacing w:line="360" w:lineRule="auto"/>
              <w:ind w:firstLine="585"/>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原有</w:t>
            </w:r>
            <w:r>
              <w:rPr>
                <w:rFonts w:hint="default" w:ascii="Times New Roman" w:hAnsi="Times New Roman" w:cs="Times New Roman"/>
                <w:color w:val="000000" w:themeColor="text1"/>
                <w:sz w:val="24"/>
                <w14:textFill>
                  <w14:solidFill>
                    <w14:schemeClr w14:val="tx1"/>
                  </w14:solidFill>
                </w14:textFill>
              </w:rPr>
              <w:t>项目年</w:t>
            </w:r>
            <w:r>
              <w:rPr>
                <w:rFonts w:hint="eastAsia" w:ascii="Times New Roman" w:hAnsi="Times New Roman" w:cs="Times New Roman"/>
                <w:color w:val="000000" w:themeColor="text1"/>
                <w:sz w:val="24"/>
                <w:lang w:eastAsia="zh-CN"/>
                <w14:textFill>
                  <w14:solidFill>
                    <w14:schemeClr w14:val="tx1"/>
                  </w14:solidFill>
                </w14:textFill>
              </w:rPr>
              <w:t>液化石油气钢瓶</w:t>
            </w:r>
            <w:r>
              <w:rPr>
                <w:rFonts w:hint="default" w:ascii="Times New Roman" w:hAnsi="Times New Roman" w:cs="Times New Roman"/>
                <w:color w:val="000000" w:themeColor="text1"/>
                <w:sz w:val="24"/>
                <w:lang w:eastAsia="zh-CN"/>
                <w14:textFill>
                  <w14:solidFill>
                    <w14:schemeClr w14:val="tx1"/>
                  </w14:solidFill>
                </w14:textFill>
              </w:rPr>
              <w:t>检测量为</w:t>
            </w:r>
            <w:r>
              <w:rPr>
                <w:rFonts w:hint="default" w:ascii="Times New Roman" w:hAnsi="Times New Roman" w:cs="Times New Roman"/>
                <w:color w:val="000000" w:themeColor="text1"/>
                <w:sz w:val="24"/>
                <w:lang w:val="en-US" w:eastAsia="zh-CN"/>
                <w14:textFill>
                  <w14:solidFill>
                    <w14:schemeClr w14:val="tx1"/>
                  </w14:solidFill>
                </w14:textFill>
              </w:rPr>
              <w:t>10万个/a</w:t>
            </w:r>
            <w:r>
              <w:rPr>
                <w:rFonts w:hint="default" w:ascii="Times New Roman" w:hAnsi="Times New Roman" w:cs="Times New Roman"/>
                <w:color w:val="000000" w:themeColor="text1"/>
                <w:sz w:val="24"/>
                <w14:textFill>
                  <w14:solidFill>
                    <w14:schemeClr w14:val="tx1"/>
                  </w14:solidFill>
                </w14:textFill>
              </w:rPr>
              <w:t>。项目产品方案见</w:t>
            </w:r>
            <w:r>
              <w:rPr>
                <w:rFonts w:hint="default" w:ascii="Times New Roman" w:hAnsi="Times New Roman" w:cs="Times New Roman"/>
                <w:color w:val="000000" w:themeColor="text1"/>
                <w:sz w:val="24"/>
                <w:lang w:eastAsia="zh-CN"/>
                <w14:textFill>
                  <w14:solidFill>
                    <w14:schemeClr w14:val="tx1"/>
                  </w14:solidFill>
                </w14:textFill>
              </w:rPr>
              <w:t>下</w:t>
            </w:r>
            <w:r>
              <w:rPr>
                <w:rFonts w:hint="default" w:ascii="Times New Roman" w:hAnsi="Times New Roman" w:cs="Times New Roman"/>
                <w:color w:val="000000" w:themeColor="text1"/>
                <w:sz w:val="24"/>
                <w14:textFill>
                  <w14:solidFill>
                    <w14:schemeClr w14:val="tx1"/>
                  </w14:solidFill>
                </w14:textFill>
              </w:rPr>
              <w:t>表。</w:t>
            </w:r>
          </w:p>
          <w:p w14:paraId="66758EF6">
            <w:pPr>
              <w:autoSpaceDE w:val="0"/>
              <w:autoSpaceDN w:val="0"/>
              <w:adjustRightInd w:val="0"/>
              <w:ind w:firstLine="422" w:firstLineChars="20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表2-</w:t>
            </w:r>
            <w:r>
              <w:rPr>
                <w:rFonts w:hint="default" w:ascii="Times New Roman" w:hAnsi="Times New Roman" w:cs="Times New Roman"/>
                <w:b/>
                <w:color w:val="000000" w:themeColor="text1"/>
                <w:szCs w:val="21"/>
                <w:lang w:val="en-US" w:eastAsia="zh-CN"/>
                <w14:textFill>
                  <w14:solidFill>
                    <w14:schemeClr w14:val="tx1"/>
                  </w14:solidFill>
                </w14:textFill>
              </w:rPr>
              <w:t>10</w:t>
            </w:r>
            <w:r>
              <w:rPr>
                <w:rFonts w:hint="default" w:ascii="Times New Roman" w:hAnsi="Times New Roman" w:cs="Times New Roman"/>
                <w:b/>
                <w:color w:val="000000" w:themeColor="text1"/>
                <w:szCs w:val="21"/>
                <w14:textFill>
                  <w14:solidFill>
                    <w14:schemeClr w14:val="tx1"/>
                  </w14:solidFill>
                </w14:textFill>
              </w:rPr>
              <w:t xml:space="preserve">   项目产品方案</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2452"/>
              <w:gridCol w:w="1740"/>
              <w:gridCol w:w="3055"/>
            </w:tblGrid>
            <w:tr w14:paraId="2EB7C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3" w:type="dxa"/>
                  <w:noWrap w:val="0"/>
                  <w:vAlign w:val="center"/>
                </w:tcPr>
                <w:p w14:paraId="0817DA8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序号</w:t>
                  </w:r>
                </w:p>
              </w:tc>
              <w:tc>
                <w:tcPr>
                  <w:tcW w:w="2452" w:type="dxa"/>
                  <w:noWrap w:val="0"/>
                  <w:vAlign w:val="center"/>
                </w:tcPr>
                <w:p w14:paraId="0D71E25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产品名称</w:t>
                  </w:r>
                </w:p>
              </w:tc>
              <w:tc>
                <w:tcPr>
                  <w:tcW w:w="1740" w:type="dxa"/>
                  <w:noWrap w:val="0"/>
                  <w:vAlign w:val="center"/>
                </w:tcPr>
                <w:p w14:paraId="2E83533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产品规模</w:t>
                  </w:r>
                </w:p>
              </w:tc>
              <w:tc>
                <w:tcPr>
                  <w:tcW w:w="3055" w:type="dxa"/>
                  <w:noWrap w:val="0"/>
                  <w:vAlign w:val="center"/>
                </w:tcPr>
                <w:p w14:paraId="7471CBD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备注</w:t>
                  </w:r>
                </w:p>
              </w:tc>
            </w:tr>
            <w:tr w14:paraId="17737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3" w:type="dxa"/>
                  <w:noWrap w:val="0"/>
                  <w:vAlign w:val="center"/>
                </w:tcPr>
                <w:p w14:paraId="2EDFDF9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452" w:type="dxa"/>
                  <w:noWrap w:val="0"/>
                  <w:vAlign w:val="center"/>
                </w:tcPr>
                <w:p w14:paraId="1B1A661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液化石油气钢瓶YSP26.2</w:t>
                  </w:r>
                </w:p>
              </w:tc>
              <w:tc>
                <w:tcPr>
                  <w:tcW w:w="1740" w:type="dxa"/>
                  <w:noWrap w:val="0"/>
                  <w:vAlign w:val="center"/>
                </w:tcPr>
                <w:p w14:paraId="1059409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10000个/a</w:t>
                  </w:r>
                </w:p>
              </w:tc>
              <w:tc>
                <w:tcPr>
                  <w:tcW w:w="3055" w:type="dxa"/>
                  <w:noWrap w:val="0"/>
                  <w:vAlign w:val="center"/>
                </w:tcPr>
                <w:p w14:paraId="13EC388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10kg（12L）</w:t>
                  </w:r>
                </w:p>
              </w:tc>
            </w:tr>
            <w:tr w14:paraId="70252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3" w:type="dxa"/>
                  <w:noWrap w:val="0"/>
                  <w:vAlign w:val="center"/>
                </w:tcPr>
                <w:p w14:paraId="6AF657C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2452" w:type="dxa"/>
                  <w:noWrap w:val="0"/>
                  <w:vAlign w:val="center"/>
                </w:tcPr>
                <w:p w14:paraId="5660164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液化石油气钢瓶YSP35.5</w:t>
                  </w:r>
                </w:p>
              </w:tc>
              <w:tc>
                <w:tcPr>
                  <w:tcW w:w="1740" w:type="dxa"/>
                  <w:noWrap w:val="0"/>
                  <w:vAlign w:val="center"/>
                </w:tcPr>
                <w:p w14:paraId="7E013B8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85000个/a</w:t>
                  </w:r>
                </w:p>
              </w:tc>
              <w:tc>
                <w:tcPr>
                  <w:tcW w:w="3055" w:type="dxa"/>
                  <w:noWrap w:val="0"/>
                  <w:vAlign w:val="center"/>
                </w:tcPr>
                <w:p w14:paraId="0564B42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15kg（35.5L）</w:t>
                  </w:r>
                </w:p>
              </w:tc>
            </w:tr>
            <w:tr w14:paraId="0C5B6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3" w:type="dxa"/>
                  <w:noWrap w:val="0"/>
                  <w:vAlign w:val="center"/>
                </w:tcPr>
                <w:p w14:paraId="32F3B2C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2452" w:type="dxa"/>
                  <w:noWrap w:val="0"/>
                  <w:vAlign w:val="center"/>
                </w:tcPr>
                <w:p w14:paraId="222A762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液化石油气钢瓶YSP118</w:t>
                  </w:r>
                </w:p>
              </w:tc>
              <w:tc>
                <w:tcPr>
                  <w:tcW w:w="1740" w:type="dxa"/>
                  <w:noWrap w:val="0"/>
                  <w:vAlign w:val="center"/>
                </w:tcPr>
                <w:p w14:paraId="68C6E5E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5000个/a</w:t>
                  </w:r>
                </w:p>
              </w:tc>
              <w:tc>
                <w:tcPr>
                  <w:tcW w:w="3055" w:type="dxa"/>
                  <w:noWrap w:val="0"/>
                  <w:vAlign w:val="center"/>
                </w:tcPr>
                <w:p w14:paraId="755CEA5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50kg（118L）</w:t>
                  </w:r>
                </w:p>
              </w:tc>
            </w:tr>
          </w:tbl>
          <w:p w14:paraId="74B993AF">
            <w:pPr>
              <w:widowControl/>
              <w:spacing w:line="360" w:lineRule="auto"/>
              <w:ind w:firstLine="482" w:firstLineChars="200"/>
              <w:rPr>
                <w:rFonts w:hint="default" w:ascii="Times New Roman" w:hAnsi="Times New Roman" w:cs="Times New Roman"/>
                <w:b/>
                <w:color w:val="000000" w:themeColor="text1"/>
                <w:sz w:val="24"/>
                <w:lang w:val="en-US" w:eastAsia="zh-CN"/>
                <w14:textFill>
                  <w14:solidFill>
                    <w14:schemeClr w14:val="tx1"/>
                  </w14:solidFill>
                </w14:textFill>
              </w:rPr>
            </w:pPr>
            <w:r>
              <w:rPr>
                <w:rFonts w:hint="default" w:ascii="Times New Roman" w:hAnsi="Times New Roman" w:cs="Times New Roman"/>
                <w:b/>
                <w:color w:val="000000" w:themeColor="text1"/>
                <w:sz w:val="24"/>
                <w:lang w:val="en-US" w:eastAsia="zh-CN"/>
                <w14:textFill>
                  <w14:solidFill>
                    <w14:schemeClr w14:val="tx1"/>
                  </w14:solidFill>
                </w14:textFill>
              </w:rPr>
              <w:t>3、生产设备</w:t>
            </w:r>
          </w:p>
          <w:p w14:paraId="22D02B86">
            <w:pPr>
              <w:autoSpaceDE w:val="0"/>
              <w:autoSpaceDN w:val="0"/>
              <w:adjustRightInd w:val="0"/>
              <w:ind w:firstLine="422" w:firstLineChars="200"/>
              <w:jc w:val="center"/>
              <w:rPr>
                <w:rFonts w:hint="default" w:ascii="Times New Roman" w:hAnsi="Times New Roman" w:eastAsia="宋体" w:cs="Times New Roman"/>
                <w:b/>
                <w:color w:val="000000" w:themeColor="text1"/>
                <w:szCs w:val="21"/>
                <w:lang w:eastAsia="zh-CN"/>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表2-</w:t>
            </w:r>
            <w:r>
              <w:rPr>
                <w:rFonts w:hint="default" w:ascii="Times New Roman" w:hAnsi="Times New Roman" w:eastAsia="宋体" w:cs="Times New Roman"/>
                <w:b/>
                <w:color w:val="000000" w:themeColor="text1"/>
                <w:szCs w:val="21"/>
                <w:lang w:val="en-US" w:eastAsia="zh-CN"/>
                <w14:textFill>
                  <w14:solidFill>
                    <w14:schemeClr w14:val="tx1"/>
                  </w14:solidFill>
                </w14:textFill>
              </w:rPr>
              <w:t>1</w:t>
            </w:r>
            <w:r>
              <w:rPr>
                <w:rFonts w:hint="default" w:ascii="Times New Roman" w:hAnsi="Times New Roman" w:cs="Times New Roman"/>
                <w:b/>
                <w:color w:val="000000" w:themeColor="text1"/>
                <w:szCs w:val="21"/>
                <w:lang w:val="en-US" w:eastAsia="zh-CN"/>
                <w14:textFill>
                  <w14:solidFill>
                    <w14:schemeClr w14:val="tx1"/>
                  </w14:solidFill>
                </w14:textFill>
              </w:rPr>
              <w:t>1</w:t>
            </w:r>
            <w:r>
              <w:rPr>
                <w:rFonts w:hint="default" w:ascii="Times New Roman" w:hAnsi="Times New Roman" w:eastAsia="宋体" w:cs="Times New Roman"/>
                <w:b/>
                <w:color w:val="000000" w:themeColor="text1"/>
                <w:szCs w:val="21"/>
                <w14:textFill>
                  <w14:solidFill>
                    <w14:schemeClr w14:val="tx1"/>
                  </w14:solidFill>
                </w14:textFill>
              </w:rPr>
              <w:t xml:space="preserve">  </w:t>
            </w:r>
            <w:r>
              <w:rPr>
                <w:rFonts w:hint="default" w:ascii="Times New Roman" w:hAnsi="Times New Roman" w:eastAsia="宋体" w:cs="Times New Roman"/>
                <w:b/>
                <w:color w:val="000000" w:themeColor="text1"/>
                <w:szCs w:val="21"/>
                <w:lang w:eastAsia="zh-CN"/>
                <w14:textFill>
                  <w14:solidFill>
                    <w14:schemeClr w14:val="tx1"/>
                  </w14:solidFill>
                </w14:textFill>
              </w:rPr>
              <w:t>原有项目生产设备</w:t>
            </w:r>
          </w:p>
          <w:tbl>
            <w:tblPr>
              <w:tblStyle w:val="3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33"/>
              <w:gridCol w:w="2298"/>
              <w:gridCol w:w="2113"/>
              <w:gridCol w:w="1764"/>
              <w:gridCol w:w="1199"/>
            </w:tblGrid>
            <w:tr w14:paraId="52BD7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blHeader/>
              </w:trPr>
              <w:tc>
                <w:tcPr>
                  <w:tcW w:w="614" w:type="pct"/>
                  <w:vMerge w:val="restart"/>
                  <w:noWrap w:val="0"/>
                  <w:vAlign w:val="center"/>
                </w:tcPr>
                <w:p w14:paraId="5266BEC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1366" w:type="pct"/>
                  <w:vMerge w:val="restart"/>
                  <w:noWrap w:val="0"/>
                  <w:vAlign w:val="center"/>
                </w:tcPr>
                <w:p w14:paraId="55A6FAE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名称</w:t>
                  </w:r>
                </w:p>
              </w:tc>
              <w:tc>
                <w:tcPr>
                  <w:tcW w:w="1256" w:type="pct"/>
                  <w:vMerge w:val="restart"/>
                  <w:noWrap w:val="0"/>
                  <w:vAlign w:val="center"/>
                </w:tcPr>
                <w:p w14:paraId="384273A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lang w:eastAsia="zh-CN"/>
                      <w14:textFill>
                        <w14:solidFill>
                          <w14:schemeClr w14:val="tx1"/>
                        </w14:solidFill>
                      </w14:textFill>
                    </w:rPr>
                    <w:t>主要用途</w:t>
                  </w:r>
                </w:p>
              </w:tc>
              <w:tc>
                <w:tcPr>
                  <w:tcW w:w="1762" w:type="pct"/>
                  <w:gridSpan w:val="2"/>
                  <w:noWrap w:val="0"/>
                  <w:vAlign w:val="center"/>
                </w:tcPr>
                <w:p w14:paraId="3E4C26D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b/>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lang w:eastAsia="zh-CN"/>
                      <w14:textFill>
                        <w14:solidFill>
                          <w14:schemeClr w14:val="tx1"/>
                        </w14:solidFill>
                      </w14:textFill>
                    </w:rPr>
                    <w:t>实际情况</w:t>
                  </w:r>
                </w:p>
              </w:tc>
            </w:tr>
            <w:tr w14:paraId="7BA8E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blHeader/>
              </w:trPr>
              <w:tc>
                <w:tcPr>
                  <w:tcW w:w="614" w:type="pct"/>
                  <w:vMerge w:val="continue"/>
                  <w:noWrap w:val="0"/>
                  <w:vAlign w:val="center"/>
                </w:tcPr>
                <w:p w14:paraId="2B84462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b/>
                      <w:color w:val="000000" w:themeColor="text1"/>
                      <w:sz w:val="21"/>
                      <w:szCs w:val="21"/>
                      <w14:textFill>
                        <w14:solidFill>
                          <w14:schemeClr w14:val="tx1"/>
                        </w14:solidFill>
                      </w14:textFill>
                    </w:rPr>
                  </w:pPr>
                </w:p>
              </w:tc>
              <w:tc>
                <w:tcPr>
                  <w:tcW w:w="1366" w:type="pct"/>
                  <w:vMerge w:val="continue"/>
                  <w:noWrap w:val="0"/>
                  <w:vAlign w:val="center"/>
                </w:tcPr>
                <w:p w14:paraId="7F5CA9B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b/>
                      <w:color w:val="000000" w:themeColor="text1"/>
                      <w:kern w:val="0"/>
                      <w:sz w:val="21"/>
                      <w:szCs w:val="21"/>
                      <w14:textFill>
                        <w14:solidFill>
                          <w14:schemeClr w14:val="tx1"/>
                        </w14:solidFill>
                      </w14:textFill>
                    </w:rPr>
                  </w:pPr>
                </w:p>
              </w:tc>
              <w:tc>
                <w:tcPr>
                  <w:tcW w:w="1256" w:type="pct"/>
                  <w:vMerge w:val="continue"/>
                  <w:noWrap w:val="0"/>
                  <w:vAlign w:val="center"/>
                </w:tcPr>
                <w:p w14:paraId="0D078AC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b/>
                      <w:color w:val="000000" w:themeColor="text1"/>
                      <w:kern w:val="0"/>
                      <w:sz w:val="21"/>
                      <w:szCs w:val="21"/>
                      <w14:textFill>
                        <w14:solidFill>
                          <w14:schemeClr w14:val="tx1"/>
                        </w14:solidFill>
                      </w14:textFill>
                    </w:rPr>
                  </w:pPr>
                </w:p>
              </w:tc>
              <w:tc>
                <w:tcPr>
                  <w:tcW w:w="1049" w:type="pct"/>
                  <w:noWrap w:val="0"/>
                  <w:vAlign w:val="center"/>
                </w:tcPr>
                <w:p w14:paraId="2D391F1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型号及规格</w:t>
                  </w:r>
                </w:p>
              </w:tc>
              <w:tc>
                <w:tcPr>
                  <w:tcW w:w="713" w:type="pct"/>
                  <w:noWrap w:val="0"/>
                  <w:vAlign w:val="center"/>
                </w:tcPr>
                <w:p w14:paraId="41A5CCE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单位</w:t>
                  </w:r>
                </w:p>
              </w:tc>
            </w:tr>
            <w:tr w14:paraId="179B9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4" w:type="pct"/>
                  <w:noWrap w:val="0"/>
                  <w:vAlign w:val="center"/>
                </w:tcPr>
                <w:p w14:paraId="70C7DE5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w:t>
                  </w:r>
                </w:p>
              </w:tc>
              <w:tc>
                <w:tcPr>
                  <w:tcW w:w="1366" w:type="pct"/>
                  <w:noWrap w:val="0"/>
                  <w:vAlign w:val="center"/>
                </w:tcPr>
                <w:p w14:paraId="63A6483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残液回收器</w:t>
                  </w:r>
                </w:p>
              </w:tc>
              <w:tc>
                <w:tcPr>
                  <w:tcW w:w="1256" w:type="pct"/>
                  <w:noWrap w:val="0"/>
                  <w:vAlign w:val="center"/>
                </w:tcPr>
                <w:p w14:paraId="7B08C37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回收残液</w:t>
                  </w:r>
                </w:p>
              </w:tc>
              <w:tc>
                <w:tcPr>
                  <w:tcW w:w="1049" w:type="pct"/>
                  <w:noWrap w:val="0"/>
                  <w:vAlign w:val="center"/>
                </w:tcPr>
                <w:p w14:paraId="7EDFB49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YCH-1型</w:t>
                  </w:r>
                </w:p>
              </w:tc>
              <w:tc>
                <w:tcPr>
                  <w:tcW w:w="713" w:type="pct"/>
                  <w:noWrap w:val="0"/>
                  <w:vAlign w:val="center"/>
                </w:tcPr>
                <w:p w14:paraId="23DE0DD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2台</w:t>
                  </w:r>
                </w:p>
              </w:tc>
            </w:tr>
            <w:tr w14:paraId="36E96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4" w:type="pct"/>
                  <w:noWrap w:val="0"/>
                  <w:vAlign w:val="center"/>
                </w:tcPr>
                <w:p w14:paraId="2AB6390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w:t>
                  </w:r>
                </w:p>
              </w:tc>
              <w:tc>
                <w:tcPr>
                  <w:tcW w:w="1366" w:type="pct"/>
                  <w:noWrap w:val="0"/>
                  <w:vAlign w:val="center"/>
                </w:tcPr>
                <w:p w14:paraId="3F8C697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瓶阀装卸机</w:t>
                  </w:r>
                </w:p>
              </w:tc>
              <w:tc>
                <w:tcPr>
                  <w:tcW w:w="1256" w:type="pct"/>
                  <w:noWrap w:val="0"/>
                  <w:vAlign w:val="center"/>
                </w:tcPr>
                <w:p w14:paraId="68234EF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拆装瓶阀</w:t>
                  </w:r>
                </w:p>
              </w:tc>
              <w:tc>
                <w:tcPr>
                  <w:tcW w:w="1049" w:type="pct"/>
                  <w:noWrap w:val="0"/>
                  <w:vAlign w:val="center"/>
                </w:tcPr>
                <w:p w14:paraId="5A3FAE8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YJ-2型</w:t>
                  </w:r>
                </w:p>
              </w:tc>
              <w:tc>
                <w:tcPr>
                  <w:tcW w:w="713" w:type="pct"/>
                  <w:noWrap w:val="0"/>
                  <w:vAlign w:val="center"/>
                </w:tcPr>
                <w:p w14:paraId="5FD1CDE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2台</w:t>
                  </w:r>
                </w:p>
              </w:tc>
            </w:tr>
            <w:tr w14:paraId="69A22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4" w:type="pct"/>
                  <w:noWrap w:val="0"/>
                  <w:vAlign w:val="center"/>
                </w:tcPr>
                <w:p w14:paraId="2D72069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w:t>
                  </w:r>
                </w:p>
              </w:tc>
              <w:tc>
                <w:tcPr>
                  <w:tcW w:w="1366" w:type="pct"/>
                  <w:noWrap w:val="0"/>
                  <w:vAlign w:val="center"/>
                </w:tcPr>
                <w:p w14:paraId="6B4789B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瓶阀检验台</w:t>
                  </w:r>
                </w:p>
              </w:tc>
              <w:tc>
                <w:tcPr>
                  <w:tcW w:w="1256" w:type="pct"/>
                  <w:noWrap w:val="0"/>
                  <w:vAlign w:val="center"/>
                </w:tcPr>
                <w:p w14:paraId="1314139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瓶阀校验</w:t>
                  </w:r>
                </w:p>
              </w:tc>
              <w:tc>
                <w:tcPr>
                  <w:tcW w:w="1049" w:type="pct"/>
                  <w:noWrap w:val="0"/>
                  <w:vAlign w:val="center"/>
                </w:tcPr>
                <w:p w14:paraId="15F7C3C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YF-1型</w:t>
                  </w:r>
                </w:p>
              </w:tc>
              <w:tc>
                <w:tcPr>
                  <w:tcW w:w="713" w:type="pct"/>
                  <w:noWrap w:val="0"/>
                  <w:vAlign w:val="center"/>
                </w:tcPr>
                <w:p w14:paraId="7FC45CA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1台</w:t>
                  </w:r>
                </w:p>
              </w:tc>
            </w:tr>
            <w:tr w14:paraId="6707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4" w:type="pct"/>
                  <w:noWrap w:val="0"/>
                  <w:vAlign w:val="center"/>
                </w:tcPr>
                <w:p w14:paraId="254C07D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4</w:t>
                  </w:r>
                </w:p>
              </w:tc>
              <w:tc>
                <w:tcPr>
                  <w:tcW w:w="1366" w:type="pct"/>
                  <w:noWrap w:val="0"/>
                  <w:vAlign w:val="center"/>
                </w:tcPr>
                <w:p w14:paraId="1BE23CF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焚烧炉</w:t>
                  </w:r>
                </w:p>
              </w:tc>
              <w:tc>
                <w:tcPr>
                  <w:tcW w:w="1256" w:type="pct"/>
                  <w:noWrap w:val="0"/>
                  <w:vAlign w:val="center"/>
                </w:tcPr>
                <w:p w14:paraId="1490953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除钢瓶表面漆</w:t>
                  </w:r>
                </w:p>
              </w:tc>
              <w:tc>
                <w:tcPr>
                  <w:tcW w:w="1049" w:type="pct"/>
                  <w:noWrap w:val="0"/>
                  <w:vAlign w:val="center"/>
                </w:tcPr>
                <w:p w14:paraId="30D55DD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YFL-1型</w:t>
                  </w:r>
                </w:p>
              </w:tc>
              <w:tc>
                <w:tcPr>
                  <w:tcW w:w="713" w:type="pct"/>
                  <w:noWrap w:val="0"/>
                  <w:vAlign w:val="center"/>
                </w:tcPr>
                <w:p w14:paraId="2F20C63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1台</w:t>
                  </w:r>
                </w:p>
              </w:tc>
            </w:tr>
            <w:tr w14:paraId="6AA60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4" w:type="pct"/>
                  <w:noWrap w:val="0"/>
                  <w:vAlign w:val="center"/>
                </w:tcPr>
                <w:p w14:paraId="1ADA06E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5</w:t>
                  </w:r>
                </w:p>
              </w:tc>
              <w:tc>
                <w:tcPr>
                  <w:tcW w:w="1366" w:type="pct"/>
                  <w:noWrap w:val="0"/>
                  <w:vAlign w:val="center"/>
                </w:tcPr>
                <w:p w14:paraId="521B555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除锈机</w:t>
                  </w:r>
                </w:p>
              </w:tc>
              <w:tc>
                <w:tcPr>
                  <w:tcW w:w="1256" w:type="pct"/>
                  <w:noWrap w:val="0"/>
                  <w:vAlign w:val="center"/>
                </w:tcPr>
                <w:p w14:paraId="29657F4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除钢瓶表面锈</w:t>
                  </w:r>
                </w:p>
              </w:tc>
              <w:tc>
                <w:tcPr>
                  <w:tcW w:w="1049" w:type="pct"/>
                  <w:noWrap w:val="0"/>
                  <w:vAlign w:val="center"/>
                </w:tcPr>
                <w:p w14:paraId="78F7783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YC-5型</w:t>
                  </w:r>
                </w:p>
              </w:tc>
              <w:tc>
                <w:tcPr>
                  <w:tcW w:w="713" w:type="pct"/>
                  <w:noWrap w:val="0"/>
                  <w:vAlign w:val="center"/>
                </w:tcPr>
                <w:p w14:paraId="0EDEA1E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1台</w:t>
                  </w:r>
                </w:p>
              </w:tc>
            </w:tr>
            <w:tr w14:paraId="3BD1B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4" w:type="pct"/>
                  <w:noWrap w:val="0"/>
                  <w:vAlign w:val="center"/>
                </w:tcPr>
                <w:p w14:paraId="1BB3612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6</w:t>
                  </w:r>
                </w:p>
              </w:tc>
              <w:tc>
                <w:tcPr>
                  <w:tcW w:w="1366" w:type="pct"/>
                  <w:noWrap w:val="0"/>
                  <w:vAlign w:val="center"/>
                </w:tcPr>
                <w:p w14:paraId="469131D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钢瓶气密机</w:t>
                  </w:r>
                </w:p>
              </w:tc>
              <w:tc>
                <w:tcPr>
                  <w:tcW w:w="1256" w:type="pct"/>
                  <w:noWrap w:val="0"/>
                  <w:vAlign w:val="center"/>
                </w:tcPr>
                <w:p w14:paraId="7B1A847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校验钢瓶气密</w:t>
                  </w:r>
                </w:p>
              </w:tc>
              <w:tc>
                <w:tcPr>
                  <w:tcW w:w="1049" w:type="pct"/>
                  <w:noWrap w:val="0"/>
                  <w:vAlign w:val="center"/>
                </w:tcPr>
                <w:p w14:paraId="6446740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YQ-2B型</w:t>
                  </w:r>
                </w:p>
              </w:tc>
              <w:tc>
                <w:tcPr>
                  <w:tcW w:w="713" w:type="pct"/>
                  <w:noWrap w:val="0"/>
                  <w:vAlign w:val="center"/>
                </w:tcPr>
                <w:p w14:paraId="6CFFDBA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1台</w:t>
                  </w:r>
                </w:p>
              </w:tc>
            </w:tr>
            <w:tr w14:paraId="14D47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4" w:type="pct"/>
                  <w:noWrap w:val="0"/>
                  <w:vAlign w:val="center"/>
                </w:tcPr>
                <w:p w14:paraId="4BB1D73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7</w:t>
                  </w:r>
                </w:p>
              </w:tc>
              <w:tc>
                <w:tcPr>
                  <w:tcW w:w="1366" w:type="pct"/>
                  <w:noWrap w:val="0"/>
                  <w:vAlign w:val="center"/>
                </w:tcPr>
                <w:p w14:paraId="20329A9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水压测试机</w:t>
                  </w:r>
                </w:p>
              </w:tc>
              <w:tc>
                <w:tcPr>
                  <w:tcW w:w="1256" w:type="pct"/>
                  <w:noWrap w:val="0"/>
                  <w:vAlign w:val="center"/>
                </w:tcPr>
                <w:p w14:paraId="620CBD9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耐压试验</w:t>
                  </w:r>
                </w:p>
              </w:tc>
              <w:tc>
                <w:tcPr>
                  <w:tcW w:w="1049" w:type="pct"/>
                  <w:noWrap w:val="0"/>
                  <w:vAlign w:val="center"/>
                </w:tcPr>
                <w:p w14:paraId="0B5BAA8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YS-6型</w:t>
                  </w:r>
                </w:p>
              </w:tc>
              <w:tc>
                <w:tcPr>
                  <w:tcW w:w="713" w:type="pct"/>
                  <w:noWrap w:val="0"/>
                  <w:vAlign w:val="center"/>
                </w:tcPr>
                <w:p w14:paraId="3D91A0D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1台</w:t>
                  </w:r>
                </w:p>
              </w:tc>
            </w:tr>
            <w:tr w14:paraId="43F94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4" w:type="pct"/>
                  <w:noWrap w:val="0"/>
                  <w:vAlign w:val="center"/>
                </w:tcPr>
                <w:p w14:paraId="50C412E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8</w:t>
                  </w:r>
                </w:p>
              </w:tc>
              <w:tc>
                <w:tcPr>
                  <w:tcW w:w="1366" w:type="pct"/>
                  <w:noWrap w:val="0"/>
                  <w:vAlign w:val="center"/>
                </w:tcPr>
                <w:p w14:paraId="5E95A75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试压泵</w:t>
                  </w:r>
                </w:p>
              </w:tc>
              <w:tc>
                <w:tcPr>
                  <w:tcW w:w="1256" w:type="pct"/>
                  <w:noWrap w:val="0"/>
                  <w:vAlign w:val="center"/>
                </w:tcPr>
                <w:p w14:paraId="4342501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耐压试验</w:t>
                  </w:r>
                </w:p>
              </w:tc>
              <w:tc>
                <w:tcPr>
                  <w:tcW w:w="1049" w:type="pct"/>
                  <w:noWrap w:val="0"/>
                  <w:vAlign w:val="center"/>
                </w:tcPr>
                <w:p w14:paraId="6AF52DC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4DSY-40/25型</w:t>
                  </w:r>
                </w:p>
              </w:tc>
              <w:tc>
                <w:tcPr>
                  <w:tcW w:w="713" w:type="pct"/>
                  <w:noWrap w:val="0"/>
                  <w:vAlign w:val="center"/>
                </w:tcPr>
                <w:p w14:paraId="75FB75B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1台</w:t>
                  </w:r>
                </w:p>
              </w:tc>
            </w:tr>
            <w:tr w14:paraId="65068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4" w:type="pct"/>
                  <w:noWrap w:val="0"/>
                  <w:vAlign w:val="center"/>
                </w:tcPr>
                <w:p w14:paraId="7E905E9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9</w:t>
                  </w:r>
                </w:p>
              </w:tc>
              <w:tc>
                <w:tcPr>
                  <w:tcW w:w="1366" w:type="pct"/>
                  <w:noWrap w:val="0"/>
                  <w:vAlign w:val="center"/>
                </w:tcPr>
                <w:p w14:paraId="11B8644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空气压缩机</w:t>
                  </w:r>
                </w:p>
              </w:tc>
              <w:tc>
                <w:tcPr>
                  <w:tcW w:w="1256" w:type="pct"/>
                  <w:noWrap w:val="0"/>
                  <w:vAlign w:val="center"/>
                </w:tcPr>
                <w:p w14:paraId="3B726F8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气密性实验/气动工具</w:t>
                  </w:r>
                </w:p>
              </w:tc>
              <w:tc>
                <w:tcPr>
                  <w:tcW w:w="1049" w:type="pct"/>
                  <w:noWrap w:val="0"/>
                  <w:vAlign w:val="center"/>
                </w:tcPr>
                <w:p w14:paraId="26C56FA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W-0.6/10型</w:t>
                  </w:r>
                </w:p>
              </w:tc>
              <w:tc>
                <w:tcPr>
                  <w:tcW w:w="713" w:type="pct"/>
                  <w:noWrap w:val="0"/>
                  <w:vAlign w:val="center"/>
                </w:tcPr>
                <w:p w14:paraId="031FC03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2台</w:t>
                  </w:r>
                </w:p>
              </w:tc>
            </w:tr>
            <w:tr w14:paraId="0E3D0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14" w:type="pct"/>
                  <w:noWrap w:val="0"/>
                  <w:vAlign w:val="center"/>
                </w:tcPr>
                <w:p w14:paraId="2CA5A96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10</w:t>
                  </w:r>
                </w:p>
              </w:tc>
              <w:tc>
                <w:tcPr>
                  <w:tcW w:w="1366" w:type="pct"/>
                  <w:noWrap w:val="0"/>
                  <w:vAlign w:val="center"/>
                </w:tcPr>
                <w:p w14:paraId="45EB7C0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台钻</w:t>
                  </w:r>
                </w:p>
              </w:tc>
              <w:tc>
                <w:tcPr>
                  <w:tcW w:w="1256" w:type="pct"/>
                  <w:noWrap w:val="0"/>
                  <w:vAlign w:val="center"/>
                </w:tcPr>
                <w:p w14:paraId="0BEE7DA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打检验标志</w:t>
                  </w:r>
                </w:p>
              </w:tc>
              <w:tc>
                <w:tcPr>
                  <w:tcW w:w="1049" w:type="pct"/>
                  <w:noWrap w:val="0"/>
                  <w:vAlign w:val="center"/>
                </w:tcPr>
                <w:p w14:paraId="6DCB903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w:t>
                  </w:r>
                </w:p>
              </w:tc>
              <w:tc>
                <w:tcPr>
                  <w:tcW w:w="713" w:type="pct"/>
                  <w:noWrap w:val="0"/>
                  <w:vAlign w:val="center"/>
                </w:tcPr>
                <w:p w14:paraId="4960010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1台</w:t>
                  </w:r>
                </w:p>
              </w:tc>
            </w:tr>
            <w:tr w14:paraId="58AAA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4" w:type="pct"/>
                  <w:noWrap w:val="0"/>
                  <w:vAlign w:val="center"/>
                </w:tcPr>
                <w:p w14:paraId="47E8A15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11</w:t>
                  </w:r>
                </w:p>
              </w:tc>
              <w:tc>
                <w:tcPr>
                  <w:tcW w:w="1366" w:type="pct"/>
                  <w:noWrap w:val="0"/>
                  <w:vAlign w:val="center"/>
                </w:tcPr>
                <w:p w14:paraId="351B6B2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真空泵</w:t>
                  </w:r>
                </w:p>
              </w:tc>
              <w:tc>
                <w:tcPr>
                  <w:tcW w:w="1256" w:type="pct"/>
                  <w:noWrap w:val="0"/>
                  <w:vAlign w:val="center"/>
                </w:tcPr>
                <w:p w14:paraId="57B5D1D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抽真空</w:t>
                  </w:r>
                </w:p>
              </w:tc>
              <w:tc>
                <w:tcPr>
                  <w:tcW w:w="1049" w:type="pct"/>
                  <w:noWrap w:val="0"/>
                  <w:vAlign w:val="center"/>
                </w:tcPr>
                <w:p w14:paraId="2236AFF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713" w:type="pct"/>
                  <w:noWrap w:val="0"/>
                  <w:vAlign w:val="center"/>
                </w:tcPr>
                <w:p w14:paraId="4E17FCB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1台</w:t>
                  </w:r>
                </w:p>
              </w:tc>
            </w:tr>
            <w:tr w14:paraId="7019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4" w:type="pct"/>
                  <w:noWrap w:val="0"/>
                  <w:vAlign w:val="center"/>
                </w:tcPr>
                <w:p w14:paraId="67707BF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12</w:t>
                  </w:r>
                </w:p>
              </w:tc>
              <w:tc>
                <w:tcPr>
                  <w:tcW w:w="1366" w:type="pct"/>
                  <w:noWrap w:val="0"/>
                  <w:vAlign w:val="center"/>
                </w:tcPr>
                <w:p w14:paraId="77F30FA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静电喷涂装置</w:t>
                  </w:r>
                </w:p>
              </w:tc>
              <w:tc>
                <w:tcPr>
                  <w:tcW w:w="1256" w:type="pct"/>
                  <w:noWrap w:val="0"/>
                  <w:vAlign w:val="center"/>
                </w:tcPr>
                <w:p w14:paraId="78BD4AC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涂膜</w:t>
                  </w:r>
                </w:p>
              </w:tc>
              <w:tc>
                <w:tcPr>
                  <w:tcW w:w="1049" w:type="pct"/>
                  <w:noWrap w:val="0"/>
                  <w:vAlign w:val="center"/>
                </w:tcPr>
                <w:p w14:paraId="6E20D0E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713" w:type="pct"/>
                  <w:noWrap w:val="0"/>
                  <w:vAlign w:val="center"/>
                </w:tcPr>
                <w:p w14:paraId="62D7A94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1台</w:t>
                  </w:r>
                </w:p>
              </w:tc>
            </w:tr>
            <w:tr w14:paraId="52759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4" w:type="pct"/>
                  <w:noWrap w:val="0"/>
                  <w:vAlign w:val="center"/>
                </w:tcPr>
                <w:p w14:paraId="167C137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13</w:t>
                  </w:r>
                </w:p>
              </w:tc>
              <w:tc>
                <w:tcPr>
                  <w:tcW w:w="1366" w:type="pct"/>
                  <w:noWrap w:val="0"/>
                  <w:vAlign w:val="center"/>
                </w:tcPr>
                <w:p w14:paraId="1A567FB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储气罐</w:t>
                  </w:r>
                </w:p>
              </w:tc>
              <w:tc>
                <w:tcPr>
                  <w:tcW w:w="1256" w:type="pct"/>
                  <w:noWrap w:val="0"/>
                  <w:vAlign w:val="center"/>
                </w:tcPr>
                <w:p w14:paraId="269E5F9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储压缩空气</w:t>
                  </w:r>
                </w:p>
              </w:tc>
              <w:tc>
                <w:tcPr>
                  <w:tcW w:w="1049" w:type="pct"/>
                  <w:noWrap w:val="0"/>
                  <w:vAlign w:val="center"/>
                </w:tcPr>
                <w:p w14:paraId="1BBB91C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713" w:type="pct"/>
                  <w:noWrap w:val="0"/>
                  <w:vAlign w:val="center"/>
                </w:tcPr>
                <w:p w14:paraId="5B3A5C6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2台</w:t>
                  </w:r>
                </w:p>
              </w:tc>
            </w:tr>
            <w:tr w14:paraId="5A39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4" w:type="pct"/>
                  <w:noWrap w:val="0"/>
                  <w:vAlign w:val="center"/>
                </w:tcPr>
                <w:p w14:paraId="038570B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14</w:t>
                  </w:r>
                </w:p>
              </w:tc>
              <w:tc>
                <w:tcPr>
                  <w:tcW w:w="1366" w:type="pct"/>
                  <w:noWrap w:val="0"/>
                  <w:vAlign w:val="center"/>
                </w:tcPr>
                <w:p w14:paraId="6B0A5E0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脉冲除尘设施</w:t>
                  </w:r>
                </w:p>
              </w:tc>
              <w:tc>
                <w:tcPr>
                  <w:tcW w:w="1256" w:type="pct"/>
                  <w:noWrap w:val="0"/>
                  <w:vAlign w:val="center"/>
                </w:tcPr>
                <w:p w14:paraId="7AF9A550">
                  <w:pPr>
                    <w:keepNext w:val="0"/>
                    <w:keepLines w:val="0"/>
                    <w:pageBreakBefore w:val="0"/>
                    <w:widowControl/>
                    <w:kinsoku/>
                    <w:wordWrap/>
                    <w:overflowPunct/>
                    <w:topLinePunct w:val="0"/>
                    <w:autoSpaceDE/>
                    <w:autoSpaceDN/>
                    <w:bidi w:val="0"/>
                    <w:adjustRightInd w:val="0"/>
                    <w:snapToGrid w:val="0"/>
                    <w:spacing w:after="0" w:afterLines="0"/>
                    <w:jc w:val="left"/>
                    <w:textAlignment w:val="auto"/>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焚烧、喷涂、加热工段废气除尘</w:t>
                  </w:r>
                </w:p>
              </w:tc>
              <w:tc>
                <w:tcPr>
                  <w:tcW w:w="1049" w:type="pct"/>
                  <w:noWrap w:val="0"/>
                  <w:vAlign w:val="center"/>
                </w:tcPr>
                <w:p w14:paraId="45B8DCC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713" w:type="pct"/>
                  <w:noWrap w:val="0"/>
                  <w:vAlign w:val="center"/>
                </w:tcPr>
                <w:p w14:paraId="5CAD9B9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3套</w:t>
                  </w:r>
                </w:p>
              </w:tc>
            </w:tr>
            <w:tr w14:paraId="2DFAE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4" w:type="pct"/>
                  <w:noWrap w:val="0"/>
                  <w:vAlign w:val="center"/>
                </w:tcPr>
                <w:p w14:paraId="6F2FE0B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15</w:t>
                  </w:r>
                </w:p>
              </w:tc>
              <w:tc>
                <w:tcPr>
                  <w:tcW w:w="1366" w:type="pct"/>
                  <w:noWrap w:val="0"/>
                  <w:vAlign w:val="center"/>
                </w:tcPr>
                <w:p w14:paraId="1C2F177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风机</w:t>
                  </w:r>
                </w:p>
              </w:tc>
              <w:tc>
                <w:tcPr>
                  <w:tcW w:w="1256" w:type="pct"/>
                  <w:noWrap w:val="0"/>
                  <w:vAlign w:val="center"/>
                </w:tcPr>
                <w:p w14:paraId="79C7921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提供动力</w:t>
                  </w:r>
                </w:p>
              </w:tc>
              <w:tc>
                <w:tcPr>
                  <w:tcW w:w="1049" w:type="pct"/>
                  <w:noWrap w:val="0"/>
                  <w:vAlign w:val="center"/>
                </w:tcPr>
                <w:p w14:paraId="5C410EB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713" w:type="pct"/>
                  <w:noWrap w:val="0"/>
                  <w:vAlign w:val="center"/>
                </w:tcPr>
                <w:p w14:paraId="4CC54FF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3台</w:t>
                  </w:r>
                </w:p>
              </w:tc>
            </w:tr>
            <w:tr w14:paraId="32FCA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4" w:type="pct"/>
                  <w:noWrap w:val="0"/>
                  <w:vAlign w:val="center"/>
                </w:tcPr>
                <w:p w14:paraId="3740D6F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16</w:t>
                  </w:r>
                </w:p>
              </w:tc>
              <w:tc>
                <w:tcPr>
                  <w:tcW w:w="1366" w:type="pct"/>
                  <w:noWrap w:val="0"/>
                  <w:vAlign w:val="center"/>
                </w:tcPr>
                <w:p w14:paraId="7753FCC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离心除尘设施</w:t>
                  </w:r>
                </w:p>
              </w:tc>
              <w:tc>
                <w:tcPr>
                  <w:tcW w:w="1256" w:type="pct"/>
                  <w:noWrap w:val="0"/>
                  <w:vAlign w:val="center"/>
                </w:tcPr>
                <w:p w14:paraId="37E03B8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吸附喷涂粉尘</w:t>
                  </w:r>
                </w:p>
              </w:tc>
              <w:tc>
                <w:tcPr>
                  <w:tcW w:w="1049" w:type="pct"/>
                  <w:noWrap w:val="0"/>
                  <w:vAlign w:val="center"/>
                </w:tcPr>
                <w:p w14:paraId="7ABD8A9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713" w:type="pct"/>
                  <w:noWrap w:val="0"/>
                  <w:vAlign w:val="center"/>
                </w:tcPr>
                <w:p w14:paraId="1104425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1套</w:t>
                  </w:r>
                </w:p>
              </w:tc>
            </w:tr>
          </w:tbl>
          <w:p w14:paraId="16179512">
            <w:pPr>
              <w:autoSpaceDE w:val="0"/>
              <w:autoSpaceDN w:val="0"/>
              <w:adjustRightInd w:val="0"/>
              <w:ind w:firstLine="422" w:firstLineChars="200"/>
              <w:jc w:val="center"/>
              <w:rPr>
                <w:rFonts w:hint="default" w:ascii="Times New Roman" w:hAnsi="Times New Roman"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表2-</w:t>
            </w:r>
            <w:r>
              <w:rPr>
                <w:rFonts w:hint="default" w:ascii="Times New Roman" w:hAnsi="Times New Roman" w:cs="Times New Roman"/>
                <w:b/>
                <w:color w:val="000000" w:themeColor="text1"/>
                <w:szCs w:val="21"/>
                <w:lang w:val="en-US" w:eastAsia="zh-CN"/>
                <w14:textFill>
                  <w14:solidFill>
                    <w14:schemeClr w14:val="tx1"/>
                  </w14:solidFill>
                </w14:textFill>
              </w:rPr>
              <w:t>12</w:t>
            </w:r>
            <w:r>
              <w:rPr>
                <w:rFonts w:hint="default" w:ascii="Times New Roman" w:hAnsi="Times New Roman" w:eastAsia="宋体" w:cs="Times New Roman"/>
                <w:b/>
                <w:color w:val="000000" w:themeColor="text1"/>
                <w:szCs w:val="21"/>
                <w14:textFill>
                  <w14:solidFill>
                    <w14:schemeClr w14:val="tx1"/>
                  </w14:solidFill>
                </w14:textFill>
              </w:rPr>
              <w:t xml:space="preserve">   </w:t>
            </w:r>
            <w:r>
              <w:rPr>
                <w:rFonts w:hint="default" w:ascii="Times New Roman" w:hAnsi="Times New Roman" w:eastAsia="宋体" w:cs="Times New Roman"/>
                <w:b/>
                <w:color w:val="000000" w:themeColor="text1"/>
                <w:szCs w:val="21"/>
                <w:lang w:eastAsia="zh-CN"/>
                <w14:textFill>
                  <w14:solidFill>
                    <w14:schemeClr w14:val="tx1"/>
                  </w14:solidFill>
                </w14:textFill>
              </w:rPr>
              <w:t>原有项目</w:t>
            </w:r>
            <w:r>
              <w:rPr>
                <w:rFonts w:hint="eastAsia" w:cs="Times New Roman"/>
                <w:b/>
                <w:color w:val="000000" w:themeColor="text1"/>
                <w:szCs w:val="21"/>
                <w:lang w:eastAsia="zh-CN"/>
                <w14:textFill>
                  <w14:solidFill>
                    <w14:schemeClr w14:val="tx1"/>
                  </w14:solidFill>
                </w14:textFill>
              </w:rPr>
              <w:t>原、辅材料</w:t>
            </w:r>
          </w:p>
          <w:tbl>
            <w:tblPr>
              <w:tblStyle w:val="33"/>
              <w:tblW w:w="4998"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2757"/>
              <w:gridCol w:w="2085"/>
              <w:gridCol w:w="3554"/>
            </w:tblGrid>
            <w:tr w14:paraId="49EC081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41" w:type="pct"/>
                  <w:tcBorders>
                    <w:tl2br w:val="nil"/>
                    <w:tr2bl w:val="nil"/>
                  </w:tcBorders>
                  <w:noWrap w:val="0"/>
                  <w:vAlign w:val="center"/>
                </w:tcPr>
                <w:p w14:paraId="0CA3FA51">
                  <w:pPr>
                    <w:pStyle w:val="123"/>
                    <w:pageBreakBefore w:val="0"/>
                    <w:kinsoku/>
                    <w:overflowPunct/>
                    <w:topLinePunct w:val="0"/>
                    <w:bidi w:val="0"/>
                    <w:spacing w:before="0" w:after="0"/>
                    <w:ind w:left="0" w:leftChars="0" w:right="0"/>
                    <w:rPr>
                      <w:rFonts w:hint="default" w:ascii="Times New Roman" w:hAnsi="Times New Roman" w:eastAsia="宋体" w:cs="Times New Roman"/>
                      <w:b/>
                      <w:bCs w:val="0"/>
                      <w:color w:val="000000" w:themeColor="text1"/>
                      <w:lang w:val="en-US" w:eastAsia="zh-CN"/>
                      <w14:textFill>
                        <w14:solidFill>
                          <w14:schemeClr w14:val="tx1"/>
                        </w14:solidFill>
                      </w14:textFill>
                    </w:rPr>
                  </w:pPr>
                  <w:r>
                    <w:rPr>
                      <w:rFonts w:hint="default" w:ascii="Times New Roman" w:hAnsi="Times New Roman" w:eastAsia="宋体" w:cs="Times New Roman"/>
                      <w:b/>
                      <w:bCs w:val="0"/>
                      <w:color w:val="000000" w:themeColor="text1"/>
                      <w:lang w:val="en-US" w:eastAsia="zh-CN"/>
                      <w14:textFill>
                        <w14:solidFill>
                          <w14:schemeClr w14:val="tx1"/>
                        </w14:solidFill>
                      </w14:textFill>
                    </w:rPr>
                    <w:t>项目名称</w:t>
                  </w:r>
                </w:p>
              </w:tc>
              <w:tc>
                <w:tcPr>
                  <w:tcW w:w="1241" w:type="pct"/>
                  <w:tcBorders>
                    <w:tl2br w:val="nil"/>
                    <w:tr2bl w:val="nil"/>
                  </w:tcBorders>
                  <w:noWrap w:val="0"/>
                  <w:vAlign w:val="center"/>
                </w:tcPr>
                <w:p w14:paraId="5BEC4886">
                  <w:pPr>
                    <w:pStyle w:val="123"/>
                    <w:pageBreakBefore w:val="0"/>
                    <w:kinsoku/>
                    <w:overflowPunct/>
                    <w:topLinePunct w:val="0"/>
                    <w:bidi w:val="0"/>
                    <w:spacing w:before="0" w:after="0"/>
                    <w:ind w:left="0" w:leftChars="0" w:right="0"/>
                    <w:rPr>
                      <w:rFonts w:hint="default" w:ascii="Times New Roman" w:hAnsi="Times New Roman" w:eastAsia="宋体" w:cs="Times New Roman"/>
                      <w:b/>
                      <w:bCs w:val="0"/>
                      <w:color w:val="000000" w:themeColor="text1"/>
                      <w:lang w:val="en-US" w:eastAsia="zh-CN"/>
                      <w14:textFill>
                        <w14:solidFill>
                          <w14:schemeClr w14:val="tx1"/>
                        </w14:solidFill>
                      </w14:textFill>
                    </w:rPr>
                  </w:pPr>
                  <w:r>
                    <w:rPr>
                      <w:rFonts w:hint="default" w:ascii="Times New Roman" w:hAnsi="Times New Roman" w:cs="Times New Roman"/>
                      <w:b/>
                      <w:bCs w:val="0"/>
                      <w:color w:val="000000" w:themeColor="text1"/>
                      <w:lang w:val="en-US" w:eastAsia="zh-CN"/>
                      <w14:textFill>
                        <w14:solidFill>
                          <w14:schemeClr w14:val="tx1"/>
                        </w14:solidFill>
                      </w14:textFill>
                    </w:rPr>
                    <w:t>用量</w:t>
                  </w:r>
                </w:p>
              </w:tc>
              <w:tc>
                <w:tcPr>
                  <w:tcW w:w="2116" w:type="pct"/>
                  <w:tcBorders>
                    <w:tl2br w:val="nil"/>
                    <w:tr2bl w:val="nil"/>
                  </w:tcBorders>
                  <w:noWrap w:val="0"/>
                  <w:vAlign w:val="center"/>
                </w:tcPr>
                <w:p w14:paraId="0E2923FA">
                  <w:pPr>
                    <w:pStyle w:val="123"/>
                    <w:pageBreakBefore w:val="0"/>
                    <w:kinsoku/>
                    <w:overflowPunct/>
                    <w:topLinePunct w:val="0"/>
                    <w:bidi w:val="0"/>
                    <w:spacing w:before="0" w:after="0"/>
                    <w:ind w:left="0" w:leftChars="0" w:right="0"/>
                    <w:rPr>
                      <w:rFonts w:hint="default" w:ascii="Times New Roman" w:hAnsi="Times New Roman" w:eastAsia="宋体" w:cs="Times New Roman"/>
                      <w:b/>
                      <w:bCs w:val="0"/>
                      <w:color w:val="000000" w:themeColor="text1"/>
                      <w:lang w:val="en-US" w:eastAsia="zh-CN"/>
                      <w14:textFill>
                        <w14:solidFill>
                          <w14:schemeClr w14:val="tx1"/>
                        </w14:solidFill>
                      </w14:textFill>
                    </w:rPr>
                  </w:pPr>
                  <w:r>
                    <w:rPr>
                      <w:rFonts w:hint="default" w:ascii="Times New Roman" w:hAnsi="Times New Roman" w:eastAsia="宋体" w:cs="Times New Roman"/>
                      <w:b/>
                      <w:bCs w:val="0"/>
                      <w:color w:val="000000" w:themeColor="text1"/>
                      <w:lang w:val="en-US" w:eastAsia="zh-CN"/>
                      <w14:textFill>
                        <w14:solidFill>
                          <w14:schemeClr w14:val="tx1"/>
                        </w14:solidFill>
                      </w14:textFill>
                    </w:rPr>
                    <w:t>备注</w:t>
                  </w:r>
                </w:p>
              </w:tc>
            </w:tr>
            <w:tr w14:paraId="0B0D874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71" w:hRule="atLeast"/>
                <w:jc w:val="center"/>
              </w:trPr>
              <w:tc>
                <w:tcPr>
                  <w:tcW w:w="1641" w:type="pct"/>
                  <w:tcBorders>
                    <w:tl2br w:val="nil"/>
                    <w:tr2bl w:val="nil"/>
                  </w:tcBorders>
                  <w:noWrap w:val="0"/>
                  <w:vAlign w:val="center"/>
                </w:tcPr>
                <w:p w14:paraId="631F75D5">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液化石油气钢瓶</w:t>
                  </w:r>
                </w:p>
              </w:tc>
              <w:tc>
                <w:tcPr>
                  <w:tcW w:w="1241" w:type="pct"/>
                  <w:tcBorders>
                    <w:tl2br w:val="nil"/>
                    <w:tr2bl w:val="nil"/>
                  </w:tcBorders>
                  <w:noWrap w:val="0"/>
                  <w:vAlign w:val="center"/>
                </w:tcPr>
                <w:p w14:paraId="20272C36">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万只</w:t>
                  </w:r>
                  <w:r>
                    <w:rPr>
                      <w:rFonts w:hint="default" w:ascii="Times New Roman" w:hAnsi="Times New Roman" w:cs="Times New Roman"/>
                      <w:color w:val="000000" w:themeColor="text1"/>
                      <w:sz w:val="21"/>
                      <w:szCs w:val="21"/>
                      <w:lang w:val="en-US" w:eastAsia="zh-CN"/>
                      <w14:textFill>
                        <w14:solidFill>
                          <w14:schemeClr w14:val="tx1"/>
                        </w14:solidFill>
                      </w14:textFill>
                    </w:rPr>
                    <w:t>/年</w:t>
                  </w:r>
                </w:p>
              </w:tc>
              <w:tc>
                <w:tcPr>
                  <w:tcW w:w="2116" w:type="pct"/>
                  <w:tcBorders>
                    <w:tl2br w:val="nil"/>
                    <w:tr2bl w:val="nil"/>
                  </w:tcBorders>
                  <w:noWrap w:val="0"/>
                  <w:vAlign w:val="center"/>
                </w:tcPr>
                <w:p w14:paraId="5E124E54">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本项目年检测</w:t>
                  </w:r>
                  <w:r>
                    <w:rPr>
                      <w:rFonts w:hint="eastAsia" w:ascii="Times New Roman" w:hAnsi="Times New Roman" w:cs="Times New Roman"/>
                      <w:color w:val="000000" w:themeColor="text1"/>
                      <w:lang w:val="en-US" w:eastAsia="zh-CN"/>
                      <w14:textFill>
                        <w14:solidFill>
                          <w14:schemeClr w14:val="tx1"/>
                        </w14:solidFill>
                      </w14:textFill>
                    </w:rPr>
                    <w:t>液化石油气钢瓶</w:t>
                  </w:r>
                  <w:r>
                    <w:rPr>
                      <w:rFonts w:hint="default" w:ascii="Times New Roman" w:hAnsi="Times New Roman" w:cs="Times New Roman"/>
                      <w:color w:val="000000" w:themeColor="text1"/>
                      <w:lang w:val="en-US" w:eastAsia="zh-CN"/>
                      <w14:textFill>
                        <w14:solidFill>
                          <w14:schemeClr w14:val="tx1"/>
                        </w14:solidFill>
                      </w14:textFill>
                    </w:rPr>
                    <w:t>为</w:t>
                  </w:r>
                  <w:r>
                    <w:rPr>
                      <w:rFonts w:hint="eastAsia" w:cs="Times New Roman"/>
                      <w:color w:val="000000" w:themeColor="text1"/>
                      <w:lang w:val="en-US" w:eastAsia="zh-CN"/>
                      <w14:textFill>
                        <w14:solidFill>
                          <w14:schemeClr w14:val="tx1"/>
                        </w14:solidFill>
                      </w14:textFill>
                    </w:rPr>
                    <w:t>10</w:t>
                  </w:r>
                  <w:r>
                    <w:rPr>
                      <w:rFonts w:hint="default" w:ascii="Times New Roman" w:hAnsi="Times New Roman" w:cs="Times New Roman"/>
                      <w:color w:val="000000" w:themeColor="text1"/>
                      <w:lang w:val="en-US" w:eastAsia="zh-CN"/>
                      <w14:textFill>
                        <w14:solidFill>
                          <w14:schemeClr w14:val="tx1"/>
                        </w14:solidFill>
                      </w14:textFill>
                    </w:rPr>
                    <w:t>万只</w:t>
                  </w:r>
                </w:p>
              </w:tc>
            </w:tr>
            <w:tr w14:paraId="2CA6684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41" w:type="pct"/>
                  <w:tcBorders>
                    <w:tl2br w:val="nil"/>
                    <w:tr2bl w:val="nil"/>
                  </w:tcBorders>
                  <w:noWrap w:val="0"/>
                  <w:vAlign w:val="center"/>
                </w:tcPr>
                <w:p w14:paraId="3DC505A1">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角阀</w:t>
                  </w:r>
                </w:p>
              </w:tc>
              <w:tc>
                <w:tcPr>
                  <w:tcW w:w="1241" w:type="pct"/>
                  <w:tcBorders>
                    <w:tl2br w:val="nil"/>
                    <w:tr2bl w:val="nil"/>
                  </w:tcBorders>
                  <w:noWrap w:val="0"/>
                  <w:vAlign w:val="center"/>
                </w:tcPr>
                <w:p w14:paraId="27D799A7">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0万只</w:t>
                  </w:r>
                  <w:r>
                    <w:rPr>
                      <w:rFonts w:hint="default" w:ascii="Times New Roman" w:hAnsi="Times New Roman" w:cs="Times New Roman"/>
                      <w:color w:val="000000" w:themeColor="text1"/>
                      <w:sz w:val="21"/>
                      <w:szCs w:val="21"/>
                      <w:lang w:val="en-US" w:eastAsia="zh-CN"/>
                      <w14:textFill>
                        <w14:solidFill>
                          <w14:schemeClr w14:val="tx1"/>
                        </w14:solidFill>
                      </w14:textFill>
                    </w:rPr>
                    <w:t>/年</w:t>
                  </w:r>
                </w:p>
              </w:tc>
              <w:tc>
                <w:tcPr>
                  <w:tcW w:w="2116" w:type="pct"/>
                  <w:tcBorders>
                    <w:tl2br w:val="nil"/>
                    <w:tr2bl w:val="nil"/>
                  </w:tcBorders>
                  <w:noWrap w:val="0"/>
                  <w:vAlign w:val="center"/>
                </w:tcPr>
                <w:p w14:paraId="31E8EA36">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外购</w:t>
                  </w:r>
                </w:p>
              </w:tc>
            </w:tr>
            <w:tr w14:paraId="0622B36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41" w:type="pct"/>
                  <w:tcBorders>
                    <w:tl2br w:val="nil"/>
                    <w:tr2bl w:val="nil"/>
                  </w:tcBorders>
                  <w:noWrap w:val="0"/>
                  <w:vAlign w:val="center"/>
                </w:tcPr>
                <w:p w14:paraId="70B1E236">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热固型粉末</w:t>
                  </w:r>
                </w:p>
              </w:tc>
              <w:tc>
                <w:tcPr>
                  <w:tcW w:w="1241" w:type="pct"/>
                  <w:tcBorders>
                    <w:tl2br w:val="nil"/>
                    <w:tr2bl w:val="nil"/>
                  </w:tcBorders>
                  <w:noWrap w:val="0"/>
                  <w:vAlign w:val="center"/>
                </w:tcPr>
                <w:p w14:paraId="1A1349F1">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lang w:val="en-US" w:eastAsia="zh-CN" w:bidi="ar"/>
                      <w14:textFill>
                        <w14:solidFill>
                          <w14:schemeClr w14:val="tx1"/>
                        </w14:solidFill>
                      </w14:textFill>
                    </w:rPr>
                    <w:t>6.05t/a</w:t>
                  </w:r>
                </w:p>
              </w:tc>
              <w:tc>
                <w:tcPr>
                  <w:tcW w:w="2116" w:type="pct"/>
                  <w:tcBorders>
                    <w:tl2br w:val="nil"/>
                    <w:tr2bl w:val="nil"/>
                  </w:tcBorders>
                  <w:noWrap w:val="0"/>
                  <w:vAlign w:val="center"/>
                </w:tcPr>
                <w:p w14:paraId="1A0CBE12">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热固型粉末主要为环氧聚酯粉末，无溶剂</w:t>
                  </w:r>
                </w:p>
              </w:tc>
            </w:tr>
            <w:tr w14:paraId="1666A63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41" w:type="pct"/>
                  <w:tcBorders>
                    <w:tl2br w:val="nil"/>
                    <w:tr2bl w:val="nil"/>
                  </w:tcBorders>
                  <w:noWrap w:val="0"/>
                  <w:vAlign w:val="center"/>
                </w:tcPr>
                <w:p w14:paraId="451CCF25">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橡胶圈</w:t>
                  </w:r>
                </w:p>
              </w:tc>
              <w:tc>
                <w:tcPr>
                  <w:tcW w:w="1241" w:type="pct"/>
                  <w:tcBorders>
                    <w:tl2br w:val="nil"/>
                    <w:tr2bl w:val="nil"/>
                  </w:tcBorders>
                  <w:noWrap w:val="0"/>
                  <w:vAlign w:val="center"/>
                </w:tcPr>
                <w:p w14:paraId="4DAA7B86">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0.1t</w:t>
                  </w:r>
                </w:p>
              </w:tc>
              <w:tc>
                <w:tcPr>
                  <w:tcW w:w="2116" w:type="pct"/>
                  <w:tcBorders>
                    <w:tl2br w:val="nil"/>
                    <w:tr2bl w:val="nil"/>
                  </w:tcBorders>
                  <w:noWrap w:val="0"/>
                  <w:vAlign w:val="center"/>
                </w:tcPr>
                <w:p w14:paraId="29A2641A">
                  <w:pPr>
                    <w:pageBreakBefore w:val="0"/>
                    <w:kinsoku/>
                    <w:overflowPunct/>
                    <w:topLinePunct w:val="0"/>
                    <w:bidi w:val="0"/>
                    <w:spacing w:before="0" w:after="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外购</w:t>
                  </w:r>
                </w:p>
              </w:tc>
            </w:tr>
            <w:tr w14:paraId="45334E1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41" w:type="pct"/>
                  <w:tcBorders>
                    <w:tl2br w:val="nil"/>
                    <w:tr2bl w:val="nil"/>
                  </w:tcBorders>
                  <w:noWrap w:val="0"/>
                  <w:vAlign w:val="center"/>
                </w:tcPr>
                <w:p w14:paraId="78D8FE6C">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钢丸</w:t>
                  </w:r>
                </w:p>
              </w:tc>
              <w:tc>
                <w:tcPr>
                  <w:tcW w:w="1241" w:type="pct"/>
                  <w:tcBorders>
                    <w:tl2br w:val="nil"/>
                    <w:tr2bl w:val="nil"/>
                  </w:tcBorders>
                  <w:noWrap w:val="0"/>
                  <w:vAlign w:val="center"/>
                </w:tcPr>
                <w:p w14:paraId="7D8168D0">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10t</w:t>
                  </w:r>
                </w:p>
              </w:tc>
              <w:tc>
                <w:tcPr>
                  <w:tcW w:w="2116" w:type="pct"/>
                  <w:tcBorders>
                    <w:tl2br w:val="nil"/>
                    <w:tr2bl w:val="nil"/>
                  </w:tcBorders>
                  <w:noWrap w:val="0"/>
                  <w:vAlign w:val="center"/>
                </w:tcPr>
                <w:p w14:paraId="4F238EAD">
                  <w:pPr>
                    <w:pageBreakBefore w:val="0"/>
                    <w:kinsoku/>
                    <w:overflowPunct/>
                    <w:topLinePunct w:val="0"/>
                    <w:bidi w:val="0"/>
                    <w:spacing w:before="0" w:after="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外购</w:t>
                  </w:r>
                </w:p>
              </w:tc>
            </w:tr>
            <w:tr w14:paraId="46B05EF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41" w:type="pct"/>
                  <w:tcBorders>
                    <w:tl2br w:val="nil"/>
                    <w:tr2bl w:val="nil"/>
                  </w:tcBorders>
                  <w:noWrap w:val="0"/>
                  <w:vAlign w:val="center"/>
                </w:tcPr>
                <w:p w14:paraId="11DC85C3">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油墨</w:t>
                  </w:r>
                </w:p>
              </w:tc>
              <w:tc>
                <w:tcPr>
                  <w:tcW w:w="1241" w:type="pct"/>
                  <w:tcBorders>
                    <w:tl2br w:val="nil"/>
                    <w:tr2bl w:val="nil"/>
                  </w:tcBorders>
                  <w:noWrap w:val="0"/>
                  <w:vAlign w:val="center"/>
                </w:tcPr>
                <w:p w14:paraId="168DFA77">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0.2147</w:t>
                  </w:r>
                </w:p>
              </w:tc>
              <w:tc>
                <w:tcPr>
                  <w:tcW w:w="2116" w:type="pct"/>
                  <w:tcBorders>
                    <w:tl2br w:val="nil"/>
                    <w:tr2bl w:val="nil"/>
                  </w:tcBorders>
                  <w:noWrap w:val="0"/>
                  <w:vAlign w:val="center"/>
                </w:tcPr>
                <w:p w14:paraId="5B7D9599">
                  <w:pPr>
                    <w:pageBreakBefore w:val="0"/>
                    <w:kinsoku/>
                    <w:overflowPunct/>
                    <w:topLinePunct w:val="0"/>
                    <w:bidi w:val="0"/>
                    <w:spacing w:before="0" w:after="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外购</w:t>
                  </w:r>
                </w:p>
              </w:tc>
            </w:tr>
            <w:tr w14:paraId="33B1D6B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41" w:type="pct"/>
                  <w:tcBorders>
                    <w:tl2br w:val="nil"/>
                    <w:tr2bl w:val="nil"/>
                  </w:tcBorders>
                  <w:noWrap w:val="0"/>
                  <w:vAlign w:val="center"/>
                </w:tcPr>
                <w:p w14:paraId="631CA4D7">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网板</w:t>
                  </w:r>
                </w:p>
              </w:tc>
              <w:tc>
                <w:tcPr>
                  <w:tcW w:w="1241" w:type="pct"/>
                  <w:tcBorders>
                    <w:tl2br w:val="nil"/>
                    <w:tr2bl w:val="nil"/>
                  </w:tcBorders>
                  <w:noWrap w:val="0"/>
                  <w:vAlign w:val="center"/>
                </w:tcPr>
                <w:p w14:paraId="7B3292D1">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0.1t</w:t>
                  </w:r>
                </w:p>
              </w:tc>
              <w:tc>
                <w:tcPr>
                  <w:tcW w:w="2116" w:type="pct"/>
                  <w:tcBorders>
                    <w:tl2br w:val="nil"/>
                    <w:tr2bl w:val="nil"/>
                  </w:tcBorders>
                  <w:noWrap w:val="0"/>
                  <w:vAlign w:val="center"/>
                </w:tcPr>
                <w:p w14:paraId="7632AA80">
                  <w:pPr>
                    <w:pageBreakBefore w:val="0"/>
                    <w:kinsoku/>
                    <w:overflowPunct/>
                    <w:topLinePunct w:val="0"/>
                    <w:bidi w:val="0"/>
                    <w:spacing w:before="0" w:after="0"/>
                    <w:ind w:left="0" w:leftChars="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外购</w:t>
                  </w:r>
                </w:p>
              </w:tc>
            </w:tr>
            <w:tr w14:paraId="36C6587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41" w:type="pct"/>
                  <w:tcBorders>
                    <w:tl2br w:val="nil"/>
                    <w:tr2bl w:val="nil"/>
                  </w:tcBorders>
                  <w:noWrap w:val="0"/>
                  <w:vAlign w:val="center"/>
                </w:tcPr>
                <w:p w14:paraId="25B31526">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电</w:t>
                  </w:r>
                </w:p>
              </w:tc>
              <w:tc>
                <w:tcPr>
                  <w:tcW w:w="1241" w:type="pct"/>
                  <w:tcBorders>
                    <w:tl2br w:val="nil"/>
                    <w:tr2bl w:val="nil"/>
                  </w:tcBorders>
                  <w:noWrap w:val="0"/>
                  <w:vAlign w:val="center"/>
                </w:tcPr>
                <w:p w14:paraId="6FEB4017">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10万kwh</w:t>
                  </w:r>
                </w:p>
              </w:tc>
              <w:tc>
                <w:tcPr>
                  <w:tcW w:w="2116" w:type="pct"/>
                  <w:tcBorders>
                    <w:tl2br w:val="nil"/>
                    <w:tr2bl w:val="nil"/>
                  </w:tcBorders>
                  <w:noWrap w:val="0"/>
                  <w:vAlign w:val="center"/>
                </w:tcPr>
                <w:p w14:paraId="5AB353A5">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当地电力系统供应</w:t>
                  </w:r>
                </w:p>
              </w:tc>
            </w:tr>
            <w:tr w14:paraId="2DA7B9F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41" w:type="pct"/>
                  <w:tcBorders>
                    <w:tl2br w:val="nil"/>
                    <w:tr2bl w:val="nil"/>
                  </w:tcBorders>
                  <w:noWrap w:val="0"/>
                  <w:vAlign w:val="center"/>
                </w:tcPr>
                <w:p w14:paraId="1A2AE187">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水</w:t>
                  </w:r>
                </w:p>
              </w:tc>
              <w:tc>
                <w:tcPr>
                  <w:tcW w:w="1241" w:type="pct"/>
                  <w:tcBorders>
                    <w:tl2br w:val="nil"/>
                    <w:tr2bl w:val="nil"/>
                  </w:tcBorders>
                  <w:noWrap w:val="0"/>
                  <w:vAlign w:val="center"/>
                </w:tcPr>
                <w:p w14:paraId="090390E1">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100m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/a</w:t>
                  </w:r>
                </w:p>
              </w:tc>
              <w:tc>
                <w:tcPr>
                  <w:tcW w:w="2116" w:type="pct"/>
                  <w:tcBorders>
                    <w:tl2br w:val="nil"/>
                    <w:tr2bl w:val="nil"/>
                  </w:tcBorders>
                  <w:noWrap w:val="0"/>
                  <w:vAlign w:val="center"/>
                </w:tcPr>
                <w:p w14:paraId="6085CC1B">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生产用水循环使用，定期补水；生活用水由自来水管网接入</w:t>
                  </w:r>
                </w:p>
              </w:tc>
            </w:tr>
            <w:tr w14:paraId="1119540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41" w:type="pct"/>
                  <w:tcBorders>
                    <w:tl2br w:val="nil"/>
                    <w:tr2bl w:val="nil"/>
                  </w:tcBorders>
                  <w:noWrap w:val="0"/>
                  <w:vAlign w:val="center"/>
                </w:tcPr>
                <w:p w14:paraId="767FA243">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生物质燃料</w:t>
                  </w:r>
                </w:p>
              </w:tc>
              <w:tc>
                <w:tcPr>
                  <w:tcW w:w="1241" w:type="pct"/>
                  <w:tcBorders>
                    <w:tl2br w:val="nil"/>
                    <w:tr2bl w:val="nil"/>
                  </w:tcBorders>
                  <w:noWrap w:val="0"/>
                  <w:vAlign w:val="center"/>
                </w:tcPr>
                <w:p w14:paraId="61A42B85">
                  <w:pPr>
                    <w:pStyle w:val="123"/>
                    <w:pageBreakBefore w:val="0"/>
                    <w:kinsoku/>
                    <w:overflowPunct/>
                    <w:topLinePunct w:val="0"/>
                    <w:bidi w:val="0"/>
                    <w:spacing w:before="0" w:after="0"/>
                    <w:ind w:left="0" w:leftChars="0" w:right="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300.3</w:t>
                  </w:r>
                  <w:r>
                    <w:rPr>
                      <w:rFonts w:hint="default" w:ascii="Times New Roman" w:hAnsi="Times New Roman" w:cs="Times New Roman"/>
                      <w:color w:val="000000" w:themeColor="text1"/>
                      <w:sz w:val="21"/>
                      <w:szCs w:val="21"/>
                      <w:lang w:val="en-US" w:eastAsia="zh-CN"/>
                      <w14:textFill>
                        <w14:solidFill>
                          <w14:schemeClr w14:val="tx1"/>
                        </w14:solidFill>
                      </w14:textFill>
                    </w:rPr>
                    <w:t>t/a</w:t>
                  </w:r>
                </w:p>
              </w:tc>
              <w:tc>
                <w:tcPr>
                  <w:tcW w:w="2116" w:type="pct"/>
                  <w:tcBorders>
                    <w:tl2br w:val="nil"/>
                    <w:tr2bl w:val="nil"/>
                  </w:tcBorders>
                  <w:noWrap w:val="0"/>
                  <w:vAlign w:val="center"/>
                </w:tcPr>
                <w:p w14:paraId="2F590A39">
                  <w:pPr>
                    <w:pStyle w:val="123"/>
                    <w:pageBreakBefore w:val="0"/>
                    <w:kinsoku/>
                    <w:overflowPunct/>
                    <w:topLinePunct w:val="0"/>
                    <w:bidi w:val="0"/>
                    <w:spacing w:before="0" w:after="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为焚烧炉</w:t>
                  </w:r>
                  <w:r>
                    <w:rPr>
                      <w:rFonts w:hint="eastAsia" w:cs="Times New Roman"/>
                      <w:color w:val="000000" w:themeColor="text1"/>
                      <w:lang w:val="en-US" w:eastAsia="zh-CN"/>
                      <w14:textFill>
                        <w14:solidFill>
                          <w14:schemeClr w14:val="tx1"/>
                        </w14:solidFill>
                      </w14:textFill>
                    </w:rPr>
                    <w:t>、固化炉</w:t>
                  </w:r>
                  <w:r>
                    <w:rPr>
                      <w:rFonts w:hint="default" w:ascii="Times New Roman" w:hAnsi="Times New Roman" w:cs="Times New Roman"/>
                      <w:color w:val="000000" w:themeColor="text1"/>
                      <w:lang w:val="en-US" w:eastAsia="zh-CN"/>
                      <w14:textFill>
                        <w14:solidFill>
                          <w14:schemeClr w14:val="tx1"/>
                        </w14:solidFill>
                      </w14:textFill>
                    </w:rPr>
                    <w:t>使用燃料</w:t>
                  </w:r>
                </w:p>
              </w:tc>
            </w:tr>
          </w:tbl>
          <w:p w14:paraId="0D0622C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snapToGrid w:val="0"/>
                <w:color w:val="000000" w:themeColor="text1"/>
                <w:sz w:val="24"/>
                <w:szCs w:val="24"/>
                <w:lang w:eastAsia="zh-CN"/>
                <w14:textFill>
                  <w14:solidFill>
                    <w14:schemeClr w14:val="tx1"/>
                  </w14:solidFill>
                </w14:textFill>
              </w:rPr>
              <w:t>备注</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w:t>
            </w:r>
          </w:p>
          <w:p w14:paraId="72A76631">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（1）粉末涂料用量核算</w:t>
            </w:r>
          </w:p>
          <w:p w14:paraId="0D49363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原有</w:t>
            </w:r>
            <w:r>
              <w:rPr>
                <w:rFonts w:hint="eastAsia" w:cs="Times New Roman"/>
                <w:b w:val="0"/>
                <w:bCs w:val="0"/>
                <w:color w:val="000000" w:themeColor="text1"/>
                <w:kern w:val="0"/>
                <w:sz w:val="24"/>
                <w:szCs w:val="24"/>
                <w:lang w:val="en-US" w:eastAsia="zh-CN" w:bidi="ar"/>
                <w14:textFill>
                  <w14:solidFill>
                    <w14:schemeClr w14:val="tx1"/>
                  </w14:solidFill>
                </w14:textFill>
              </w:rPr>
              <w:t>项目</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采用静电喷涂流水线进行热固性粉末喷塑，</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喷涂</w:t>
            </w:r>
            <w:r>
              <w:rPr>
                <w:rFonts w:hint="eastAsia" w:ascii="Times New Roman" w:hAnsi="Times New Roman" w:cs="Times New Roman"/>
                <w:b w:val="0"/>
                <w:bCs w:val="0"/>
                <w:color w:val="000000" w:themeColor="text1"/>
                <w:kern w:val="0"/>
                <w:sz w:val="24"/>
                <w:szCs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约9.95万只，其中约0.95</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只10kg（12L）</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，约8.5万只</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15kg（35.5L）</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，约0.5只</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50kg（118L）三种类型的液化石油气钢瓶。10kg（12L）液化石油气钢瓶的总表面积为0.844m</w:t>
            </w:r>
            <w:r>
              <w:rPr>
                <w:rFonts w:hint="default" w:ascii="Times New Roman" w:hAnsi="Times New Roman" w:eastAsia="宋体" w:cs="Times New Roman"/>
                <w:b w:val="0"/>
                <w:bCs w:val="0"/>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，1个15kg（35.5L）液化石油气钢瓶的总表面积为0.415m</w:t>
            </w:r>
            <w:r>
              <w:rPr>
                <w:rFonts w:hint="default" w:ascii="Times New Roman" w:hAnsi="Times New Roman" w:eastAsia="宋体" w:cs="Times New Roman"/>
                <w:b w:val="0"/>
                <w:bCs w:val="0"/>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，1个50kg（118L）液化石油气钢瓶的总表面积为1.76m</w:t>
            </w:r>
            <w:r>
              <w:rPr>
                <w:rFonts w:hint="default" w:ascii="Times New Roman" w:hAnsi="Times New Roman" w:eastAsia="宋体" w:cs="Times New Roman"/>
                <w:b w:val="0"/>
                <w:bCs w:val="0"/>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w:t>
            </w:r>
          </w:p>
          <w:p w14:paraId="7E1B05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项目</w:t>
            </w:r>
            <w:r>
              <w:rPr>
                <w:rFonts w:hint="eastAsia" w:ascii="Times New Roman" w:hAnsi="Times New Roman" w:cs="Times New Roman"/>
                <w:b w:val="0"/>
                <w:bCs w:val="0"/>
                <w:color w:val="000000" w:themeColor="text1"/>
                <w:kern w:val="0"/>
                <w:sz w:val="24"/>
                <w:szCs w:val="24"/>
                <w:lang w:val="en-US" w:eastAsia="zh-CN" w:bidi="ar"/>
                <w14:textFill>
                  <w14:solidFill>
                    <w14:schemeClr w14:val="tx1"/>
                  </w14:solidFill>
                </w14:textFill>
              </w:rPr>
              <w:t>液化石油气钢瓶</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表面喷涂厚度约为</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50</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μm，塑粉的密度为1.</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5</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g/cm³</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（参考厂商廊坊市燕美化工有限公司“环氧粉末安全技术说明书”，环氧粉末密度为1.3~1.5</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g/cm³</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，本次按1.5</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g/cm³</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计）</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w:t>
            </w:r>
          </w:p>
          <w:p w14:paraId="2792E744">
            <w:pPr>
              <w:keepNext w:val="0"/>
              <w:keepLines w:val="0"/>
              <w:pageBreakBefore w:val="0"/>
              <w:widowControl/>
              <w:suppressLineNumbers w:val="0"/>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项目粉末涂料年用量=喷涂总面积×喷涂厚度×密度÷综合利用率，其中，综合利用率=1-（1-附着率）×（1-回收率），因此项目粉末涂料年用量=（0.415*</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5000</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+0.884*</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82000</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+1.76*</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3000</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）×50μm×1.</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5</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g/cm³÷</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1-（1-</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8</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0%）×（1-95%）</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6.65</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吨。</w:t>
            </w:r>
          </w:p>
          <w:p w14:paraId="2E3CE71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（2）油墨用量核算</w:t>
            </w:r>
          </w:p>
          <w:p w14:paraId="04B2460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项目在每一个</w:t>
            </w:r>
            <w:r>
              <w:rPr>
                <w:rFonts w:hint="eastAsia" w:ascii="Times New Roman" w:hAnsi="Times New Roman" w:cs="Times New Roman"/>
                <w:b w:val="0"/>
                <w:bCs w:val="0"/>
                <w:color w:val="000000" w:themeColor="text1"/>
                <w:kern w:val="0"/>
                <w:sz w:val="24"/>
                <w:szCs w:val="24"/>
                <w:lang w:val="en-US" w:eastAsia="zh-CN" w:bidi="ar"/>
                <w14:textFill>
                  <w14:solidFill>
                    <w14:schemeClr w14:val="tx1"/>
                  </w14:solidFill>
                </w14:textFill>
              </w:rPr>
              <w:t>液化石油气钢瓶</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上需要</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刷写</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标识文字等内容，使用</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网板手工刷字</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根据市场调查，油墨密度为0.5g/cm</w:t>
            </w:r>
            <w:r>
              <w:rPr>
                <w:rFonts w:hint="default" w:ascii="Times New Roman" w:hAnsi="Times New Roman" w:cs="Times New Roman"/>
                <w:b w:val="0"/>
                <w:bCs w:val="0"/>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项目使用油墨利用率约为95%</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，本项目</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单个</w:t>
            </w:r>
            <w:r>
              <w:rPr>
                <w:rFonts w:hint="eastAsia" w:ascii="Times New Roman" w:hAnsi="Times New Roman" w:cs="Times New Roman"/>
                <w:b w:val="0"/>
                <w:bCs w:val="0"/>
                <w:color w:val="000000" w:themeColor="text1"/>
                <w:kern w:val="0"/>
                <w:sz w:val="24"/>
                <w:szCs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刷字</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面积约为0.06㎡左右，根据油墨使用量=</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刷字</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面积×湿膜厚度×油墨密度÷油墨利用率，可以推算出单个</w:t>
            </w:r>
            <w:r>
              <w:rPr>
                <w:rFonts w:hint="eastAsia" w:ascii="Times New Roman" w:hAnsi="Times New Roman" w:cs="Times New Roman"/>
                <w:b w:val="0"/>
                <w:bCs w:val="0"/>
                <w:color w:val="000000" w:themeColor="text1"/>
                <w:kern w:val="0"/>
                <w:sz w:val="24"/>
                <w:szCs w:val="24"/>
                <w:lang w:val="en-US" w:eastAsia="zh-CN" w:bidi="ar"/>
                <w14:textFill>
                  <w14:solidFill>
                    <w14:schemeClr w14:val="tx1"/>
                  </w14:solidFill>
                </w14:textFill>
              </w:rPr>
              <w:t>液化石油气钢瓶</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所需的油墨的量为0.000002526t。</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原有项目</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进入刷字工段</w:t>
            </w:r>
            <w:r>
              <w:rPr>
                <w:rFonts w:hint="eastAsia" w:ascii="Times New Roman" w:hAnsi="Times New Roman" w:cs="Times New Roman"/>
                <w:b w:val="0"/>
                <w:bCs w:val="0"/>
                <w:color w:val="000000" w:themeColor="text1"/>
                <w:kern w:val="0"/>
                <w:sz w:val="24"/>
                <w:szCs w:val="24"/>
                <w:lang w:val="en-US" w:eastAsia="zh-CN" w:bidi="ar"/>
                <w14:textFill>
                  <w14:solidFill>
                    <w14:schemeClr w14:val="tx1"/>
                  </w14:solidFill>
                </w14:textFill>
              </w:rPr>
              <w:t>液化石油气钢瓶</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数量为</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9.95</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万个，则所需油墨的总量约0.2513t/a。</w:t>
            </w:r>
          </w:p>
          <w:p w14:paraId="07B827E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（3）</w:t>
            </w:r>
            <w:r>
              <w:rPr>
                <w:rFonts w:hint="default" w:ascii="Times New Roman" w:hAnsi="Times New Roman" w:cs="Times New Roman"/>
                <w:b/>
                <w:bCs/>
                <w:color w:val="000000" w:themeColor="text1"/>
                <w:kern w:val="0"/>
                <w:sz w:val="24"/>
                <w:szCs w:val="24"/>
                <w:lang w:val="en-US" w:eastAsia="zh-CN" w:bidi="ar"/>
                <w14:textFill>
                  <w14:solidFill>
                    <w14:schemeClr w14:val="tx1"/>
                  </w14:solidFill>
                </w14:textFill>
              </w:rPr>
              <w:t>生物质燃料</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用量</w:t>
            </w:r>
          </w:p>
          <w:p w14:paraId="6FD058B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项目设置1台焚烧炉，</w:t>
            </w:r>
            <w:r>
              <w:rPr>
                <w:rFonts w:hint="default" w:ascii="Times New Roman" w:hAnsi="Times New Roman" w:cs="Times New Roman"/>
                <w:b w:val="0"/>
                <w:bCs w:val="0"/>
                <w:color w:val="000000" w:themeColor="text1"/>
                <w:sz w:val="24"/>
                <w:lang w:val="en-US" w:eastAsia="zh-CN"/>
                <w14:textFill>
                  <w14:solidFill>
                    <w14:schemeClr w14:val="tx1"/>
                  </w14:solidFill>
                </w14:textFill>
              </w:rPr>
              <w:t>使用燃料为生物质燃料，</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单台焚烧炉发热量为</w:t>
            </w:r>
            <w:r>
              <w:rPr>
                <w:rFonts w:hint="default" w:ascii="Times New Roman" w:hAnsi="Times New Roman" w:cs="Times New Roman"/>
                <w:b w:val="0"/>
                <w:bCs w:val="0"/>
                <w:color w:val="000000" w:themeColor="text1"/>
                <w:sz w:val="24"/>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万大卡。焚烧炉日运行时间约为8h，即项目生产线需热值为</w:t>
            </w:r>
            <w:r>
              <w:rPr>
                <w:rFonts w:hint="default" w:ascii="Times New Roman" w:hAnsi="Times New Roman" w:cs="Times New Roman"/>
                <w:b w:val="0"/>
                <w:bCs w:val="0"/>
                <w:color w:val="000000" w:themeColor="text1"/>
                <w:sz w:val="24"/>
                <w:lang w:val="en-US" w:eastAsia="zh-CN"/>
                <w14:textFill>
                  <w14:solidFill>
                    <w14:schemeClr w14:val="tx1"/>
                  </w14:solidFill>
                </w14:textFill>
              </w:rPr>
              <w:t>160</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万kcal，约6697362.91kJ/d。</w:t>
            </w:r>
          </w:p>
          <w:p w14:paraId="33C6E15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项目设置1台固化炉，</w:t>
            </w:r>
            <w:r>
              <w:rPr>
                <w:rFonts w:hint="default" w:ascii="Times New Roman" w:hAnsi="Times New Roman" w:cs="Times New Roman"/>
                <w:b w:val="0"/>
                <w:bCs w:val="0"/>
                <w:color w:val="000000" w:themeColor="text1"/>
                <w:sz w:val="24"/>
                <w:lang w:val="en-US" w:eastAsia="zh-CN"/>
                <w14:textFill>
                  <w14:solidFill>
                    <w14:schemeClr w14:val="tx1"/>
                  </w14:solidFill>
                </w14:textFill>
              </w:rPr>
              <w:t>使用燃料为生物质燃料，</w:t>
            </w:r>
            <w:r>
              <w:rPr>
                <w:rFonts w:hint="default" w:ascii="Times New Roman" w:hAnsi="Times New Roman" w:eastAsia="宋体" w:cs="Times New Roman"/>
                <w:color w:val="000000" w:themeColor="text1"/>
                <w:sz w:val="24"/>
                <w:lang w:val="en-US" w:eastAsia="zh-CN"/>
                <w14:textFill>
                  <w14:solidFill>
                    <w14:schemeClr w14:val="tx1"/>
                  </w14:solidFill>
                </w14:textFill>
              </w:rPr>
              <w:t>单台固化炉发热量为</w:t>
            </w:r>
            <w:r>
              <w:rPr>
                <w:rFonts w:hint="default" w:ascii="Times New Roman" w:hAnsi="Times New Roman" w:cs="Times New Roman"/>
                <w:color w:val="000000" w:themeColor="text1"/>
                <w:sz w:val="24"/>
                <w:lang w:val="en-US" w:eastAsia="zh-CN"/>
                <w14:textFill>
                  <w14:solidFill>
                    <w14:schemeClr w14:val="tx1"/>
                  </w14:solidFill>
                </w14:textFill>
              </w:rPr>
              <w:t>15</w:t>
            </w:r>
            <w:r>
              <w:rPr>
                <w:rFonts w:hint="default" w:ascii="Times New Roman" w:hAnsi="Times New Roman" w:eastAsia="宋体" w:cs="Times New Roman"/>
                <w:color w:val="000000" w:themeColor="text1"/>
                <w:sz w:val="24"/>
                <w:lang w:val="en-US" w:eastAsia="zh-CN"/>
                <w14:textFill>
                  <w14:solidFill>
                    <w14:schemeClr w14:val="tx1"/>
                  </w14:solidFill>
                </w14:textFill>
              </w:rPr>
              <w:t>万大卡。固化炉日运行时间约为8h，即项目生产线需热值为1</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0万kcal，约5023022.19kJ/d。</w:t>
            </w:r>
          </w:p>
          <w:p w14:paraId="2B66216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故本次参考</w:t>
            </w:r>
            <w:r>
              <w:rPr>
                <w:rFonts w:hint="default" w:ascii="Times New Roman" w:hAnsi="Times New Roman" w:eastAsia="宋体" w:cs="Times New Roman"/>
                <w:b w:val="0"/>
                <w:bCs w:val="0"/>
                <w:color w:val="000000" w:themeColor="text1"/>
                <w:sz w:val="24"/>
                <w14:textFill>
                  <w14:solidFill>
                    <w14:schemeClr w14:val="tx1"/>
                  </w14:solidFill>
                </w14:textFill>
              </w:rPr>
              <w:t>颗粒帮</w:t>
            </w:r>
            <w:r>
              <w:rPr>
                <w:rFonts w:hint="default"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云南</w:t>
            </w:r>
            <w:r>
              <w:rPr>
                <w:rFonts w:hint="default"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科技有限公司</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（原</w:t>
            </w:r>
            <w:r>
              <w:rPr>
                <w:rFonts w:hint="default" w:ascii="Times New Roman" w:hAnsi="Times New Roman" w:eastAsia="宋体" w:cs="Times New Roman"/>
                <w:b w:val="0"/>
                <w:bCs w:val="0"/>
                <w:color w:val="000000" w:themeColor="text1"/>
                <w:sz w:val="24"/>
                <w14:textFill>
                  <w14:solidFill>
                    <w14:schemeClr w14:val="tx1"/>
                  </w14:solidFill>
                </w14:textFill>
              </w:rPr>
              <w:t>昆明翰朗伯宏</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新</w:t>
            </w:r>
            <w:r>
              <w:rPr>
                <w:rFonts w:hint="default" w:ascii="Times New Roman" w:hAnsi="Times New Roman" w:eastAsia="宋体" w:cs="Times New Roman"/>
                <w:b w:val="0"/>
                <w:bCs w:val="0"/>
                <w:color w:val="000000" w:themeColor="text1"/>
                <w:sz w:val="24"/>
                <w14:textFill>
                  <w14:solidFill>
                    <w14:schemeClr w14:val="tx1"/>
                  </w14:solidFill>
                </w14:textFill>
              </w:rPr>
              <w:t>能源有限公司</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的固体生物质</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成分指标</w:t>
            </w:r>
            <w:r>
              <w:rPr>
                <w:rFonts w:hint="default" w:ascii="Times New Roman" w:hAnsi="Times New Roman" w:eastAsia="宋体" w:cs="Times New Roman"/>
                <w:b w:val="0"/>
                <w:bCs w:val="0"/>
                <w:color w:val="000000" w:themeColor="text1"/>
                <w:sz w:val="24"/>
                <w14:textFill>
                  <w14:solidFill>
                    <w14:schemeClr w14:val="tx1"/>
                  </w14:solidFill>
                </w14:textFill>
              </w:rPr>
              <w:t>，</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生物质燃料</w:t>
            </w:r>
            <w:r>
              <w:rPr>
                <w:rFonts w:hint="default" w:ascii="Times New Roman" w:hAnsi="Times New Roman" w:eastAsia="宋体" w:cs="Times New Roman"/>
                <w:b w:val="0"/>
                <w:bCs w:val="0"/>
                <w:color w:val="000000" w:themeColor="text1"/>
                <w:sz w:val="24"/>
                <w14:textFill>
                  <w14:solidFill>
                    <w14:schemeClr w14:val="tx1"/>
                  </w14:solidFill>
                </w14:textFill>
              </w:rPr>
              <w:t>燃料低位发热值为16720kJ/kg</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p>
          <w:p w14:paraId="6BF7C5D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0"/>
                <w:szCs w:val="20"/>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原有设备老旧，故焚烧炉</w:t>
            </w:r>
            <w:r>
              <w:rPr>
                <w:rFonts w:hint="default" w:ascii="Times New Roman" w:hAnsi="Times New Roman" w:cs="Times New Roman"/>
                <w:b w:val="0"/>
                <w:bCs w:val="0"/>
                <w:color w:val="000000" w:themeColor="text1"/>
                <w:sz w:val="24"/>
                <w:lang w:val="en-US" w:eastAsia="zh-CN"/>
                <w14:textFill>
                  <w14:solidFill>
                    <w14:schemeClr w14:val="tx1"/>
                  </w14:solidFill>
                </w14:textFill>
              </w:rPr>
              <w:t>热效率按70%计，则焚烧炉</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生物质用量为</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0</w:t>
            </w:r>
            <w:r>
              <w:rPr>
                <w:rFonts w:hint="default" w:ascii="Times New Roman" w:hAnsi="Times New Roman" w:cs="Times New Roman"/>
                <w:b w:val="0"/>
                <w:bCs w:val="0"/>
                <w:color w:val="000000" w:themeColor="text1"/>
                <w:sz w:val="24"/>
                <w:lang w:val="en-US" w:eastAsia="zh-CN"/>
                <w14:textFill>
                  <w14:solidFill>
                    <w14:schemeClr w14:val="tx1"/>
                  </w14:solidFill>
                </w14:textFill>
              </w:rPr>
              <w:t>.572</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t/d，即171.6t/a。</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原有设备老旧，故固化炉</w:t>
            </w:r>
            <w:r>
              <w:rPr>
                <w:rFonts w:hint="default" w:ascii="Times New Roman" w:hAnsi="Times New Roman" w:cs="Times New Roman"/>
                <w:b w:val="0"/>
                <w:bCs w:val="0"/>
                <w:color w:val="000000" w:themeColor="text1"/>
                <w:sz w:val="24"/>
                <w:lang w:val="en-US" w:eastAsia="zh-CN"/>
                <w14:textFill>
                  <w14:solidFill>
                    <w14:schemeClr w14:val="tx1"/>
                  </w14:solidFill>
                </w14:textFill>
              </w:rPr>
              <w:t>热效率按70%计，则</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固化炉生物质用量为</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0</w:t>
            </w:r>
            <w:r>
              <w:rPr>
                <w:rFonts w:hint="default" w:ascii="Times New Roman" w:hAnsi="Times New Roman" w:cs="Times New Roman"/>
                <w:b w:val="0"/>
                <w:bCs w:val="0"/>
                <w:color w:val="000000" w:themeColor="text1"/>
                <w:sz w:val="24"/>
                <w:lang w:val="en-US" w:eastAsia="zh-CN"/>
                <w14:textFill>
                  <w14:solidFill>
                    <w14:schemeClr w14:val="tx1"/>
                  </w14:solidFill>
                </w14:textFill>
              </w:rPr>
              <w:t>.429</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t/d，即</w:t>
            </w:r>
            <w:r>
              <w:rPr>
                <w:rFonts w:hint="default" w:ascii="Times New Roman" w:hAnsi="Times New Roman" w:cs="Times New Roman"/>
                <w:b w:val="0"/>
                <w:bCs w:val="0"/>
                <w:color w:val="000000" w:themeColor="text1"/>
                <w:sz w:val="24"/>
                <w:lang w:val="en-US" w:eastAsia="zh-CN"/>
                <w14:textFill>
                  <w14:solidFill>
                    <w14:schemeClr w14:val="tx1"/>
                  </w14:solidFill>
                </w14:textFill>
              </w:rPr>
              <w:t>128.7</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t/a。</w:t>
            </w:r>
          </w:p>
          <w:p w14:paraId="71395877">
            <w:pPr>
              <w:widowControl/>
              <w:numPr>
                <w:ilvl w:val="0"/>
                <w:numId w:val="3"/>
              </w:numPr>
              <w:spacing w:line="360" w:lineRule="auto"/>
              <w:ind w:firstLine="482" w:firstLineChars="200"/>
              <w:rPr>
                <w:rFonts w:hint="default" w:ascii="Times New Roman" w:hAnsi="Times New Roman" w:cs="Times New Roman"/>
                <w:b/>
                <w:color w:val="000000" w:themeColor="text1"/>
                <w:sz w:val="24"/>
                <w:lang w:val="en-US" w:eastAsia="zh-CN"/>
                <w14:textFill>
                  <w14:solidFill>
                    <w14:schemeClr w14:val="tx1"/>
                  </w14:solidFill>
                </w14:textFill>
              </w:rPr>
            </w:pPr>
            <w:r>
              <w:rPr>
                <w:rFonts w:hint="default" w:ascii="Times New Roman" w:hAnsi="Times New Roman" w:cs="Times New Roman"/>
                <w:b/>
                <w:color w:val="000000" w:themeColor="text1"/>
                <w:sz w:val="24"/>
                <w:lang w:val="en-US" w:eastAsia="zh-CN"/>
                <w14:textFill>
                  <w14:solidFill>
                    <w14:schemeClr w14:val="tx1"/>
                  </w14:solidFill>
                </w14:textFill>
              </w:rPr>
              <w:t>原有项目工艺流程</w:t>
            </w:r>
          </w:p>
          <w:p w14:paraId="0C08A01F">
            <w:pPr>
              <w:pStyle w:val="2"/>
              <w:jc w:val="center"/>
              <w:rPr>
                <w:rFonts w:hint="default"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85740" cy="5373370"/>
                  <wp:effectExtent l="0" t="0" r="10160" b="17780"/>
                  <wp:docPr id="2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7"/>
                          <pic:cNvPicPr>
                            <a:picLocks noChangeAspect="1"/>
                          </pic:cNvPicPr>
                        </pic:nvPicPr>
                        <pic:blipFill>
                          <a:blip r:embed="rId21"/>
                          <a:stretch>
                            <a:fillRect/>
                          </a:stretch>
                        </pic:blipFill>
                        <pic:spPr>
                          <a:xfrm>
                            <a:off x="0" y="0"/>
                            <a:ext cx="5285740" cy="5373370"/>
                          </a:xfrm>
                          <a:prstGeom prst="rect">
                            <a:avLst/>
                          </a:prstGeom>
                          <a:noFill/>
                          <a:ln>
                            <a:noFill/>
                          </a:ln>
                        </pic:spPr>
                      </pic:pic>
                    </a:graphicData>
                  </a:graphic>
                </wp:inline>
              </w:drawing>
            </w:r>
          </w:p>
          <w:p w14:paraId="19C5CDD8">
            <w:pPr>
              <w:pStyle w:val="2"/>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图2-</w:t>
            </w:r>
            <w:r>
              <w:rPr>
                <w:rFonts w:hint="eastAsia" w:cs="Times New Roman"/>
                <w:b/>
                <w:bCs w:val="0"/>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 xml:space="preserve">    原有项目液化石油气瓶检测工艺流程及产污节点示意图</w:t>
            </w:r>
          </w:p>
          <w:p w14:paraId="2086E9B9">
            <w:pPr>
              <w:keepNext w:val="0"/>
              <w:keepLines w:val="0"/>
              <w:pageBreakBefore/>
              <w:widowControl w:val="0"/>
              <w:kinsoku/>
              <w:wordWrap/>
              <w:overflowPunct/>
              <w:topLinePunct w:val="0"/>
              <w:autoSpaceDE/>
              <w:autoSpaceDN/>
              <w:bidi w:val="0"/>
              <w:adjustRightInd w:val="0"/>
              <w:snapToGrid w:val="0"/>
              <w:spacing w:after="0" w:line="360" w:lineRule="auto"/>
              <w:ind w:firstLine="482" w:firstLineChars="200"/>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原有项目工艺流程简述：</w:t>
            </w:r>
          </w:p>
          <w:p w14:paraId="6530A145">
            <w:pPr>
              <w:keepNext w:val="0"/>
              <w:keepLines w:val="0"/>
              <w:pageBreakBefore/>
              <w:widowControl w:val="0"/>
              <w:kinsoku/>
              <w:wordWrap/>
              <w:overflowPunct/>
              <w:topLinePunct w:val="0"/>
              <w:autoSpaceDE/>
              <w:autoSpaceDN/>
              <w:bidi w:val="0"/>
              <w:adjustRightInd w:val="0"/>
              <w:snapToGrid w:val="0"/>
              <w:spacing w:after="0"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（1）外观初检：将客户送检的</w:t>
            </w:r>
            <w:r>
              <w:rPr>
                <w:rFonts w:hint="eastAsia" w:ascii="Times New Roman" w:hAnsi="Times New Roman" w:cs="Times New Roman"/>
                <w:color w:val="000000" w:themeColor="text1"/>
                <w:sz w:val="24"/>
                <w:szCs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首先进行外观的检查，不合格的</w:t>
            </w:r>
            <w:r>
              <w:rPr>
                <w:rFonts w:hint="eastAsia" w:ascii="Times New Roman" w:hAnsi="Times New Roman" w:cs="Times New Roman"/>
                <w:color w:val="000000" w:themeColor="text1"/>
                <w:sz w:val="24"/>
                <w:szCs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作报废处理报废处理。</w:t>
            </w:r>
          </w:p>
          <w:p w14:paraId="064A5A8A">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cs="Times New Roman"/>
                <w:color w:val="000000" w:themeColor="text1"/>
                <w:sz w:val="24"/>
                <w:szCs w:val="24"/>
                <w:lang w:val="en-US" w:eastAsia="zh-CN"/>
                <w14:textFill>
                  <w14:solidFill>
                    <w14:schemeClr w14:val="tx1"/>
                  </w14:solidFill>
                </w14:textFill>
              </w:rPr>
              <w:t>残液回收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：送检的液化石油气瓶内仍有少量的液化残气，采用液化气</w:t>
            </w:r>
          </w:p>
          <w:p w14:paraId="4C2C7D91">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残液回收残液回收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装置进行处置。</w:t>
            </w:r>
          </w:p>
          <w:p w14:paraId="09334562">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（3）卸阀、焚烧</w:t>
            </w:r>
          </w:p>
          <w:p w14:paraId="4827149C">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残液回收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后的</w:t>
            </w:r>
            <w:r>
              <w:rPr>
                <w:rFonts w:hint="eastAsia" w:ascii="Times New Roman" w:hAnsi="Times New Roman" w:cs="Times New Roman"/>
                <w:color w:val="000000" w:themeColor="text1"/>
                <w:sz w:val="24"/>
                <w:szCs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送至卸阀区卸下角阀后立即送入焚烧炉内焚烧，焚烧炉采用生物质燃料颗粒作为热源，高温火焰直接喷到</w:t>
            </w:r>
            <w:r>
              <w:rPr>
                <w:rFonts w:hint="eastAsia" w:ascii="Times New Roman" w:hAnsi="Times New Roman" w:cs="Times New Roman"/>
                <w:color w:val="000000" w:themeColor="text1"/>
                <w:sz w:val="24"/>
                <w:szCs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上，从而达到焚烧的目的。</w:t>
            </w:r>
            <w:r>
              <w:rPr>
                <w:rFonts w:hint="eastAsia" w:ascii="Times New Roman" w:hAnsi="Times New Roman" w:cs="Times New Roman"/>
                <w:color w:val="000000" w:themeColor="text1"/>
                <w:sz w:val="24"/>
                <w:szCs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经过焚烧后首先可以有效地清流内部结垢和残气，使</w:t>
            </w:r>
            <w:r>
              <w:rPr>
                <w:rFonts w:hint="eastAsia" w:ascii="Times New Roman" w:hAnsi="Times New Roman" w:cs="Times New Roman"/>
                <w:color w:val="000000" w:themeColor="text1"/>
                <w:sz w:val="24"/>
                <w:szCs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检验的安全性得到保障；其次可以避免由蒸汽吹扫工艺带来的“三废”污染，有效保护环境；最后可以使</w:t>
            </w:r>
            <w:r>
              <w:rPr>
                <w:rFonts w:hint="eastAsia" w:ascii="Times New Roman" w:hAnsi="Times New Roman" w:cs="Times New Roman"/>
                <w:color w:val="000000" w:themeColor="text1"/>
                <w:sz w:val="24"/>
                <w:szCs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表面的喷涂层完全碳化，提高表面清理效率。焚烧产生的废气通过2个集气罩收集进入与集气罩相连的管道，经过脉冲布袋除尘器+活性炭吸附装置处理后，净化后的含尘废气通过引风机引风，通过室外1根高15m，直径为40cm的排气筒高空外排。</w:t>
            </w:r>
          </w:p>
          <w:p w14:paraId="281126D3">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（4）浓度检测、水压试验</w:t>
            </w:r>
          </w:p>
          <w:p w14:paraId="5CDE4724">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焚烧冷却后的</w:t>
            </w:r>
            <w:r>
              <w:rPr>
                <w:rFonts w:hint="eastAsia" w:ascii="Times New Roman" w:hAnsi="Times New Roman" w:cs="Times New Roman"/>
                <w:color w:val="000000" w:themeColor="text1"/>
                <w:sz w:val="24"/>
                <w:szCs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经过浓度检测，不符合要求的</w:t>
            </w:r>
            <w:r>
              <w:rPr>
                <w:rFonts w:hint="eastAsia" w:ascii="Times New Roman" w:hAnsi="Times New Roman" w:cs="Times New Roman"/>
                <w:color w:val="000000" w:themeColor="text1"/>
                <w:sz w:val="24"/>
                <w:szCs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由我厂作报废处理，该工序将产生不合格的</w:t>
            </w:r>
            <w:r>
              <w:rPr>
                <w:rFonts w:hint="eastAsia" w:ascii="Times New Roman" w:hAnsi="Times New Roman" w:cs="Times New Roman"/>
                <w:color w:val="000000" w:themeColor="text1"/>
                <w:sz w:val="24"/>
                <w:szCs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。容积测定后进入水压装置进行水压试验，该工序将产生不合格的</w:t>
            </w:r>
            <w:r>
              <w:rPr>
                <w:rFonts w:hint="eastAsia" w:ascii="Times New Roman" w:hAnsi="Times New Roman" w:cs="Times New Roman"/>
                <w:color w:val="000000" w:themeColor="text1"/>
                <w:sz w:val="24"/>
                <w:szCs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，水压测试机设备运行产生一定的噪声。</w:t>
            </w:r>
          </w:p>
          <w:p w14:paraId="3AB7C386">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（5）内部干燥</w:t>
            </w:r>
          </w:p>
          <w:p w14:paraId="73F518EA">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检验合格后的</w:t>
            </w:r>
            <w:r>
              <w:rPr>
                <w:rFonts w:hint="eastAsia" w:ascii="Times New Roman" w:hAnsi="Times New Roman" w:cs="Times New Roman"/>
                <w:color w:val="000000" w:themeColor="text1"/>
                <w:sz w:val="24"/>
                <w:szCs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内部经过压缩空气吹扫吹干。</w:t>
            </w:r>
          </w:p>
          <w:p w14:paraId="51AAFB02">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（6）除锈</w:t>
            </w:r>
          </w:p>
          <w:p w14:paraId="443A3E6E">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利用除锈机清除</w:t>
            </w:r>
            <w:r>
              <w:rPr>
                <w:rFonts w:hint="eastAsia" w:ascii="Times New Roman" w:hAnsi="Times New Roman" w:cs="Times New Roman"/>
                <w:color w:val="000000" w:themeColor="text1"/>
                <w:sz w:val="24"/>
                <w:szCs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表面的氧化皮等附着物，此工序将产生粉尘，除锈机运行中产生一定的噪声。项目在此工序设置了一套脉冲布袋除尘设施，除锈产生的铁锈灰渣用密闭的脉冲布袋除尘设施进行收集。</w:t>
            </w:r>
          </w:p>
          <w:p w14:paraId="2311A1E2">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（7）外观复检</w:t>
            </w:r>
          </w:p>
          <w:p w14:paraId="63A2501F">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复查除锈后的</w:t>
            </w:r>
            <w:r>
              <w:rPr>
                <w:rFonts w:hint="eastAsia" w:ascii="Times New Roman" w:hAnsi="Times New Roman" w:cs="Times New Roman"/>
                <w:color w:val="000000" w:themeColor="text1"/>
                <w:sz w:val="24"/>
                <w:szCs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是否存在焊缝，阀座、壁厚等是否符合要求，不符合要求的</w:t>
            </w:r>
            <w:r>
              <w:rPr>
                <w:rFonts w:hint="eastAsia" w:ascii="Times New Roman" w:hAnsi="Times New Roman" w:cs="Times New Roman"/>
                <w:color w:val="000000" w:themeColor="text1"/>
                <w:sz w:val="24"/>
                <w:szCs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由我厂作报废处理。</w:t>
            </w:r>
          </w:p>
          <w:p w14:paraId="33407CC2">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（8）静电喷涂</w:t>
            </w:r>
          </w:p>
          <w:p w14:paraId="39577724">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表面需进行喷涂处理，我厂采用静电喷涂技术，涂料为环氧聚酯粉末（属于热固性粉末涂料，无毒、无异味），喷涂整套设备包括高压静电发生器、封闭的喷涂间、悬挂喷涂线、粉末离心回收装置、配套的脉冲布袋除尘设施等几个部分组成。在喷塑过程中，利用悬挂喷涂线对</w:t>
            </w:r>
            <w:r>
              <w:rPr>
                <w:rFonts w:hint="eastAsia" w:ascii="Times New Roman" w:hAnsi="Times New Roman" w:cs="Times New Roman"/>
                <w:color w:val="000000" w:themeColor="text1"/>
                <w:sz w:val="24"/>
                <w:szCs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表面进行喷涂，通过高压静电极，使环氧聚酯粉末带静电吸附在瓶体表面。在喷涂过程中，沉降或游离在喷涂间的粉末通过喷涂设备自带的粉末离心回收装置收集，与新的环氧聚酯粉末按比例混合，重新进行利用。为防止封闭的喷涂间粉尘集聚，项目通过在封闭的喷涂间顶部开孔，设置一根管道与脉冲布袋除尘设施相连，由引风机引风，粉尘被拦截在布袋内，气体则穿过滤袋，经过净气室后外排。</w:t>
            </w:r>
          </w:p>
          <w:p w14:paraId="6185A15A">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（9）固化</w:t>
            </w:r>
          </w:p>
          <w:p w14:paraId="78A61864">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9"/>
              <w:rPr>
                <w:rFonts w:hint="default"/>
                <w:color w:val="000000" w:themeColor="text1"/>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固化工段采用生物质作为燃料，</w:t>
            </w:r>
            <w:r>
              <w:rPr>
                <w:rFonts w:hint="eastAsia" w:ascii="Times New Roman" w:hAnsi="Times New Roman" w:cs="Times New Roman"/>
                <w:color w:val="000000" w:themeColor="text1"/>
                <w:sz w:val="24"/>
                <w:szCs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经喷涂后，转移至固化房进行加热，加热至粉末熔点，经流平、烘干，形成附着力极强的固化薄膜，在固化房内加热温度约为200℃。</w:t>
            </w:r>
            <w:r>
              <w:rPr>
                <w:rFonts w:hint="eastAsia" w:ascii="Times New Roman" w:hAnsi="Times New Roman" w:cs="Times New Roman"/>
                <w:color w:val="000000" w:themeColor="text1"/>
                <w:sz w:val="24"/>
                <w:szCs w:val="24"/>
                <w:lang w:val="en-US" w:eastAsia="zh-CN"/>
                <w14:textFill>
                  <w14:solidFill>
                    <w14:schemeClr w14:val="tx1"/>
                  </w14:solidFill>
                </w14:textFill>
              </w:rPr>
              <w:t>固化废气与焚烧炉废气一同进入“布袋+活性炭吸附”设施</w:t>
            </w:r>
            <w:r>
              <w:rPr>
                <w:rFonts w:hint="eastAsia" w:cs="Times New Roman"/>
                <w:color w:val="000000" w:themeColor="text1"/>
                <w:sz w:val="24"/>
                <w:szCs w:val="24"/>
                <w:lang w:val="en-US" w:eastAsia="zh-CN"/>
                <w14:textFill>
                  <w14:solidFill>
                    <w14:schemeClr w14:val="tx1"/>
                  </w14:solidFill>
                </w14:textFill>
              </w:rPr>
              <w:t>处理后通过15m高排气筒排放。</w:t>
            </w:r>
          </w:p>
          <w:p w14:paraId="0567F970">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（10）气密性检测</w:t>
            </w:r>
          </w:p>
          <w:p w14:paraId="0F958D4A">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固化后的</w:t>
            </w:r>
            <w:r>
              <w:rPr>
                <w:rFonts w:hint="eastAsia" w:ascii="Times New Roman" w:hAnsi="Times New Roman" w:cs="Times New Roman"/>
                <w:color w:val="000000" w:themeColor="text1"/>
                <w:sz w:val="24"/>
                <w:szCs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进行组装瓶阀，通过压缩空气进行气密性检验，不符合要求的</w:t>
            </w:r>
            <w:r>
              <w:rPr>
                <w:rFonts w:hint="eastAsia" w:ascii="Times New Roman" w:hAnsi="Times New Roman" w:cs="Times New Roman"/>
                <w:color w:val="000000" w:themeColor="text1"/>
                <w:sz w:val="24"/>
                <w:szCs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由我厂作报废处理。</w:t>
            </w:r>
          </w:p>
          <w:p w14:paraId="0CF1684E">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（11）印字、抽真空、总检</w:t>
            </w:r>
          </w:p>
          <w:p w14:paraId="530A9015">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经气密性检验合格的</w:t>
            </w:r>
            <w:r>
              <w:rPr>
                <w:rFonts w:hint="eastAsia" w:ascii="Times New Roman" w:hAnsi="Times New Roman" w:cs="Times New Roman"/>
                <w:color w:val="000000" w:themeColor="text1"/>
                <w:sz w:val="24"/>
                <w:szCs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，在瓶体外表面进行印字、抽真空，总体检查后，带合格证出厂</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p>
          <w:p w14:paraId="2428E466">
            <w:pPr>
              <w:widowControl/>
              <w:spacing w:line="360" w:lineRule="auto"/>
              <w:ind w:firstLine="482"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b/>
                <w:color w:val="000000" w:themeColor="text1"/>
                <w:sz w:val="24"/>
                <w:lang w:val="en-US" w:eastAsia="zh-CN"/>
                <w14:textFill>
                  <w14:solidFill>
                    <w14:schemeClr w14:val="tx1"/>
                  </w14:solidFill>
                </w14:textFill>
              </w:rPr>
              <w:t>4</w:t>
            </w:r>
            <w:r>
              <w:rPr>
                <w:rFonts w:hint="default" w:ascii="Times New Roman" w:hAnsi="Times New Roman" w:cs="Times New Roman"/>
                <w:b/>
                <w:color w:val="000000" w:themeColor="text1"/>
                <w:sz w:val="24"/>
                <w14:textFill>
                  <w14:solidFill>
                    <w14:schemeClr w14:val="tx1"/>
                  </w14:solidFill>
                </w14:textFill>
              </w:rPr>
              <w:t>、</w:t>
            </w:r>
            <w:r>
              <w:rPr>
                <w:rFonts w:hint="default" w:ascii="Times New Roman" w:hAnsi="Times New Roman" w:cs="Times New Roman"/>
                <w:b/>
                <w:color w:val="000000" w:themeColor="text1"/>
                <w:sz w:val="24"/>
                <w:lang w:eastAsia="zh-CN"/>
                <w14:textFill>
                  <w14:solidFill>
                    <w14:schemeClr w14:val="tx1"/>
                  </w14:solidFill>
                </w14:textFill>
              </w:rPr>
              <w:t>原</w:t>
            </w:r>
            <w:r>
              <w:rPr>
                <w:rFonts w:hint="default" w:ascii="Times New Roman" w:hAnsi="Times New Roman" w:cs="Times New Roman"/>
                <w:b/>
                <w:color w:val="000000" w:themeColor="text1"/>
                <w:sz w:val="24"/>
                <w14:textFill>
                  <w14:solidFill>
                    <w14:schemeClr w14:val="tx1"/>
                  </w14:solidFill>
                </w14:textFill>
              </w:rPr>
              <w:t>有项目污染物排放情况</w:t>
            </w:r>
          </w:p>
          <w:p w14:paraId="0D8958AB">
            <w:pPr>
              <w:pStyle w:val="44"/>
              <w:pageBreakBefore w:val="0"/>
              <w:kinsoku/>
              <w:overflowPunct/>
              <w:topLinePunct w:val="0"/>
              <w:bidi w:val="0"/>
              <w:ind w:left="0" w:leftChars="0" w:right="0" w:firstLine="480"/>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（1）废气</w:t>
            </w:r>
          </w:p>
          <w:p w14:paraId="64C1F292">
            <w:pPr>
              <w:pStyle w:val="20"/>
              <w:pageBreakBefore w:val="0"/>
              <w:kinsoku/>
              <w:overflowPunct/>
              <w:topLinePunct w:val="0"/>
              <w:autoSpaceDE/>
              <w:autoSpaceDN/>
              <w:bidi w:val="0"/>
              <w:adjustRightInd/>
              <w:spacing w:line="360" w:lineRule="auto"/>
              <w:ind w:left="0" w:leftChars="0" w:right="0" w:rightChars="0" w:firstLine="480" w:firstLineChars="200"/>
              <w:rPr>
                <w:rFonts w:hint="default" w:ascii="Times New Roman" w:hAnsi="Times New Roman" w:eastAsia="宋体" w:cs="Times New Roman"/>
                <w:color w:val="000000" w:themeColor="text1"/>
                <w:kern w:val="24"/>
                <w:lang w:val="en-US" w:eastAsia="zh-CN"/>
                <w14:textFill>
                  <w14:solidFill>
                    <w14:schemeClr w14:val="tx1"/>
                  </w14:solidFill>
                </w14:textFill>
              </w:rPr>
            </w:pPr>
            <w:r>
              <w:rPr>
                <w:rFonts w:hint="default" w:ascii="Times New Roman" w:hAnsi="Times New Roman" w:cs="Times New Roman"/>
                <w:color w:val="000000" w:themeColor="text1"/>
                <w:kern w:val="24"/>
                <w:lang w:val="en-US" w:eastAsia="zh-CN"/>
                <w14:textFill>
                  <w14:solidFill>
                    <w14:schemeClr w14:val="tx1"/>
                  </w14:solidFill>
                </w14:textFill>
              </w:rPr>
              <w:t>原有项目</w:t>
            </w:r>
            <w:r>
              <w:rPr>
                <w:rFonts w:hint="default" w:ascii="Times New Roman" w:hAnsi="Times New Roman" w:eastAsia="宋体" w:cs="Times New Roman"/>
                <w:color w:val="000000" w:themeColor="text1"/>
                <w:kern w:val="24"/>
                <w:lang w:val="en-US" w:eastAsia="zh-CN"/>
                <w14:textFill>
                  <w14:solidFill>
                    <w14:schemeClr w14:val="tx1"/>
                  </w14:solidFill>
                </w14:textFill>
              </w:rPr>
              <w:t>废气主要为焚烧炉废气（颗粒物、SO</w:t>
            </w:r>
            <w:r>
              <w:rPr>
                <w:rFonts w:hint="default" w:ascii="Times New Roman" w:hAnsi="Times New Roman" w:eastAsia="宋体" w:cs="Times New Roman"/>
                <w:color w:val="000000" w:themeColor="text1"/>
                <w:kern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kern w:val="24"/>
                <w:lang w:val="en-US" w:eastAsia="zh-CN"/>
                <w14:textFill>
                  <w14:solidFill>
                    <w14:schemeClr w14:val="tx1"/>
                  </w14:solidFill>
                </w14:textFill>
              </w:rPr>
              <w:t>、NO</w:t>
            </w:r>
            <w:r>
              <w:rPr>
                <w:rFonts w:hint="default" w:ascii="Times New Roman" w:hAnsi="Times New Roman" w:eastAsia="宋体" w:cs="Times New Roman"/>
                <w:color w:val="000000" w:themeColor="text1"/>
                <w:kern w:val="24"/>
                <w:vertAlign w:val="subscript"/>
                <w:lang w:val="en-US" w:eastAsia="zh-CN"/>
                <w14:textFill>
                  <w14:solidFill>
                    <w14:schemeClr w14:val="tx1"/>
                  </w14:solidFill>
                </w14:textFill>
              </w:rPr>
              <w:t>X</w:t>
            </w:r>
            <w:r>
              <w:rPr>
                <w:rFonts w:hint="default" w:ascii="Times New Roman" w:hAnsi="Times New Roman" w:eastAsia="宋体" w:cs="Times New Roman"/>
                <w:color w:val="000000" w:themeColor="text1"/>
                <w:kern w:val="24"/>
                <w:lang w:val="en-US" w:eastAsia="zh-CN"/>
                <w14:textFill>
                  <w14:solidFill>
                    <w14:schemeClr w14:val="tx1"/>
                  </w14:solidFill>
                </w14:textFill>
              </w:rPr>
              <w:t>、</w:t>
            </w:r>
            <w:r>
              <w:rPr>
                <w:rFonts w:hint="eastAsia" w:cs="Times New Roman"/>
                <w:color w:val="000000" w:themeColor="text1"/>
                <w:kern w:val="24"/>
                <w:lang w:val="en-US" w:eastAsia="zh-CN"/>
                <w14:textFill>
                  <w14:solidFill>
                    <w14:schemeClr w14:val="tx1"/>
                  </w14:solidFill>
                </w14:textFill>
              </w:rPr>
              <w:t>微量非甲烷总烃</w:t>
            </w:r>
            <w:r>
              <w:rPr>
                <w:rFonts w:hint="default" w:ascii="Times New Roman" w:hAnsi="Times New Roman" w:eastAsia="宋体" w:cs="Times New Roman"/>
                <w:color w:val="000000" w:themeColor="text1"/>
                <w:kern w:val="24"/>
                <w:lang w:val="en-US" w:eastAsia="zh-CN"/>
                <w14:textFill>
                  <w14:solidFill>
                    <w14:schemeClr w14:val="tx1"/>
                  </w14:solidFill>
                </w14:textFill>
              </w:rPr>
              <w:t>）、抛丸除锈颗粒物、喷塑颗粒物、固化废气（颗粒物、SO</w:t>
            </w:r>
            <w:r>
              <w:rPr>
                <w:rFonts w:hint="default" w:ascii="Times New Roman" w:hAnsi="Times New Roman" w:eastAsia="宋体" w:cs="Times New Roman"/>
                <w:color w:val="000000" w:themeColor="text1"/>
                <w:kern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kern w:val="24"/>
                <w:lang w:val="en-US" w:eastAsia="zh-CN"/>
                <w14:textFill>
                  <w14:solidFill>
                    <w14:schemeClr w14:val="tx1"/>
                  </w14:solidFill>
                </w14:textFill>
              </w:rPr>
              <w:t>、NO</w:t>
            </w:r>
            <w:r>
              <w:rPr>
                <w:rFonts w:hint="default" w:ascii="Times New Roman" w:hAnsi="Times New Roman" w:eastAsia="宋体" w:cs="Times New Roman"/>
                <w:color w:val="000000" w:themeColor="text1"/>
                <w:kern w:val="24"/>
                <w:vertAlign w:val="subscript"/>
                <w:lang w:val="en-US" w:eastAsia="zh-CN"/>
                <w14:textFill>
                  <w14:solidFill>
                    <w14:schemeClr w14:val="tx1"/>
                  </w14:solidFill>
                </w14:textFill>
              </w:rPr>
              <w:t>X</w:t>
            </w:r>
            <w:r>
              <w:rPr>
                <w:rFonts w:hint="default" w:ascii="Times New Roman" w:hAnsi="Times New Roman" w:eastAsia="宋体" w:cs="Times New Roman"/>
                <w:color w:val="000000" w:themeColor="text1"/>
                <w:kern w:val="24"/>
                <w:lang w:val="en-US" w:eastAsia="zh-CN"/>
                <w14:textFill>
                  <w14:solidFill>
                    <w14:schemeClr w14:val="tx1"/>
                  </w14:solidFill>
                </w14:textFill>
              </w:rPr>
              <w:t>、非甲烷总烃）；无组织废气为</w:t>
            </w:r>
            <w:r>
              <w:rPr>
                <w:rFonts w:hint="eastAsia" w:cs="Times New Roman"/>
                <w:color w:val="000000" w:themeColor="text1"/>
                <w:kern w:val="0"/>
                <w:sz w:val="24"/>
                <w:szCs w:val="24"/>
                <w:lang w:val="en-US" w:eastAsia="zh-CN" w:bidi="ar"/>
                <w14:textFill>
                  <w14:solidFill>
                    <w14:schemeClr w14:val="tx1"/>
                  </w14:solidFill>
                </w14:textFill>
              </w:rPr>
              <w:t>残液回收</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、瓶阀拆卸、气密性试验等环节的逸散泄漏废气</w:t>
            </w:r>
            <w:r>
              <w:rPr>
                <w:rFonts w:hint="default" w:ascii="Times New Roman" w:hAnsi="Times New Roman" w:eastAsia="宋体" w:cs="Times New Roman"/>
                <w:color w:val="000000" w:themeColor="text1"/>
                <w:kern w:val="24"/>
                <w:lang w:val="en-US" w:eastAsia="zh-CN"/>
                <w14:textFill>
                  <w14:solidFill>
                    <w14:schemeClr w14:val="tx1"/>
                  </w14:solidFill>
                </w14:textFill>
              </w:rPr>
              <w:t>、刷字废气无组织非甲烷总烃。</w:t>
            </w:r>
          </w:p>
          <w:p w14:paraId="71937955">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cs="Times New Roman"/>
                <w:b/>
                <w:color w:val="000000" w:themeColor="text1"/>
                <w:sz w:val="24"/>
                <w:lang w:val="en-US" w:eastAsia="zh-CN"/>
                <w14:textFill>
                  <w14:solidFill>
                    <w14:schemeClr w14:val="tx1"/>
                  </w14:solidFill>
                </w14:textFill>
              </w:rPr>
            </w:pPr>
            <w:r>
              <w:rPr>
                <w:rFonts w:hint="default" w:ascii="Times New Roman" w:hAnsi="Times New Roman" w:cs="Times New Roman"/>
                <w:b/>
                <w:color w:val="000000" w:themeColor="text1"/>
                <w:sz w:val="24"/>
                <w:lang w:val="en-US" w:eastAsia="zh-CN"/>
                <w14:textFill>
                  <w14:solidFill>
                    <w14:schemeClr w14:val="tx1"/>
                  </w14:solidFill>
                </w14:textFill>
              </w:rPr>
              <w:t>1）焚烧炉废气</w:t>
            </w:r>
          </w:p>
          <w:p w14:paraId="1D7F60ED">
            <w:pPr>
              <w:pStyle w:val="20"/>
              <w:pageBreakBefore w:val="0"/>
              <w:kinsoku/>
              <w:overflowPunct/>
              <w:topLinePunct w:val="0"/>
              <w:autoSpaceDE/>
              <w:autoSpaceDN/>
              <w:bidi w:val="0"/>
              <w:adjustRightInd/>
              <w:spacing w:line="360" w:lineRule="auto"/>
              <w:ind w:left="0" w:leftChars="0" w:right="0" w:rightChars="0" w:firstLine="48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kern w:val="24"/>
                <w:lang w:val="en-US" w:eastAsia="zh-CN"/>
                <w14:textFill>
                  <w14:solidFill>
                    <w14:schemeClr w14:val="tx1"/>
                  </w14:solidFill>
                </w14:textFill>
              </w:rPr>
              <w:t>焚烧炉废气主要为生物质燃烧废气（颗粒物、氮氧化物、二氧化硫）及</w:t>
            </w:r>
            <w:r>
              <w:rPr>
                <w:rFonts w:hint="eastAsia" w:ascii="Times New Roman" w:hAnsi="Times New Roman" w:cs="Times New Roman"/>
                <w:color w:val="000000" w:themeColor="text1"/>
                <w:kern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kern w:val="24"/>
                <w:lang w:val="en-US" w:eastAsia="zh-CN"/>
                <w14:textFill>
                  <w14:solidFill>
                    <w14:schemeClr w14:val="tx1"/>
                  </w14:solidFill>
                </w14:textFill>
              </w:rPr>
              <w:t>表面</w:t>
            </w:r>
            <w:r>
              <w:rPr>
                <w:rFonts w:hint="default" w:ascii="Times New Roman" w:hAnsi="Times New Roman" w:cs="Times New Roman"/>
                <w:color w:val="000000" w:themeColor="text1"/>
                <w:kern w:val="24"/>
                <w:lang w:val="en-US" w:eastAsia="zh-CN"/>
                <w14:textFill>
                  <w14:solidFill>
                    <w14:schemeClr w14:val="tx1"/>
                  </w14:solidFill>
                </w14:textFill>
              </w:rPr>
              <w:t>层</w:t>
            </w:r>
            <w:r>
              <w:rPr>
                <w:rFonts w:hint="default" w:ascii="Times New Roman" w:hAnsi="Times New Roman" w:eastAsia="宋体" w:cs="Times New Roman"/>
                <w:color w:val="000000" w:themeColor="text1"/>
                <w:kern w:val="24"/>
                <w:lang w:val="en-US" w:eastAsia="zh-CN"/>
                <w14:textFill>
                  <w14:solidFill>
                    <w14:schemeClr w14:val="tx1"/>
                  </w14:solidFill>
                </w14:textFill>
              </w:rPr>
              <w:t>焚烧废气。</w:t>
            </w:r>
          </w:p>
          <w:p w14:paraId="45B8BB0A">
            <w:pPr>
              <w:pStyle w:val="20"/>
              <w:pageBreakBefore w:val="0"/>
              <w:kinsoku/>
              <w:overflowPunct/>
              <w:topLinePunct w:val="0"/>
              <w:autoSpaceDE/>
              <w:autoSpaceDN/>
              <w:bidi w:val="0"/>
              <w:adjustRightInd/>
              <w:spacing w:line="360" w:lineRule="auto"/>
              <w:ind w:left="0" w:leftChars="0" w:right="0" w:rightChars="0" w:firstLine="482" w:firstLineChars="200"/>
              <w:rPr>
                <w:rFonts w:hint="default" w:ascii="Times New Roman" w:hAnsi="Times New Roman" w:eastAsia="宋体" w:cs="Times New Roman"/>
                <w:b/>
                <w:bCs/>
                <w:color w:val="000000" w:themeColor="text1"/>
                <w:kern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24"/>
                <w:lang w:val="en-US" w:eastAsia="zh-CN"/>
                <w14:textFill>
                  <w14:solidFill>
                    <w14:schemeClr w14:val="tx1"/>
                  </w14:solidFill>
                </w14:textFill>
              </w:rPr>
              <w:t>①</w:t>
            </w:r>
            <w:r>
              <w:rPr>
                <w:rFonts w:hint="eastAsia" w:cs="Times New Roman"/>
                <w:b/>
                <w:bCs/>
                <w:color w:val="000000" w:themeColor="text1"/>
                <w:kern w:val="24"/>
                <w:lang w:val="en-US" w:eastAsia="zh-CN"/>
                <w14:textFill>
                  <w14:solidFill>
                    <w14:schemeClr w14:val="tx1"/>
                  </w14:solidFill>
                </w14:textFill>
              </w:rPr>
              <w:t>焚烧环节</w:t>
            </w:r>
            <w:r>
              <w:rPr>
                <w:rFonts w:hint="default" w:ascii="Times New Roman" w:hAnsi="Times New Roman" w:eastAsia="宋体" w:cs="Times New Roman"/>
                <w:b/>
                <w:bCs/>
                <w:color w:val="000000" w:themeColor="text1"/>
                <w:kern w:val="24"/>
                <w:lang w:val="en-US" w:eastAsia="zh-CN"/>
                <w14:textFill>
                  <w14:solidFill>
                    <w14:schemeClr w14:val="tx1"/>
                  </w14:solidFill>
                </w14:textFill>
              </w:rPr>
              <w:t>生物质燃烧废气</w:t>
            </w:r>
          </w:p>
          <w:p w14:paraId="42EDFFC5">
            <w:pPr>
              <w:pStyle w:val="20"/>
              <w:pageBreakBefore w:val="0"/>
              <w:kinsoku/>
              <w:overflowPunct/>
              <w:topLinePunct w:val="0"/>
              <w:autoSpaceDE/>
              <w:autoSpaceDN/>
              <w:bidi w:val="0"/>
              <w:adjustRightInd/>
              <w:spacing w:line="360" w:lineRule="auto"/>
              <w:ind w:left="0" w:leftChars="0" w:right="0" w:rightChars="0" w:firstLine="48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kern w:val="24"/>
                <w:lang w:val="en-US" w:eastAsia="zh-CN"/>
                <w14:textFill>
                  <w14:solidFill>
                    <w14:schemeClr w14:val="tx1"/>
                  </w14:solidFill>
                </w14:textFill>
              </w:rPr>
              <w:t>原有项目</w:t>
            </w:r>
            <w:r>
              <w:rPr>
                <w:rFonts w:hint="eastAsia" w:cs="Times New Roman"/>
                <w:color w:val="000000" w:themeColor="text1"/>
                <w:kern w:val="24"/>
                <w:lang w:val="en-US" w:eastAsia="zh-CN"/>
                <w14:textFill>
                  <w14:solidFill>
                    <w14:schemeClr w14:val="tx1"/>
                  </w14:solidFill>
                </w14:textFill>
              </w:rPr>
              <w:t>焚烧炉</w:t>
            </w:r>
            <w:r>
              <w:rPr>
                <w:rFonts w:hint="default" w:ascii="Times New Roman" w:hAnsi="Times New Roman" w:eastAsia="宋体" w:cs="Times New Roman"/>
                <w:color w:val="000000" w:themeColor="text1"/>
                <w:kern w:val="24"/>
                <w:lang w:val="en-US" w:eastAsia="zh-CN"/>
                <w14:textFill>
                  <w14:solidFill>
                    <w14:schemeClr w14:val="tx1"/>
                  </w14:solidFill>
                </w14:textFill>
              </w:rPr>
              <w:t>生物质燃料用量为</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171.6</w:t>
            </w:r>
            <w:r>
              <w:rPr>
                <w:rFonts w:hint="default" w:ascii="Times New Roman" w:hAnsi="Times New Roman" w:eastAsia="宋体" w:cs="Times New Roman"/>
                <w:color w:val="000000" w:themeColor="text1"/>
                <w:kern w:val="24"/>
                <w:lang w:val="en-US" w:eastAsia="zh-CN"/>
                <w14:textFill>
                  <w14:solidFill>
                    <w14:schemeClr w14:val="tx1"/>
                  </w14:solidFill>
                </w14:textFill>
              </w:rPr>
              <w:t>t/a。项目年运行300天，每天运行8小时。生物质燃料烟气中的污染物指标参照《排放源统计调查产排污核算方法和系数手册》（生态环境部公告2021年第24号）中《33-37，431-434 机械行业系数手册》中生物质工业炉窑产污系数计算，“二氧化硫17S千克/吨-原料；颗粒物37.6千克/吨-原料；氮氧化物1.02千克/吨-原料</w:t>
            </w:r>
            <w:r>
              <w:rPr>
                <w:rFonts w:hint="default" w:ascii="Times New Roman" w:hAnsi="Times New Roman" w:eastAsia="宋体" w:cs="Times New Roman"/>
                <w:color w:val="000000" w:themeColor="text1"/>
                <w:kern w:val="24"/>
                <w:sz w:val="24"/>
                <w:szCs w:val="24"/>
                <w:lang w:val="en-US" w:eastAsia="zh-CN"/>
                <w14:textFill>
                  <w14:solidFill>
                    <w14:schemeClr w14:val="tx1"/>
                  </w14:solidFill>
                </w14:textFill>
              </w:rPr>
              <w:t>”参考成分报告S取</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0.03152，即二氧化硫产生量为0.091950144t/a，颗粒物产生量为6.45216t/a，氮氧化物产生量为0.175032t/a。</w:t>
            </w:r>
          </w:p>
          <w:p w14:paraId="31335642">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②</w:t>
            </w:r>
            <w:r>
              <w:rPr>
                <w:rFonts w:hint="eastAsia" w:ascii="Times New Roman" w:hAnsi="Times New Roman" w:cs="Times New Roman"/>
                <w:b/>
                <w:color w:val="000000" w:themeColor="text1"/>
                <w:sz w:val="24"/>
                <w:lang w:val="en-US" w:eastAsia="zh-CN"/>
                <w14:textFill>
                  <w14:solidFill>
                    <w14:schemeClr w14:val="tx1"/>
                  </w14:solidFill>
                </w14:textFill>
              </w:rPr>
              <w:t>液化石油气钢瓶</w:t>
            </w:r>
            <w:r>
              <w:rPr>
                <w:rFonts w:hint="default" w:ascii="Times New Roman" w:hAnsi="Times New Roman" w:eastAsia="宋体" w:cs="Times New Roman"/>
                <w:b/>
                <w:color w:val="000000" w:themeColor="text1"/>
                <w:sz w:val="24"/>
                <w:lang w:val="en-US" w:eastAsia="zh-CN"/>
                <w14:textFill>
                  <w14:solidFill>
                    <w14:schemeClr w14:val="tx1"/>
                  </w14:solidFill>
                </w14:textFill>
              </w:rPr>
              <w:t>表面层焚烧废气</w:t>
            </w:r>
          </w:p>
          <w:p w14:paraId="3C543A46">
            <w:pPr>
              <w:pStyle w:val="20"/>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000000" w:themeColor="text1"/>
                <w:kern w:val="24"/>
                <w:lang w:val="en-US" w:eastAsia="zh-CN"/>
                <w14:textFill>
                  <w14:solidFill>
                    <w14:schemeClr w14:val="tx1"/>
                  </w14:solidFill>
                </w14:textFill>
              </w:rPr>
            </w:pPr>
            <w:r>
              <w:rPr>
                <w:rFonts w:hint="default" w:ascii="Times New Roman" w:hAnsi="Times New Roman" w:eastAsia="宋体" w:cs="Times New Roman"/>
                <w:color w:val="000000" w:themeColor="text1"/>
                <w:kern w:val="24"/>
                <w:lang w:val="en-US" w:eastAsia="zh-CN"/>
                <w14:textFill>
                  <w14:solidFill>
                    <w14:schemeClr w14:val="tx1"/>
                  </w14:solidFill>
                </w14:textFill>
              </w:rPr>
              <w:t>焚烧</w:t>
            </w:r>
            <w:r>
              <w:rPr>
                <w:rFonts w:hint="eastAsia" w:ascii="Times New Roman" w:hAnsi="Times New Roman" w:cs="Times New Roman"/>
                <w:color w:val="000000" w:themeColor="text1"/>
                <w:kern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kern w:val="24"/>
                <w:lang w:val="en-US" w:eastAsia="zh-CN"/>
                <w14:textFill>
                  <w14:solidFill>
                    <w14:schemeClr w14:val="tx1"/>
                  </w14:solidFill>
                </w14:textFill>
              </w:rPr>
              <w:t>表面过程中会产生颗粒物</w:t>
            </w:r>
            <w:r>
              <w:rPr>
                <w:rFonts w:hint="eastAsia" w:cs="Times New Roman"/>
                <w:color w:val="000000" w:themeColor="text1"/>
                <w:kern w:val="24"/>
                <w:lang w:val="en-US" w:eastAsia="zh-CN"/>
                <w14:textFill>
                  <w14:solidFill>
                    <w14:schemeClr w14:val="tx1"/>
                  </w14:solidFill>
                </w14:textFill>
              </w:rPr>
              <w:t>以及微量非甲烷总烃</w:t>
            </w:r>
            <w:r>
              <w:rPr>
                <w:rFonts w:hint="default" w:ascii="Times New Roman" w:hAnsi="Times New Roman" w:eastAsia="宋体" w:cs="Times New Roman"/>
                <w:color w:val="000000" w:themeColor="text1"/>
                <w:kern w:val="24"/>
                <w:lang w:val="en-US" w:eastAsia="zh-CN"/>
                <w14:textFill>
                  <w14:solidFill>
                    <w14:schemeClr w14:val="tx1"/>
                  </w14:solidFill>
                </w14:textFill>
              </w:rPr>
              <w:t>，</w:t>
            </w:r>
            <w:r>
              <w:rPr>
                <w:rFonts w:hint="eastAsia" w:cs="Times New Roman"/>
                <w:color w:val="000000" w:themeColor="text1"/>
                <w:kern w:val="24"/>
                <w:lang w:val="en-US" w:eastAsia="zh-CN"/>
                <w14:textFill>
                  <w14:solidFill>
                    <w14:schemeClr w14:val="tx1"/>
                  </w14:solidFill>
                </w14:textFill>
              </w:rPr>
              <w:t>非甲烷总烃产生量极少仅定性分析，</w:t>
            </w:r>
            <w:r>
              <w:rPr>
                <w:rFonts w:hint="default" w:ascii="Times New Roman" w:hAnsi="Times New Roman" w:eastAsia="宋体" w:cs="Times New Roman"/>
                <w:color w:val="000000" w:themeColor="text1"/>
                <w:kern w:val="24"/>
                <w:lang w:val="en-US" w:eastAsia="zh-CN"/>
                <w14:textFill>
                  <w14:solidFill>
                    <w14:schemeClr w14:val="tx1"/>
                  </w14:solidFill>
                </w14:textFill>
              </w:rPr>
              <w:t>颗粒物产生系数为0.025 kg/只</w:t>
            </w:r>
            <w:r>
              <w:rPr>
                <w:rFonts w:hint="eastAsia" w:ascii="Times New Roman" w:hAnsi="Times New Roman" w:cs="Times New Roman"/>
                <w:color w:val="000000" w:themeColor="text1"/>
                <w:kern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kern w:val="24"/>
                <w:lang w:val="en-US" w:eastAsia="zh-CN"/>
                <w14:textFill>
                  <w14:solidFill>
                    <w14:schemeClr w14:val="tx1"/>
                  </w14:solidFill>
                </w14:textFill>
              </w:rPr>
              <w:t>。本项目表面焚烧的</w:t>
            </w:r>
            <w:r>
              <w:rPr>
                <w:rFonts w:hint="eastAsia" w:ascii="Times New Roman" w:hAnsi="Times New Roman" w:cs="Times New Roman"/>
                <w:color w:val="000000" w:themeColor="text1"/>
                <w:kern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kern w:val="24"/>
                <w:lang w:val="en-US" w:eastAsia="zh-CN"/>
                <w14:textFill>
                  <w14:solidFill>
                    <w14:schemeClr w14:val="tx1"/>
                  </w14:solidFill>
                </w14:textFill>
              </w:rPr>
              <w:t>为10万个，则烟尘颗粒物产生量为2.5t/a。</w:t>
            </w:r>
          </w:p>
          <w:p w14:paraId="48F0A039">
            <w:pPr>
              <w:pStyle w:val="20"/>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000000" w:themeColor="text1"/>
                <w:kern w:val="24"/>
                <w:lang w:val="en-US" w:eastAsia="zh-CN"/>
                <w14:textFill>
                  <w14:solidFill>
                    <w14:schemeClr w14:val="tx1"/>
                  </w14:solidFill>
                </w14:textFill>
              </w:rPr>
            </w:pPr>
            <w:r>
              <w:rPr>
                <w:rFonts w:hint="default" w:ascii="Times New Roman" w:hAnsi="Times New Roman" w:eastAsia="宋体" w:cs="Times New Roman"/>
                <w:color w:val="000000" w:themeColor="text1"/>
                <w:kern w:val="24"/>
                <w:lang w:val="en-US" w:eastAsia="zh-CN"/>
                <w14:textFill>
                  <w14:solidFill>
                    <w14:schemeClr w14:val="tx1"/>
                  </w14:solidFill>
                </w14:textFill>
              </w:rPr>
              <w:t>综上所述，项目焚烧炉废气为颗粒物产生量为8.95216t/a、二氧化硫产生量为0.09195t/a、氮氧化物产生量为0.17503t/a。</w:t>
            </w:r>
          </w:p>
          <w:p w14:paraId="5103CD87">
            <w:pPr>
              <w:pStyle w:val="20"/>
              <w:pageBreakBefore w:val="0"/>
              <w:kinsoku/>
              <w:overflowPunct/>
              <w:topLinePunct w:val="0"/>
              <w:autoSpaceDE/>
              <w:autoSpaceDN/>
              <w:bidi w:val="0"/>
              <w:adjustRightInd/>
              <w:spacing w:line="360" w:lineRule="auto"/>
              <w:ind w:left="0" w:leftChars="0" w:right="0" w:rightChars="0" w:firstLine="482" w:firstLineChars="200"/>
              <w:rPr>
                <w:rFonts w:hint="default" w:ascii="Times New Roman" w:hAnsi="Times New Roman" w:cs="Times New Roman"/>
                <w:b/>
                <w:bCs/>
                <w:color w:val="000000" w:themeColor="text1"/>
                <w:kern w:val="24"/>
                <w:lang w:val="en-US" w:eastAsia="zh-CN"/>
                <w14:textFill>
                  <w14:solidFill>
                    <w14:schemeClr w14:val="tx1"/>
                  </w14:solidFill>
                </w14:textFill>
              </w:rPr>
            </w:pPr>
            <w:r>
              <w:rPr>
                <w:rFonts w:hint="default" w:ascii="Times New Roman" w:hAnsi="Times New Roman" w:cs="Times New Roman"/>
                <w:b/>
                <w:bCs/>
                <w:color w:val="000000" w:themeColor="text1"/>
                <w:kern w:val="24"/>
                <w:lang w:val="en-US" w:eastAsia="zh-CN"/>
                <w14:textFill>
                  <w14:solidFill>
                    <w14:schemeClr w14:val="tx1"/>
                  </w14:solidFill>
                </w14:textFill>
              </w:rPr>
              <w:t>2）烘干固化废气</w:t>
            </w:r>
          </w:p>
          <w:p w14:paraId="2F5073F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原有项目烘干固化环节采用生物质作为燃料，该环节废气主要为液化气燃烧废气及</w:t>
            </w:r>
            <w:r>
              <w:rPr>
                <w:rFonts w:hint="eastAsia" w:ascii="Times New Roman" w:hAnsi="Times New Roman" w:cs="Times New Roman"/>
                <w:b w:val="0"/>
                <w:bCs w:val="0"/>
                <w:color w:val="000000" w:themeColor="text1"/>
                <w:kern w:val="0"/>
                <w:sz w:val="24"/>
                <w:szCs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烘干废气。</w:t>
            </w:r>
          </w:p>
          <w:p w14:paraId="73BF7B81">
            <w:pPr>
              <w:pStyle w:val="20"/>
              <w:pageBreakBefore w:val="0"/>
              <w:kinsoku/>
              <w:overflowPunct/>
              <w:topLinePunct w:val="0"/>
              <w:autoSpaceDE/>
              <w:autoSpaceDN/>
              <w:bidi w:val="0"/>
              <w:adjustRightInd/>
              <w:spacing w:line="360" w:lineRule="auto"/>
              <w:ind w:left="0" w:leftChars="0" w:right="0" w:rightChars="0" w:firstLine="482" w:firstLineChars="200"/>
              <w:rPr>
                <w:rFonts w:hint="default" w:ascii="Times New Roman" w:hAnsi="Times New Roman" w:cs="Times New Roman"/>
                <w:b/>
                <w:bCs/>
                <w:color w:val="000000" w:themeColor="text1"/>
                <w:kern w:val="24"/>
                <w:lang w:val="en-US" w:eastAsia="zh-CN"/>
                <w14:textFill>
                  <w14:solidFill>
                    <w14:schemeClr w14:val="tx1"/>
                  </w14:solidFill>
                </w14:textFill>
              </w:rPr>
            </w:pPr>
            <w:r>
              <w:rPr>
                <w:rFonts w:hint="default" w:ascii="Times New Roman" w:hAnsi="Times New Roman" w:cs="Times New Roman"/>
                <w:b/>
                <w:bCs/>
                <w:color w:val="000000" w:themeColor="text1"/>
                <w:kern w:val="0"/>
                <w:sz w:val="24"/>
                <w:szCs w:val="24"/>
                <w:lang w:val="en-US" w:eastAsia="zh-CN" w:bidi="ar"/>
                <w14:textFill>
                  <w14:solidFill>
                    <w14:schemeClr w14:val="tx1"/>
                  </w14:solidFill>
                </w14:textFill>
              </w:rPr>
              <w:t>①</w:t>
            </w:r>
            <w:r>
              <w:rPr>
                <w:rFonts w:hint="eastAsia" w:cs="Times New Roman"/>
                <w:b/>
                <w:bCs/>
                <w:color w:val="000000" w:themeColor="text1"/>
                <w:kern w:val="0"/>
                <w:sz w:val="24"/>
                <w:szCs w:val="24"/>
                <w:lang w:val="en-US" w:eastAsia="zh-CN" w:bidi="ar"/>
                <w14:textFill>
                  <w14:solidFill>
                    <w14:schemeClr w14:val="tx1"/>
                  </w14:solidFill>
                </w14:textFill>
              </w:rPr>
              <w:t>烘干固化环节</w:t>
            </w:r>
            <w:r>
              <w:rPr>
                <w:rFonts w:hint="eastAsia" w:cs="Times New Roman"/>
                <w:b/>
                <w:bCs/>
                <w:color w:val="000000" w:themeColor="text1"/>
                <w:kern w:val="24"/>
                <w:lang w:val="en-US" w:eastAsia="zh-CN"/>
                <w14:textFill>
                  <w14:solidFill>
                    <w14:schemeClr w14:val="tx1"/>
                  </w14:solidFill>
                </w14:textFill>
              </w:rPr>
              <w:t>生物质</w:t>
            </w:r>
            <w:r>
              <w:rPr>
                <w:rFonts w:hint="default" w:ascii="Times New Roman" w:hAnsi="Times New Roman" w:cs="Times New Roman"/>
                <w:b/>
                <w:bCs/>
                <w:color w:val="000000" w:themeColor="text1"/>
                <w:kern w:val="24"/>
                <w:lang w:val="en-US" w:eastAsia="zh-CN"/>
                <w14:textFill>
                  <w14:solidFill>
                    <w14:schemeClr w14:val="tx1"/>
                  </w14:solidFill>
                </w14:textFill>
              </w:rPr>
              <w:t>燃烧废气</w:t>
            </w:r>
          </w:p>
          <w:p w14:paraId="14EEAD7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原有项目</w:t>
            </w:r>
            <w:r>
              <w:rPr>
                <w:rFonts w:hint="eastAsia" w:cs="Times New Roman"/>
                <w:b w:val="0"/>
                <w:bCs w:val="0"/>
                <w:color w:val="000000" w:themeColor="text1"/>
                <w:kern w:val="0"/>
                <w:sz w:val="24"/>
                <w:szCs w:val="24"/>
                <w:lang w:val="en-US" w:eastAsia="zh-CN" w:bidi="ar"/>
                <w14:textFill>
                  <w14:solidFill>
                    <w14:schemeClr w14:val="tx1"/>
                  </w14:solidFill>
                </w14:textFill>
              </w:rPr>
              <w:t>烘干固化设施</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生物质燃料</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用量为</w:t>
            </w:r>
            <w:r>
              <w:rPr>
                <w:rFonts w:hint="default" w:ascii="Times New Roman" w:hAnsi="Times New Roman" w:cs="Times New Roman"/>
                <w:b w:val="0"/>
                <w:bCs w:val="0"/>
                <w:color w:val="000000" w:themeColor="text1"/>
                <w:sz w:val="24"/>
                <w:lang w:val="en-US" w:eastAsia="zh-CN"/>
                <w14:textFill>
                  <w14:solidFill>
                    <w14:schemeClr w14:val="tx1"/>
                  </w14:solidFill>
                </w14:textFill>
              </w:rPr>
              <w:t>128.7</w:t>
            </w:r>
            <w:r>
              <w:rPr>
                <w:rFonts w:hint="default" w:ascii="Times New Roman" w:hAnsi="Times New Roman" w:eastAsia="宋体" w:cs="Times New Roman"/>
                <w:color w:val="000000" w:themeColor="text1"/>
                <w:sz w:val="24"/>
                <w:lang w:val="en-US" w:eastAsia="zh-CN"/>
                <w14:textFill>
                  <w14:solidFill>
                    <w14:schemeClr w14:val="tx1"/>
                  </w14:solidFill>
                </w14:textFill>
              </w:rPr>
              <w:t>t/a</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生物质燃料烟气中的污染物指标参照《排放源统计调查产排污核算方法和系数手册》（生态环境部公告2021年第24号）中《33-37，431-434 机械行业系数手册》中生物质工业炉窑产污系数计算，“二氧化硫17S千克/吨-原料；颗粒物37.6千克/吨-原料；氮氧化物1.02千克/吨-原料”参考成分报告S取0.03152，即二氧化硫产生量为0.06896t/a，颗粒物产生量为4.83912t/a，氮氧化物产生量为0.13127t/a。</w:t>
            </w:r>
          </w:p>
          <w:p w14:paraId="52C46A9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②</w:t>
            </w:r>
            <w:r>
              <w:rPr>
                <w:rFonts w:hint="eastAsia" w:ascii="Times New Roman" w:hAnsi="Times New Roman" w:cs="Times New Roman"/>
                <w:b/>
                <w:bCs/>
                <w:color w:val="000000" w:themeColor="text1"/>
                <w:kern w:val="0"/>
                <w:sz w:val="24"/>
                <w:szCs w:val="24"/>
                <w:lang w:val="en-US" w:eastAsia="zh-CN" w:bidi="ar"/>
                <w14:textFill>
                  <w14:solidFill>
                    <w14:schemeClr w14:val="tx1"/>
                  </w14:solidFill>
                </w14:textFill>
              </w:rPr>
              <w:t>液化石油气钢瓶</w:t>
            </w:r>
            <w:r>
              <w:rPr>
                <w:rFonts w:hint="default" w:ascii="Times New Roman" w:hAnsi="Times New Roman" w:cs="Times New Roman"/>
                <w:b/>
                <w:bCs/>
                <w:color w:val="000000" w:themeColor="text1"/>
                <w:kern w:val="0"/>
                <w:sz w:val="24"/>
                <w:szCs w:val="24"/>
                <w:lang w:val="en-US" w:eastAsia="zh-CN" w:bidi="ar"/>
                <w14:textFill>
                  <w14:solidFill>
                    <w14:schemeClr w14:val="tx1"/>
                  </w14:solidFill>
                </w14:textFill>
              </w:rPr>
              <w:t>烘干废气</w:t>
            </w:r>
          </w:p>
          <w:p w14:paraId="50B7D2C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原有项目喷塑粉末用量为6.65t，静电喷涂流水线喷粉附着率为80%，则附着</w:t>
            </w:r>
            <w:r>
              <w:rPr>
                <w:rFonts w:hint="eastAsia" w:ascii="Times New Roman" w:hAnsi="Times New Roman" w:cs="Times New Roman"/>
                <w:b w:val="0"/>
                <w:bCs w:val="0"/>
                <w:color w:val="000000" w:themeColor="text1"/>
                <w:kern w:val="0"/>
                <w:sz w:val="24"/>
                <w:szCs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表面进入固化工段的涂料为5.32t/a。</w:t>
            </w:r>
          </w:p>
          <w:p w14:paraId="58E3AA8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参照</w:t>
            </w:r>
            <w:r>
              <w:rPr>
                <w:rFonts w:hint="default" w:ascii="Times New Roman" w:hAnsi="Times New Roman" w:cs="Times New Roman"/>
                <w:color w:val="000000" w:themeColor="text1"/>
                <w:kern w:val="24"/>
                <w:sz w:val="24"/>
                <w:szCs w:val="24"/>
                <w:lang w:val="en-US" w:eastAsia="zh-CN"/>
                <w14:textFill>
                  <w14:solidFill>
                    <w14:schemeClr w14:val="tx1"/>
                  </w14:solidFill>
                </w14:textFill>
              </w:rPr>
              <w:t>《33-37，431-434 机械行业系数手册》中“14涂装，粉末涂料喷塑后烘干”，挥发性有机物产生系数为1.2kg/t-原料</w:t>
            </w:r>
            <w:r>
              <w:rPr>
                <w:rFonts w:hint="default" w:ascii="Times New Roman" w:hAnsi="Times New Roman" w:eastAsia="宋体" w:cs="Times New Roman"/>
                <w:color w:val="000000" w:themeColor="text1"/>
                <w:kern w:val="24"/>
                <w:sz w:val="24"/>
                <w:szCs w:val="24"/>
                <w:lang w:val="en-US" w:eastAsia="zh-CN"/>
                <w14:textFill>
                  <w14:solidFill>
                    <w14:schemeClr w14:val="tx1"/>
                  </w14:solidFill>
                </w14:textFill>
              </w:rPr>
              <w:t>，则非甲烷总烃产生量约为0.006384t/a。</w:t>
            </w:r>
          </w:p>
          <w:p w14:paraId="6CB57C7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原有项目焚烧过程中产生的废气通过2个集气罩收集，进入与集气罩相连的管道，经过脉冲布袋除尘器+活性炭吸附装置处理，原有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项目将固化房产生的废气与焚烧炉共用一套脉冲布袋除尘设施+活性炭吸附装置进行处理，</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净化后的含尘废气通过引风机引风至室外1根高15m，直径为40cm的排气筒高空外排。</w:t>
            </w:r>
          </w:p>
          <w:p w14:paraId="6E71A9F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综上所述，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原有项目焚烧炉废气、烘干固化废气，颗粒物产生量为13.79128t/a，二氧化硫产生量为0.16091t/a，氮氧化物产生量为0.3063t/a，非甲烷总烃产生量为</w:t>
            </w:r>
            <w:r>
              <w:rPr>
                <w:rFonts w:hint="default" w:ascii="Times New Roman" w:hAnsi="Times New Roman" w:eastAsia="宋体" w:cs="Times New Roman"/>
                <w:color w:val="000000" w:themeColor="text1"/>
                <w:kern w:val="24"/>
                <w:sz w:val="24"/>
                <w:szCs w:val="24"/>
                <w:lang w:val="en-US" w:eastAsia="zh-CN"/>
                <w14:textFill>
                  <w14:solidFill>
                    <w14:schemeClr w14:val="tx1"/>
                  </w14:solidFill>
                </w14:textFill>
              </w:rPr>
              <w:t>0.006384t/a</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242D7BA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参照《排放源统计调查产排污核算方法和系数手册》（生态环境部公告2021年第24号）中《33-37，431-434 机械行业系数手册》，“生物质工业炉窑颗粒物末端治理技术效率，袋式除尘为95%；喷塑后烘干挥发性有机物末端治理技术效率，吸附法为18%”。</w:t>
            </w:r>
            <w:r>
              <w:rPr>
                <w:rFonts w:hint="eastAsia" w:cs="Times New Roman"/>
                <w:color w:val="000000" w:themeColor="text1"/>
                <w:sz w:val="24"/>
                <w:szCs w:val="24"/>
                <w:lang w:val="en-US" w:eastAsia="zh-CN"/>
                <w14:textFill>
                  <w14:solidFill>
                    <w14:schemeClr w14:val="tx1"/>
                  </w14:solidFill>
                </w14:textFill>
              </w:rPr>
              <w:t>原有项目设置有一个风量约4000m</w:t>
            </w:r>
            <w:r>
              <w:rPr>
                <w:rFonts w:hint="eastAsia" w:cs="Times New Roman"/>
                <w:color w:val="000000" w:themeColor="text1"/>
                <w:sz w:val="24"/>
                <w:szCs w:val="24"/>
                <w:vertAlign w:val="superscript"/>
                <w:lang w:val="en-US" w:eastAsia="zh-CN"/>
                <w14:textFill>
                  <w14:solidFill>
                    <w14:schemeClr w14:val="tx1"/>
                  </w14:solidFill>
                </w14:textFill>
              </w:rPr>
              <w:t>3</w:t>
            </w:r>
            <w:r>
              <w:rPr>
                <w:rFonts w:hint="eastAsia" w:cs="Times New Roman"/>
                <w:color w:val="000000" w:themeColor="text1"/>
                <w:sz w:val="24"/>
                <w:szCs w:val="24"/>
                <w:lang w:val="en-US" w:eastAsia="zh-CN"/>
                <w14:textFill>
                  <w14:solidFill>
                    <w14:schemeClr w14:val="tx1"/>
                  </w14:solidFill>
                </w14:textFill>
              </w:rPr>
              <w:t>/h的风机</w:t>
            </w:r>
            <w:r>
              <w:rPr>
                <w:rFonts w:hint="eastAsia"/>
                <w:color w:val="000000" w:themeColor="text1"/>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原有项目工作制度为一班制，每班8小时，年工作约250天。</w:t>
            </w:r>
          </w:p>
          <w:p w14:paraId="58BFBC18">
            <w:pPr>
              <w:pStyle w:val="20"/>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000000" w:themeColor="text1"/>
                <w:kern w:val="24"/>
                <w:lang w:val="en-US" w:eastAsia="zh-CN"/>
                <w14:textFill>
                  <w14:solidFill>
                    <w14:schemeClr w14:val="tx1"/>
                  </w14:solidFill>
                </w14:textFill>
              </w:rPr>
            </w:pPr>
            <w:r>
              <w:rPr>
                <w:rFonts w:hint="default" w:ascii="Times New Roman" w:hAnsi="Times New Roman" w:eastAsia="宋体" w:cs="Times New Roman"/>
                <w:color w:val="000000" w:themeColor="text1"/>
                <w:kern w:val="24"/>
                <w:lang w:val="en-US" w:eastAsia="zh-CN"/>
                <w14:textFill>
                  <w14:solidFill>
                    <w14:schemeClr w14:val="tx1"/>
                  </w14:solidFill>
                </w14:textFill>
              </w:rPr>
              <w:t>原有项目排气筒DA001废气排放口颗粒物排放量0.689564t/a</w:t>
            </w:r>
            <w:r>
              <w:rPr>
                <w:rFonts w:hint="eastAsia" w:cs="Times New Roman"/>
                <w:color w:val="000000" w:themeColor="text1"/>
                <w:kern w:val="24"/>
                <w:lang w:val="en-US" w:eastAsia="zh-CN"/>
                <w14:textFill>
                  <w14:solidFill>
                    <w14:schemeClr w14:val="tx1"/>
                  </w14:solidFill>
                </w14:textFill>
              </w:rPr>
              <w:t>，</w:t>
            </w:r>
            <w:r>
              <w:rPr>
                <w:rFonts w:hint="default" w:ascii="Times New Roman" w:hAnsi="Times New Roman" w:eastAsia="宋体" w:cs="Times New Roman"/>
                <w:color w:val="000000" w:themeColor="text1"/>
                <w:kern w:val="24"/>
                <w:lang w:val="en-US" w:eastAsia="zh-CN"/>
                <w14:textFill>
                  <w14:solidFill>
                    <w14:schemeClr w14:val="tx1"/>
                  </w14:solidFill>
                </w14:textFill>
              </w:rPr>
              <w:t>0.344782</w:t>
            </w:r>
            <w:r>
              <w:rPr>
                <w:rFonts w:hint="eastAsia" w:cs="Times New Roman"/>
                <w:color w:val="000000" w:themeColor="text1"/>
                <w:kern w:val="24"/>
                <w:lang w:val="en-US" w:eastAsia="zh-CN"/>
                <w14:textFill>
                  <w14:solidFill>
                    <w14:schemeClr w14:val="tx1"/>
                  </w14:solidFill>
                </w14:textFill>
              </w:rPr>
              <w:t>kg/h，86.1955mg/m</w:t>
            </w:r>
            <w:r>
              <w:rPr>
                <w:rFonts w:hint="eastAsia" w:cs="Times New Roman"/>
                <w:color w:val="000000" w:themeColor="text1"/>
                <w:kern w:val="24"/>
                <w:vertAlign w:val="superscript"/>
                <w:lang w:val="en-US" w:eastAsia="zh-CN"/>
                <w14:textFill>
                  <w14:solidFill>
                    <w14:schemeClr w14:val="tx1"/>
                  </w14:solidFill>
                </w14:textFill>
              </w:rPr>
              <w:t>3</w:t>
            </w:r>
            <w:r>
              <w:rPr>
                <w:rFonts w:hint="eastAsia" w:cs="Times New Roman"/>
                <w:color w:val="000000" w:themeColor="text1"/>
                <w:kern w:val="24"/>
                <w:lang w:val="en-US" w:eastAsia="zh-CN"/>
                <w14:textFill>
                  <w14:solidFill>
                    <w14:schemeClr w14:val="tx1"/>
                  </w14:solidFill>
                </w14:textFill>
              </w:rPr>
              <w:t>；</w:t>
            </w:r>
            <w:r>
              <w:rPr>
                <w:rFonts w:hint="default" w:ascii="Times New Roman" w:hAnsi="Times New Roman" w:eastAsia="宋体" w:cs="Times New Roman"/>
                <w:color w:val="000000" w:themeColor="text1"/>
                <w:kern w:val="24"/>
                <w:lang w:val="en-US" w:eastAsia="zh-CN"/>
                <w14:textFill>
                  <w14:solidFill>
                    <w14:schemeClr w14:val="tx1"/>
                  </w14:solidFill>
                </w14:textFill>
              </w:rPr>
              <w:t>二氧化硫产生量为0.09195t/a</w:t>
            </w:r>
            <w:r>
              <w:rPr>
                <w:rFonts w:hint="eastAsia" w:cs="Times New Roman"/>
                <w:color w:val="000000" w:themeColor="text1"/>
                <w:kern w:val="24"/>
                <w:lang w:val="en-US" w:eastAsia="zh-CN"/>
                <w14:textFill>
                  <w14:solidFill>
                    <w14:schemeClr w14:val="tx1"/>
                  </w14:solidFill>
                </w14:textFill>
              </w:rPr>
              <w:t>，</w:t>
            </w:r>
            <w:r>
              <w:rPr>
                <w:rFonts w:hint="default" w:ascii="Times New Roman" w:hAnsi="Times New Roman" w:eastAsia="宋体" w:cs="Times New Roman"/>
                <w:color w:val="000000" w:themeColor="text1"/>
                <w:kern w:val="24"/>
                <w:lang w:val="en-US" w:eastAsia="zh-CN"/>
                <w14:textFill>
                  <w14:solidFill>
                    <w14:schemeClr w14:val="tx1"/>
                  </w14:solidFill>
                </w14:textFill>
              </w:rPr>
              <w:t>0.045975</w:t>
            </w:r>
            <w:r>
              <w:rPr>
                <w:rFonts w:hint="eastAsia" w:cs="Times New Roman"/>
                <w:color w:val="000000" w:themeColor="text1"/>
                <w:kern w:val="24"/>
                <w:lang w:val="en-US" w:eastAsia="zh-CN"/>
                <w14:textFill>
                  <w14:solidFill>
                    <w14:schemeClr w14:val="tx1"/>
                  </w14:solidFill>
                </w14:textFill>
              </w:rPr>
              <w:t>kg/h，11.494mg/m</w:t>
            </w:r>
            <w:r>
              <w:rPr>
                <w:rFonts w:hint="eastAsia" w:cs="Times New Roman"/>
                <w:color w:val="000000" w:themeColor="text1"/>
                <w:kern w:val="24"/>
                <w:vertAlign w:val="superscript"/>
                <w:lang w:val="en-US" w:eastAsia="zh-CN"/>
                <w14:textFill>
                  <w14:solidFill>
                    <w14:schemeClr w14:val="tx1"/>
                  </w14:solidFill>
                </w14:textFill>
              </w:rPr>
              <w:t>3</w:t>
            </w:r>
            <w:r>
              <w:rPr>
                <w:rFonts w:hint="eastAsia" w:cs="Times New Roman"/>
                <w:color w:val="000000" w:themeColor="text1"/>
                <w:kern w:val="24"/>
                <w:lang w:val="en-US" w:eastAsia="zh-CN"/>
                <w14:textFill>
                  <w14:solidFill>
                    <w14:schemeClr w14:val="tx1"/>
                  </w14:solidFill>
                </w14:textFill>
              </w:rPr>
              <w:t>；</w:t>
            </w:r>
            <w:r>
              <w:rPr>
                <w:rFonts w:hint="default" w:ascii="Times New Roman" w:hAnsi="Times New Roman" w:eastAsia="宋体" w:cs="Times New Roman"/>
                <w:color w:val="000000" w:themeColor="text1"/>
                <w:kern w:val="24"/>
                <w:lang w:val="en-US" w:eastAsia="zh-CN"/>
                <w14:textFill>
                  <w14:solidFill>
                    <w14:schemeClr w14:val="tx1"/>
                  </w14:solidFill>
                </w14:textFill>
              </w:rPr>
              <w:t>氮氧化物产生量为0.</w:t>
            </w:r>
            <w:r>
              <w:rPr>
                <w:rFonts w:hint="eastAsia" w:cs="Times New Roman"/>
                <w:color w:val="000000" w:themeColor="text1"/>
                <w:kern w:val="24"/>
                <w:lang w:val="en-US" w:eastAsia="zh-CN"/>
                <w14:textFill>
                  <w14:solidFill>
                    <w14:schemeClr w14:val="tx1"/>
                  </w14:solidFill>
                </w14:textFill>
              </w:rPr>
              <w:t>3063</w:t>
            </w:r>
            <w:r>
              <w:rPr>
                <w:rFonts w:hint="default" w:ascii="Times New Roman" w:hAnsi="Times New Roman" w:eastAsia="宋体" w:cs="Times New Roman"/>
                <w:color w:val="000000" w:themeColor="text1"/>
                <w:kern w:val="24"/>
                <w:lang w:val="en-US" w:eastAsia="zh-CN"/>
                <w14:textFill>
                  <w14:solidFill>
                    <w14:schemeClr w14:val="tx1"/>
                  </w14:solidFill>
                </w14:textFill>
              </w:rPr>
              <w:t>t/a</w:t>
            </w:r>
            <w:r>
              <w:rPr>
                <w:rFonts w:hint="eastAsia" w:cs="Times New Roman"/>
                <w:color w:val="000000" w:themeColor="text1"/>
                <w:kern w:val="24"/>
                <w:lang w:val="en-US" w:eastAsia="zh-CN"/>
                <w14:textFill>
                  <w14:solidFill>
                    <w14:schemeClr w14:val="tx1"/>
                  </w14:solidFill>
                </w14:textFill>
              </w:rPr>
              <w:t>，0.15315kg/h，38.2875mg/m</w:t>
            </w:r>
            <w:r>
              <w:rPr>
                <w:rFonts w:hint="eastAsia" w:cs="Times New Roman"/>
                <w:color w:val="000000" w:themeColor="text1"/>
                <w:kern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24"/>
                <w:lang w:val="en-US" w:eastAsia="zh-CN"/>
                <w14:textFill>
                  <w14:solidFill>
                    <w14:schemeClr w14:val="tx1"/>
                  </w14:solidFill>
                </w14:textFill>
              </w:rPr>
              <w:t>，非甲烷总烃排放量为0.00523t/a</w:t>
            </w:r>
            <w:r>
              <w:rPr>
                <w:rFonts w:hint="eastAsia" w:cs="Times New Roman"/>
                <w:color w:val="000000" w:themeColor="text1"/>
                <w:kern w:val="24"/>
                <w:lang w:val="en-US" w:eastAsia="zh-CN"/>
                <w14:textFill>
                  <w14:solidFill>
                    <w14:schemeClr w14:val="tx1"/>
                  </w14:solidFill>
                </w14:textFill>
              </w:rPr>
              <w:t>，0.002615kg/h，0.6538mg/m</w:t>
            </w:r>
            <w:r>
              <w:rPr>
                <w:rFonts w:hint="eastAsia" w:cs="Times New Roman"/>
                <w:color w:val="000000" w:themeColor="text1"/>
                <w:kern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24"/>
                <w:lang w:val="en-US" w:eastAsia="zh-CN"/>
                <w14:textFill>
                  <w14:solidFill>
                    <w14:schemeClr w14:val="tx1"/>
                  </w14:solidFill>
                </w14:textFill>
              </w:rPr>
              <w:t>。</w:t>
            </w:r>
          </w:p>
          <w:p w14:paraId="27C1A42D">
            <w:pPr>
              <w:pStyle w:val="20"/>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textAlignment w:val="auto"/>
              <w:rPr>
                <w:rFonts w:hint="default" w:ascii="Times New Roman" w:hAnsi="Times New Roman" w:eastAsia="宋体" w:cs="Times New Roman"/>
                <w:b/>
                <w:bCs/>
                <w:color w:val="000000" w:themeColor="text1"/>
                <w:kern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24"/>
                <w:lang w:val="en-US" w:eastAsia="zh-CN"/>
                <w14:textFill>
                  <w14:solidFill>
                    <w14:schemeClr w14:val="tx1"/>
                  </w14:solidFill>
                </w14:textFill>
              </w:rPr>
              <w:t>3）抛丸除锈废气</w:t>
            </w:r>
          </w:p>
          <w:p w14:paraId="44EDDE50">
            <w:pPr>
              <w:pStyle w:val="20"/>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000000" w:themeColor="text1"/>
                <w:kern w:val="24"/>
                <w:lang w:val="en-US" w:eastAsia="zh-CN"/>
                <w14:textFill>
                  <w14:solidFill>
                    <w14:schemeClr w14:val="tx1"/>
                  </w14:solidFill>
                </w14:textFill>
              </w:rPr>
            </w:pPr>
            <w:r>
              <w:rPr>
                <w:rFonts w:hint="default" w:ascii="Times New Roman" w:hAnsi="Times New Roman" w:eastAsia="宋体" w:cs="Times New Roman"/>
                <w:color w:val="000000" w:themeColor="text1"/>
                <w:kern w:val="24"/>
                <w:lang w:val="en-US" w:eastAsia="zh-CN"/>
                <w14:textFill>
                  <w14:solidFill>
                    <w14:schemeClr w14:val="tx1"/>
                  </w14:solidFill>
                </w14:textFill>
              </w:rPr>
              <w:t>原有项目抛丸除锈时会产生一定的除锈粉尘，根据《排放源统计调查产排污核算方法和系数手册》（公告2021年第24号），抛丸机除锈的颗粒物产生量参考《33-37，431-434 机械行业系数手册》中“抛丸、喷砂、打磨、滚筒”工艺产污系数进行核算，颗粒物产污系数为2.19kg/t-原料。</w:t>
            </w:r>
          </w:p>
          <w:p w14:paraId="229E431E">
            <w:pPr>
              <w:pStyle w:val="20"/>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000000" w:themeColor="text1"/>
                <w:kern w:val="24"/>
                <w:lang w:val="en-US" w:eastAsia="zh-CN"/>
                <w14:textFill>
                  <w14:solidFill>
                    <w14:schemeClr w14:val="tx1"/>
                  </w14:solidFill>
                </w14:textFill>
              </w:rPr>
            </w:pPr>
            <w:r>
              <w:rPr>
                <w:rFonts w:hint="default" w:ascii="Times New Roman" w:hAnsi="Times New Roman" w:eastAsia="宋体" w:cs="Times New Roman"/>
                <w:color w:val="000000" w:themeColor="text1"/>
                <w:kern w:val="24"/>
                <w:lang w:val="en-US" w:eastAsia="zh-CN"/>
                <w14:textFill>
                  <w14:solidFill>
                    <w14:schemeClr w14:val="tx1"/>
                  </w14:solidFill>
                </w14:textFill>
              </w:rPr>
              <w:t>原有项目抛丸除锈</w:t>
            </w:r>
            <w:r>
              <w:rPr>
                <w:rFonts w:hint="eastAsia" w:ascii="Times New Roman" w:hAnsi="Times New Roman" w:cs="Times New Roman"/>
                <w:color w:val="000000" w:themeColor="text1"/>
                <w:kern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kern w:val="24"/>
                <w:lang w:val="en-US" w:eastAsia="zh-CN"/>
                <w14:textFill>
                  <w14:solidFill>
                    <w14:schemeClr w14:val="tx1"/>
                  </w14:solidFill>
                </w14:textFill>
              </w:rPr>
              <w:t>量为9.95万只，其中约0.95万只10kg（12L），约8.5万只15kg（35.5L），约0.5万只50kg（118L），</w:t>
            </w:r>
            <w:r>
              <w:rPr>
                <w:rFonts w:hint="eastAsia" w:ascii="Times New Roman" w:hAnsi="Times New Roman" w:cs="Times New Roman"/>
                <w:color w:val="000000" w:themeColor="text1"/>
                <w:kern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kern w:val="24"/>
                <w:lang w:val="en-US" w:eastAsia="zh-CN"/>
                <w14:textFill>
                  <w14:solidFill>
                    <w14:schemeClr w14:val="tx1"/>
                  </w14:solidFill>
                </w14:textFill>
              </w:rPr>
              <w:t>总重1620t，约有10t的钢丸参与到抛光除锈工序，因此抛丸除锈工段原料总量为1630t/a。</w:t>
            </w:r>
          </w:p>
          <w:p w14:paraId="3F363469">
            <w:pPr>
              <w:pStyle w:val="20"/>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kern w:val="24"/>
                <w:lang w:val="en-US" w:eastAsia="zh-CN"/>
                <w14:textFill>
                  <w14:solidFill>
                    <w14:schemeClr w14:val="tx1"/>
                  </w14:solidFill>
                </w14:textFill>
              </w:rPr>
              <w:t>颗粒物产生量为3.5697t/a，原有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项目在抛丸除锈工序设置了一套脉冲布袋收尘设施，处理后无组织排放。</w:t>
            </w:r>
            <w:r>
              <w:rPr>
                <w:rFonts w:hint="default" w:ascii="Times New Roman" w:hAnsi="Times New Roman" w:cs="Times New Roman"/>
                <w:color w:val="000000" w:themeColor="text1"/>
                <w:kern w:val="24"/>
                <w:lang w:val="en-US" w:eastAsia="zh-CN"/>
                <w14:textFill>
                  <w14:solidFill>
                    <w14:schemeClr w14:val="tx1"/>
                  </w14:solidFill>
                </w14:textFill>
              </w:rPr>
              <w:t>参照《33-37，431-434 机械行业系数手册》中布袋除尘末端治理效率为95%，</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故抛丸除锈颗粒物的排放量为0.1784</w:t>
            </w:r>
            <w:r>
              <w:rPr>
                <w:rFonts w:hint="eastAsia" w:cs="Times New Roman"/>
                <w:b w:val="0"/>
                <w:bCs w:val="0"/>
                <w:color w:val="000000" w:themeColor="text1"/>
                <w:kern w:val="0"/>
                <w:sz w:val="24"/>
                <w:szCs w:val="24"/>
                <w:lang w:val="en-US" w:eastAsia="zh-CN" w:bidi="ar"/>
                <w14:textFill>
                  <w14:solidFill>
                    <w14:schemeClr w14:val="tx1"/>
                  </w14:solidFill>
                </w14:textFill>
              </w:rPr>
              <w:t>9</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t/a。</w:t>
            </w:r>
          </w:p>
          <w:p w14:paraId="37EE415A">
            <w:pPr>
              <w:pStyle w:val="20"/>
              <w:pageBreakBefore w:val="0"/>
              <w:numPr>
                <w:ilvl w:val="0"/>
                <w:numId w:val="0"/>
              </w:numPr>
              <w:kinsoku/>
              <w:overflowPunct/>
              <w:topLinePunct w:val="0"/>
              <w:autoSpaceDE/>
              <w:autoSpaceDN/>
              <w:bidi w:val="0"/>
              <w:adjustRightInd/>
              <w:spacing w:line="360" w:lineRule="auto"/>
              <w:ind w:left="0" w:leftChars="0" w:right="0" w:rightChars="0" w:firstLine="482" w:firstLineChars="200"/>
              <w:rPr>
                <w:rFonts w:hint="default" w:ascii="Times New Roman" w:hAnsi="Times New Roman" w:cs="Times New Roman"/>
                <w:b/>
                <w:bCs/>
                <w:color w:val="000000" w:themeColor="text1"/>
                <w:kern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24"/>
                <w:sz w:val="24"/>
                <w:szCs w:val="24"/>
                <w:lang w:val="en-US" w:eastAsia="zh-CN" w:bidi="ar-SA"/>
                <w14:textFill>
                  <w14:solidFill>
                    <w14:schemeClr w14:val="tx1"/>
                  </w14:solidFill>
                </w14:textFill>
              </w:rPr>
              <w:t>4）</w:t>
            </w:r>
            <w:r>
              <w:rPr>
                <w:rFonts w:hint="default" w:ascii="Times New Roman" w:hAnsi="Times New Roman" w:cs="Times New Roman"/>
                <w:b/>
                <w:bCs/>
                <w:color w:val="000000" w:themeColor="text1"/>
                <w:kern w:val="24"/>
                <w:lang w:val="en-US" w:eastAsia="zh-CN"/>
                <w14:textFill>
                  <w14:solidFill>
                    <w14:schemeClr w14:val="tx1"/>
                  </w14:solidFill>
                </w14:textFill>
              </w:rPr>
              <w:t xml:space="preserve">喷塑废气 </w:t>
            </w:r>
          </w:p>
          <w:p w14:paraId="2321B45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原有项目喷塑过程设置一套脉冲布袋除尘器处理喷塑废气，喷塑附着率、粉末回收率参考《喷塑行业污染物源强估算及治理防范探讨》（原中国环境管理干部学院学报，现河北环境工程学院学报2006年12月第26卷第6期）“根据统计，塑粉平均附着率为80~90%，负压吸气对粉尘回收效率为95%左右”</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同时</w:t>
            </w:r>
            <w:r>
              <w:rPr>
                <w:rFonts w:hint="default" w:ascii="Times New Roman" w:hAnsi="Times New Roman" w:cs="Times New Roman"/>
                <w:color w:val="000000" w:themeColor="text1"/>
                <w:kern w:val="24"/>
                <w:sz w:val="24"/>
                <w:szCs w:val="24"/>
                <w:lang w:val="en-US" w:eastAsia="zh-CN"/>
                <w14:textFill>
                  <w14:solidFill>
                    <w14:schemeClr w14:val="tx1"/>
                  </w14:solidFill>
                </w14:textFill>
              </w:rPr>
              <w:t>参照《33-37，431-434 机械行业系数手册》中“管式布袋末端治理效率为95%”</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，故本次</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喷粉附着率</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按8</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0%</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计</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，粉末回收效率</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按95</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计。</w:t>
            </w:r>
          </w:p>
          <w:p w14:paraId="24D3444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原有项目喷塑粉末用量为6.65t，即颗粒物产生量</w:t>
            </w:r>
            <w:r>
              <w:rPr>
                <w:rFonts w:hint="eastAsia" w:cs="Times New Roman"/>
                <w:b w:val="0"/>
                <w:bCs w:val="0"/>
                <w:color w:val="000000" w:themeColor="text1"/>
                <w:kern w:val="0"/>
                <w:sz w:val="24"/>
                <w:szCs w:val="24"/>
                <w:lang w:val="en-US" w:eastAsia="zh-CN" w:bidi="ar"/>
                <w14:textFill>
                  <w14:solidFill>
                    <w14:schemeClr w14:val="tx1"/>
                  </w14:solidFill>
                </w14:textFill>
              </w:rPr>
              <w:t>为</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1.33t/a，经脉冲处理除尘处理后无组织排放，颗粒物的排放量为0.0665t/a。</w:t>
            </w:r>
          </w:p>
          <w:p w14:paraId="3B1F6CB8">
            <w:pPr>
              <w:pStyle w:val="20"/>
              <w:pageBreakBefore w:val="0"/>
              <w:kinsoku/>
              <w:overflowPunct/>
              <w:topLinePunct w:val="0"/>
              <w:autoSpaceDE/>
              <w:autoSpaceDN/>
              <w:bidi w:val="0"/>
              <w:adjustRightInd/>
              <w:spacing w:line="360" w:lineRule="auto"/>
              <w:ind w:left="0" w:leftChars="0" w:right="0" w:rightChars="0" w:firstLine="482" w:firstLineChars="200"/>
              <w:rPr>
                <w:rFonts w:hint="default" w:ascii="Times New Roman" w:hAnsi="Times New Roman" w:cs="Times New Roman"/>
                <w:b/>
                <w:bCs/>
                <w:color w:val="000000" w:themeColor="text1"/>
                <w:kern w:val="24"/>
                <w:lang w:val="en-US" w:eastAsia="zh-CN"/>
                <w14:textFill>
                  <w14:solidFill>
                    <w14:schemeClr w14:val="tx1"/>
                  </w14:solidFill>
                </w14:textFill>
              </w:rPr>
            </w:pPr>
            <w:r>
              <w:rPr>
                <w:rFonts w:hint="default" w:ascii="Times New Roman" w:hAnsi="Times New Roman" w:cs="Times New Roman"/>
                <w:b/>
                <w:bCs/>
                <w:color w:val="000000" w:themeColor="text1"/>
                <w:kern w:val="24"/>
                <w:lang w:val="en-US" w:eastAsia="zh-CN"/>
                <w14:textFill>
                  <w14:solidFill>
                    <w14:schemeClr w14:val="tx1"/>
                  </w14:solidFill>
                </w14:textFill>
              </w:rPr>
              <w:t>5）刷字废气</w:t>
            </w:r>
          </w:p>
          <w:p w14:paraId="38819E2F">
            <w:pPr>
              <w:pStyle w:val="20"/>
              <w:pageBreakBefore w:val="0"/>
              <w:kinsoku/>
              <w:overflowPunct/>
              <w:topLinePunct w:val="0"/>
              <w:autoSpaceDE/>
              <w:autoSpaceDN/>
              <w:bidi w:val="0"/>
              <w:adjustRightInd/>
              <w:spacing w:line="360" w:lineRule="auto"/>
              <w:ind w:left="0" w:leftChars="0" w:right="0" w:rightChars="0" w:firstLine="480" w:firstLineChars="200"/>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项目在每一个</w:t>
            </w:r>
            <w:r>
              <w:rPr>
                <w:rFonts w:hint="eastAsia" w:ascii="Times New Roman" w:hAnsi="Times New Roman" w:cs="Times New Roman"/>
                <w:b w:val="0"/>
                <w:bCs w:val="0"/>
                <w:color w:val="000000" w:themeColor="text1"/>
                <w:kern w:val="0"/>
                <w:sz w:val="24"/>
                <w:szCs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上需要刷写标识文字等内容，使用网板手工刷字，在使用网板对瓶身进行手工刷字的过程中，油墨挥发将产生有机废气（以非甲烷总烃表征）。</w:t>
            </w:r>
          </w:p>
          <w:p w14:paraId="25268DEF">
            <w:pPr>
              <w:pStyle w:val="20"/>
              <w:pageBreakBefore w:val="0"/>
              <w:kinsoku/>
              <w:overflowPunct/>
              <w:topLinePunct w:val="0"/>
              <w:autoSpaceDE/>
              <w:autoSpaceDN/>
              <w:bidi w:val="0"/>
              <w:adjustRightInd/>
              <w:spacing w:line="360" w:lineRule="auto"/>
              <w:ind w:left="0" w:leftChars="0" w:right="0" w:rightChars="0" w:firstLine="480" w:firstLineChars="200"/>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原有项目油墨的总量约</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0.21471</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t/a。参考油墨的检测报告，刷字使用的油墨挥发性有机物含量为32.2%，则本项目刷字有机废气（以非甲烷总烃计）产生量为0.06914t/a，0.0288kg/h，</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呈无组织排放。</w:t>
            </w:r>
          </w:p>
          <w:p w14:paraId="319B52E8">
            <w:pPr>
              <w:pStyle w:val="20"/>
              <w:pageBreakBefore w:val="0"/>
              <w:kinsoku/>
              <w:overflowPunct/>
              <w:topLinePunct w:val="0"/>
              <w:autoSpaceDE/>
              <w:autoSpaceDN/>
              <w:bidi w:val="0"/>
              <w:adjustRightInd/>
              <w:spacing w:line="360" w:lineRule="auto"/>
              <w:ind w:left="0" w:leftChars="0" w:right="0" w:rightChars="0" w:firstLine="482" w:firstLineChars="200"/>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b/>
                <w:bCs/>
                <w:color w:val="000000" w:themeColor="text1"/>
                <w:kern w:val="0"/>
                <w:sz w:val="24"/>
                <w:szCs w:val="24"/>
                <w:lang w:val="en-US" w:eastAsia="zh-CN" w:bidi="ar"/>
                <w14:textFill>
                  <w14:solidFill>
                    <w14:schemeClr w14:val="tx1"/>
                  </w14:solidFill>
                </w14:textFill>
              </w:rPr>
              <w:t>6）泄漏废气</w:t>
            </w:r>
          </w:p>
          <w:p w14:paraId="12A1FD54">
            <w:pPr>
              <w:pStyle w:val="20"/>
              <w:pageBreakBefore w:val="0"/>
              <w:kinsoku/>
              <w:overflowPunct/>
              <w:topLinePunct w:val="0"/>
              <w:autoSpaceDE/>
              <w:autoSpaceDN/>
              <w:bidi w:val="0"/>
              <w:adjustRightInd/>
              <w:spacing w:line="360" w:lineRule="auto"/>
              <w:ind w:left="0" w:leftChars="0" w:right="0" w:rightChars="0" w:firstLine="480" w:firstLineChars="200"/>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项目在</w:t>
            </w:r>
            <w:r>
              <w:rPr>
                <w:rFonts w:hint="eastAsia" w:cs="Times New Roman"/>
                <w:b w:val="0"/>
                <w:bCs w:val="0"/>
                <w:color w:val="000000" w:themeColor="text1"/>
                <w:kern w:val="0"/>
                <w:sz w:val="24"/>
                <w:szCs w:val="24"/>
                <w:lang w:val="en-US" w:eastAsia="zh-CN" w:bidi="ar"/>
                <w14:textFill>
                  <w14:solidFill>
                    <w14:schemeClr w14:val="tx1"/>
                  </w14:solidFill>
                </w14:textFill>
              </w:rPr>
              <w:t>残液回收</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、瓶阀拆卸、气密性试验等检验过程会有极少量气体逸散到空气中，逸散的气体为液化石油气，液化石油气主要是丙烷、丁烷等低碳氢烷烃化合物（以非甲烷总烃计）。根据行业经验统计，</w:t>
            </w:r>
            <w:r>
              <w:rPr>
                <w:rFonts w:hint="eastAsia" w:ascii="Times New Roman" w:hAnsi="Times New Roman" w:cs="Times New Roman"/>
                <w:b w:val="0"/>
                <w:bCs w:val="0"/>
                <w:color w:val="000000" w:themeColor="text1"/>
                <w:kern w:val="0"/>
                <w:sz w:val="24"/>
                <w:szCs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残气量约为 0.01kg/个。原有项目</w:t>
            </w:r>
            <w:r>
              <w:rPr>
                <w:rFonts w:hint="eastAsia" w:cs="Times New Roman"/>
                <w:b w:val="0"/>
                <w:bCs w:val="0"/>
                <w:color w:val="000000" w:themeColor="text1"/>
                <w:kern w:val="0"/>
                <w:sz w:val="24"/>
                <w:szCs w:val="24"/>
                <w:lang w:val="en-US" w:eastAsia="zh-CN" w:bidi="ar"/>
                <w14:textFill>
                  <w14:solidFill>
                    <w14:schemeClr w14:val="tx1"/>
                  </w14:solidFill>
                </w14:textFill>
              </w:rPr>
              <w:t>残液回收</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、瓶阀拆卸等液化石油气钢瓶为10万个，因此原有项目</w:t>
            </w:r>
            <w:r>
              <w:rPr>
                <w:rFonts w:hint="eastAsia" w:ascii="Times New Roman" w:hAnsi="Times New Roman" w:cs="Times New Roman"/>
                <w:b w:val="0"/>
                <w:bCs w:val="0"/>
                <w:color w:val="000000" w:themeColor="text1"/>
                <w:kern w:val="0"/>
                <w:sz w:val="24"/>
                <w:szCs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残液总量约为1t/a。</w:t>
            </w:r>
            <w:r>
              <w:rPr>
                <w:rFonts w:hint="eastAsia" w:cs="Times New Roman"/>
                <w:b w:val="0"/>
                <w:bCs w:val="0"/>
                <w:color w:val="000000" w:themeColor="text1"/>
                <w:kern w:val="0"/>
                <w:sz w:val="24"/>
                <w:szCs w:val="24"/>
                <w:lang w:val="en-US" w:eastAsia="zh-CN" w:bidi="ar"/>
                <w14:textFill>
                  <w14:solidFill>
                    <w14:schemeClr w14:val="tx1"/>
                  </w14:solidFill>
                </w14:textFill>
              </w:rPr>
              <w:t>残液回收</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过程回收装置回收效率约99.5%，未回收的残气在车间</w:t>
            </w:r>
            <w:r>
              <w:rPr>
                <w:rFonts w:hint="eastAsia" w:cs="Times New Roman"/>
                <w:b w:val="0"/>
                <w:bCs w:val="0"/>
                <w:color w:val="000000" w:themeColor="text1"/>
                <w:kern w:val="0"/>
                <w:sz w:val="24"/>
                <w:szCs w:val="24"/>
                <w:lang w:val="en-US" w:eastAsia="zh-CN" w:bidi="ar"/>
                <w14:textFill>
                  <w14:solidFill>
                    <w14:schemeClr w14:val="tx1"/>
                  </w14:solidFill>
                </w14:textFill>
              </w:rPr>
              <w:t>挥发，形成</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无组织排放，因此非甲烷总烃排放量为0.005t/a，0.00208kg/h。原有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项目定期委托玉溪师琪燃气服务有限公司把残液回收器内的残气清运处置。</w:t>
            </w:r>
          </w:p>
          <w:p w14:paraId="31644A26">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7）小结</w:t>
            </w:r>
          </w:p>
          <w:p w14:paraId="113A634D">
            <w:pPr>
              <w:pStyle w:val="20"/>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000000" w:themeColor="text1"/>
                <w:kern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原有项目有组织排放的</w:t>
            </w:r>
            <w:r>
              <w:rPr>
                <w:rFonts w:hint="default" w:ascii="Times New Roman" w:hAnsi="Times New Roman" w:eastAsia="宋体" w:cs="Times New Roman"/>
                <w:color w:val="000000" w:themeColor="text1"/>
                <w:kern w:val="24"/>
                <w:lang w:val="en-US" w:eastAsia="zh-CN"/>
                <w14:textFill>
                  <w14:solidFill>
                    <w14:schemeClr w14:val="tx1"/>
                  </w14:solidFill>
                </w14:textFill>
              </w:rPr>
              <w:t>颗粒物排放量0.6895</w:t>
            </w:r>
            <w:r>
              <w:rPr>
                <w:rFonts w:hint="eastAsia" w:cs="Times New Roman"/>
                <w:color w:val="000000" w:themeColor="text1"/>
                <w:kern w:val="24"/>
                <w:lang w:val="en-US" w:eastAsia="zh-CN"/>
                <w14:textFill>
                  <w14:solidFill>
                    <w14:schemeClr w14:val="tx1"/>
                  </w14:solidFill>
                </w14:textFill>
              </w:rPr>
              <w:t>6</w:t>
            </w:r>
            <w:r>
              <w:rPr>
                <w:rFonts w:hint="default" w:ascii="Times New Roman" w:hAnsi="Times New Roman" w:eastAsia="宋体" w:cs="Times New Roman"/>
                <w:color w:val="000000" w:themeColor="text1"/>
                <w:kern w:val="24"/>
                <w:lang w:val="en-US" w:eastAsia="zh-CN"/>
                <w14:textFill>
                  <w14:solidFill>
                    <w14:schemeClr w14:val="tx1"/>
                  </w14:solidFill>
                </w14:textFill>
              </w:rPr>
              <w:t>t/a，二氧化硫产生量为0.09195t/a、氮氧化物产生量为0.17503t/a，非甲烷总烃排放量为0.00523t/a。</w:t>
            </w:r>
          </w:p>
          <w:p w14:paraId="39D691F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无组织排放的颗粒物排放量为0.2449</w:t>
            </w: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9</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t/a，非甲烷总烃排放量为0.07414t/a。</w:t>
            </w:r>
          </w:p>
          <w:p w14:paraId="5D8F4554">
            <w:pPr>
              <w:pStyle w:val="20"/>
              <w:pageBreakBefore w:val="0"/>
              <w:kinsoku/>
              <w:overflowPunct/>
              <w:topLinePunct w:val="0"/>
              <w:autoSpaceDE/>
              <w:autoSpaceDN/>
              <w:bidi w:val="0"/>
              <w:adjustRightInd/>
              <w:spacing w:line="360" w:lineRule="auto"/>
              <w:ind w:right="0" w:rightChars="0"/>
              <w:jc w:val="center"/>
              <w:rPr>
                <w:rFonts w:hint="default" w:ascii="Times New Roman" w:hAnsi="Times New Roman" w:cs="Times New Roman"/>
                <w:b w:val="0"/>
                <w:bCs w:val="0"/>
                <w:color w:val="000000" w:themeColor="text1"/>
                <w:kern w:val="24"/>
                <w:lang w:val="en-US" w:eastAsia="zh-CN"/>
                <w14:textFill>
                  <w14:solidFill>
                    <w14:schemeClr w14:val="tx1"/>
                  </w14:solidFill>
                </w14:textFill>
              </w:rPr>
            </w:pPr>
            <w:r>
              <w:rPr>
                <w:rFonts w:hint="default" w:ascii="Times New Roman" w:hAnsi="Times New Roman" w:cs="Times New Roman"/>
                <w:b/>
                <w:bCs/>
                <w:color w:val="000000" w:themeColor="text1"/>
                <w:kern w:val="24"/>
                <w:sz w:val="21"/>
                <w:szCs w:val="21"/>
                <w:lang w:val="en-US" w:eastAsia="zh-CN"/>
                <w14:textFill>
                  <w14:solidFill>
                    <w14:schemeClr w14:val="tx1"/>
                  </w14:solidFill>
                </w14:textFill>
              </w:rPr>
              <w:t xml:space="preserve">表4-4 </w:t>
            </w:r>
            <w:r>
              <w:rPr>
                <w:rFonts w:hint="eastAsia" w:cs="Times New Roman"/>
                <w:b/>
                <w:bCs/>
                <w:color w:val="000000" w:themeColor="text1"/>
                <w:kern w:val="24"/>
                <w:sz w:val="21"/>
                <w:szCs w:val="21"/>
                <w:lang w:val="en-US" w:eastAsia="zh-CN"/>
                <w14:textFill>
                  <w14:solidFill>
                    <w14:schemeClr w14:val="tx1"/>
                  </w14:solidFill>
                </w14:textFill>
              </w:rPr>
              <w:t>原有项目</w:t>
            </w:r>
            <w:r>
              <w:rPr>
                <w:rFonts w:hint="default" w:ascii="Times New Roman" w:hAnsi="Times New Roman" w:cs="Times New Roman"/>
                <w:b/>
                <w:bCs/>
                <w:color w:val="000000" w:themeColor="text1"/>
                <w:kern w:val="24"/>
                <w:sz w:val="21"/>
                <w:szCs w:val="21"/>
                <w:lang w:val="en-US" w:eastAsia="zh-CN"/>
                <w14:textFill>
                  <w14:solidFill>
                    <w14:schemeClr w14:val="tx1"/>
                  </w14:solidFill>
                </w14:textFill>
              </w:rPr>
              <w:t>污染物排放一览</w:t>
            </w:r>
          </w:p>
          <w:tbl>
            <w:tblPr>
              <w:tblStyle w:val="34"/>
              <w:tblW w:w="84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1046"/>
              <w:gridCol w:w="1196"/>
              <w:gridCol w:w="1196"/>
              <w:gridCol w:w="1196"/>
              <w:gridCol w:w="1611"/>
              <w:gridCol w:w="957"/>
            </w:tblGrid>
            <w:tr w14:paraId="346D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Align w:val="center"/>
                </w:tcPr>
                <w:p w14:paraId="3B490526">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bCs/>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bCs/>
                      <w:color w:val="000000" w:themeColor="text1"/>
                      <w:kern w:val="24"/>
                      <w:sz w:val="21"/>
                      <w:szCs w:val="21"/>
                      <w:lang w:val="en-US" w:eastAsia="zh-CN"/>
                      <w14:textFill>
                        <w14:solidFill>
                          <w14:schemeClr w14:val="tx1"/>
                        </w14:solidFill>
                      </w14:textFill>
                    </w:rPr>
                    <w:t>产污环节</w:t>
                  </w:r>
                </w:p>
              </w:tc>
              <w:tc>
                <w:tcPr>
                  <w:tcW w:w="1046" w:type="dxa"/>
                  <w:vAlign w:val="center"/>
                </w:tcPr>
                <w:p w14:paraId="30A6471E">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bCs/>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bCs/>
                      <w:color w:val="000000" w:themeColor="text1"/>
                      <w:kern w:val="24"/>
                      <w:sz w:val="21"/>
                      <w:szCs w:val="21"/>
                      <w:lang w:val="en-US" w:eastAsia="zh-CN"/>
                      <w14:textFill>
                        <w14:solidFill>
                          <w14:schemeClr w14:val="tx1"/>
                        </w14:solidFill>
                      </w14:textFill>
                    </w:rPr>
                    <w:t>污染物</w:t>
                  </w:r>
                </w:p>
              </w:tc>
              <w:tc>
                <w:tcPr>
                  <w:tcW w:w="1196" w:type="dxa"/>
                  <w:vAlign w:val="center"/>
                </w:tcPr>
                <w:p w14:paraId="2F15C1A2">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bCs/>
                      <w:color w:val="000000" w:themeColor="text1"/>
                      <w:kern w:val="24"/>
                      <w:sz w:val="21"/>
                      <w:szCs w:val="21"/>
                      <w:lang w:val="en-US" w:eastAsia="zh-CN"/>
                      <w14:textFill>
                        <w14:solidFill>
                          <w14:schemeClr w14:val="tx1"/>
                        </w14:solidFill>
                      </w14:textFill>
                    </w:rPr>
                  </w:pPr>
                  <w:r>
                    <w:rPr>
                      <w:rFonts w:hint="eastAsia" w:ascii="Times New Roman" w:hAnsi="Times New Roman" w:cs="Times New Roman"/>
                      <w:b/>
                      <w:bCs/>
                      <w:color w:val="000000" w:themeColor="text1"/>
                      <w:kern w:val="24"/>
                      <w:sz w:val="21"/>
                      <w:szCs w:val="21"/>
                      <w:lang w:val="en-US" w:eastAsia="zh-CN"/>
                      <w14:textFill>
                        <w14:solidFill>
                          <w14:schemeClr w14:val="tx1"/>
                        </w14:solidFill>
                      </w14:textFill>
                    </w:rPr>
                    <w:t>产生量</w:t>
                  </w:r>
                  <w:r>
                    <w:rPr>
                      <w:rFonts w:hint="default" w:ascii="Times New Roman" w:hAnsi="Times New Roman" w:cs="Times New Roman"/>
                      <w:b/>
                      <w:bCs/>
                      <w:color w:val="000000" w:themeColor="text1"/>
                      <w:kern w:val="24"/>
                      <w:sz w:val="21"/>
                      <w:szCs w:val="21"/>
                      <w:lang w:val="en-US" w:eastAsia="zh-CN"/>
                      <w14:textFill>
                        <w14:solidFill>
                          <w14:schemeClr w14:val="tx1"/>
                        </w14:solidFill>
                      </w14:textFill>
                    </w:rPr>
                    <w:t>t/a</w:t>
                  </w:r>
                </w:p>
              </w:tc>
              <w:tc>
                <w:tcPr>
                  <w:tcW w:w="1196" w:type="dxa"/>
                  <w:vAlign w:val="center"/>
                </w:tcPr>
                <w:p w14:paraId="6AFAA294">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cs="Times New Roman"/>
                      <w:b/>
                      <w:bCs/>
                      <w:color w:val="000000" w:themeColor="text1"/>
                      <w:kern w:val="24"/>
                      <w:sz w:val="21"/>
                      <w:szCs w:val="21"/>
                      <w:lang w:val="en-US" w:eastAsia="zh-CN"/>
                      <w14:textFill>
                        <w14:solidFill>
                          <w14:schemeClr w14:val="tx1"/>
                        </w14:solidFill>
                      </w14:textFill>
                    </w:rPr>
                  </w:pPr>
                  <w:r>
                    <w:rPr>
                      <w:rFonts w:hint="eastAsia" w:ascii="Times New Roman" w:hAnsi="Times New Roman" w:cs="Times New Roman"/>
                      <w:b/>
                      <w:bCs/>
                      <w:color w:val="000000" w:themeColor="text1"/>
                      <w:kern w:val="24"/>
                      <w:sz w:val="21"/>
                      <w:szCs w:val="21"/>
                      <w:lang w:val="en-US" w:eastAsia="zh-CN"/>
                      <w14:textFill>
                        <w14:solidFill>
                          <w14:schemeClr w14:val="tx1"/>
                        </w14:solidFill>
                      </w14:textFill>
                    </w:rPr>
                    <w:t>产生浓度</w:t>
                  </w:r>
                  <w:r>
                    <w:rPr>
                      <w:rFonts w:hint="default" w:ascii="Times New Roman" w:hAnsi="Times New Roman" w:cs="Times New Roman"/>
                      <w:b/>
                      <w:bCs/>
                      <w:color w:val="000000" w:themeColor="text1"/>
                      <w:kern w:val="24"/>
                      <w:sz w:val="21"/>
                      <w:szCs w:val="21"/>
                      <w:lang w:val="en-US" w:eastAsia="zh-CN"/>
                      <w14:textFill>
                        <w14:solidFill>
                          <w14:schemeClr w14:val="tx1"/>
                        </w14:solidFill>
                      </w14:textFill>
                    </w:rPr>
                    <w:t>mg/m</w:t>
                  </w:r>
                  <w:r>
                    <w:rPr>
                      <w:rFonts w:hint="default" w:ascii="Times New Roman" w:hAnsi="Times New Roman" w:cs="Times New Roman"/>
                      <w:b/>
                      <w:bCs/>
                      <w:color w:val="000000" w:themeColor="text1"/>
                      <w:kern w:val="24"/>
                      <w:sz w:val="21"/>
                      <w:szCs w:val="21"/>
                      <w:vertAlign w:val="superscript"/>
                      <w:lang w:val="en-US" w:eastAsia="zh-CN"/>
                      <w14:textFill>
                        <w14:solidFill>
                          <w14:schemeClr w14:val="tx1"/>
                        </w14:solidFill>
                      </w14:textFill>
                    </w:rPr>
                    <w:t>3</w:t>
                  </w:r>
                </w:p>
              </w:tc>
              <w:tc>
                <w:tcPr>
                  <w:tcW w:w="1196" w:type="dxa"/>
                  <w:vAlign w:val="center"/>
                </w:tcPr>
                <w:p w14:paraId="0132A870">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bCs/>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bCs/>
                      <w:color w:val="000000" w:themeColor="text1"/>
                      <w:kern w:val="24"/>
                      <w:sz w:val="21"/>
                      <w:szCs w:val="21"/>
                      <w:lang w:val="en-US" w:eastAsia="zh-CN"/>
                      <w14:textFill>
                        <w14:solidFill>
                          <w14:schemeClr w14:val="tx1"/>
                        </w14:solidFill>
                      </w14:textFill>
                    </w:rPr>
                    <w:t>排放量t/a</w:t>
                  </w:r>
                </w:p>
              </w:tc>
              <w:tc>
                <w:tcPr>
                  <w:tcW w:w="1611" w:type="dxa"/>
                  <w:vAlign w:val="center"/>
                </w:tcPr>
                <w:p w14:paraId="1233A2CD">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bCs/>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bCs/>
                      <w:color w:val="000000" w:themeColor="text1"/>
                      <w:kern w:val="24"/>
                      <w:sz w:val="21"/>
                      <w:szCs w:val="21"/>
                      <w:lang w:val="en-US" w:eastAsia="zh-CN"/>
                      <w14:textFill>
                        <w14:solidFill>
                          <w14:schemeClr w14:val="tx1"/>
                        </w14:solidFill>
                      </w14:textFill>
                    </w:rPr>
                    <w:t>排放速率kg/h</w:t>
                  </w:r>
                </w:p>
              </w:tc>
              <w:tc>
                <w:tcPr>
                  <w:tcW w:w="957" w:type="dxa"/>
                  <w:vAlign w:val="center"/>
                </w:tcPr>
                <w:p w14:paraId="2B95D631">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bCs/>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bCs/>
                      <w:color w:val="000000" w:themeColor="text1"/>
                      <w:kern w:val="24"/>
                      <w:sz w:val="21"/>
                      <w:szCs w:val="21"/>
                      <w:lang w:val="en-US" w:eastAsia="zh-CN"/>
                      <w14:textFill>
                        <w14:solidFill>
                          <w14:schemeClr w14:val="tx1"/>
                        </w14:solidFill>
                      </w14:textFill>
                    </w:rPr>
                    <w:t>排放浓度mg/m</w:t>
                  </w:r>
                  <w:r>
                    <w:rPr>
                      <w:rFonts w:hint="default" w:ascii="Times New Roman" w:hAnsi="Times New Roman" w:cs="Times New Roman"/>
                      <w:b/>
                      <w:bCs/>
                      <w:color w:val="000000" w:themeColor="text1"/>
                      <w:kern w:val="24"/>
                      <w:sz w:val="21"/>
                      <w:szCs w:val="21"/>
                      <w:vertAlign w:val="superscript"/>
                      <w:lang w:val="en-US" w:eastAsia="zh-CN"/>
                      <w14:textFill>
                        <w14:solidFill>
                          <w14:schemeClr w14:val="tx1"/>
                        </w14:solidFill>
                      </w14:textFill>
                    </w:rPr>
                    <w:t>3</w:t>
                  </w:r>
                </w:p>
              </w:tc>
            </w:tr>
            <w:tr w14:paraId="279B0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2" w:type="dxa"/>
                  <w:vMerge w:val="restart"/>
                  <w:vAlign w:val="center"/>
                </w:tcPr>
                <w:p w14:paraId="5EAE7E90">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DA001排气筒（焚烧炉废气、烘干固化废气）</w:t>
                  </w:r>
                </w:p>
              </w:tc>
              <w:tc>
                <w:tcPr>
                  <w:tcW w:w="1046" w:type="dxa"/>
                  <w:vAlign w:val="center"/>
                </w:tcPr>
                <w:p w14:paraId="770BF7EB">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颗粒物</w:t>
                  </w:r>
                </w:p>
              </w:tc>
              <w:tc>
                <w:tcPr>
                  <w:tcW w:w="1196" w:type="dxa"/>
                  <w:vAlign w:val="center"/>
                </w:tcPr>
                <w:p w14:paraId="4C9DA618">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13.791</w:t>
                  </w:r>
                </w:p>
              </w:tc>
              <w:tc>
                <w:tcPr>
                  <w:tcW w:w="1196" w:type="dxa"/>
                  <w:vAlign w:val="center"/>
                </w:tcPr>
                <w:p w14:paraId="31F3693F">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1723.91</w:t>
                  </w:r>
                </w:p>
              </w:tc>
              <w:tc>
                <w:tcPr>
                  <w:tcW w:w="1196" w:type="dxa"/>
                  <w:vAlign w:val="center"/>
                </w:tcPr>
                <w:p w14:paraId="0EC626A2">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0.690</w:t>
                  </w:r>
                </w:p>
              </w:tc>
              <w:tc>
                <w:tcPr>
                  <w:tcW w:w="1611" w:type="dxa"/>
                  <w:vAlign w:val="center"/>
                </w:tcPr>
                <w:p w14:paraId="6752E767">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0.3448</w:t>
                  </w:r>
                </w:p>
              </w:tc>
              <w:tc>
                <w:tcPr>
                  <w:tcW w:w="957" w:type="dxa"/>
                  <w:vAlign w:val="center"/>
                </w:tcPr>
                <w:p w14:paraId="2AD78995">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86.20</w:t>
                  </w:r>
                </w:p>
              </w:tc>
            </w:tr>
            <w:tr w14:paraId="2D31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vAlign w:val="center"/>
                </w:tcPr>
                <w:p w14:paraId="5FE67A9A">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p>
              </w:tc>
              <w:tc>
                <w:tcPr>
                  <w:tcW w:w="1046" w:type="dxa"/>
                  <w:vAlign w:val="center"/>
                </w:tcPr>
                <w:p w14:paraId="0405EA51">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二氧化硫</w:t>
                  </w:r>
                </w:p>
              </w:tc>
              <w:tc>
                <w:tcPr>
                  <w:tcW w:w="1196" w:type="dxa"/>
                  <w:vAlign w:val="center"/>
                </w:tcPr>
                <w:p w14:paraId="0DE9F7D4">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0.161</w:t>
                  </w:r>
                </w:p>
              </w:tc>
              <w:tc>
                <w:tcPr>
                  <w:tcW w:w="1196" w:type="dxa"/>
                  <w:vAlign w:val="center"/>
                </w:tcPr>
                <w:p w14:paraId="4B497458">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20.11</w:t>
                  </w:r>
                </w:p>
              </w:tc>
              <w:tc>
                <w:tcPr>
                  <w:tcW w:w="1196" w:type="dxa"/>
                  <w:vAlign w:val="center"/>
                </w:tcPr>
                <w:p w14:paraId="2E80A403">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0.092</w:t>
                  </w:r>
                </w:p>
              </w:tc>
              <w:tc>
                <w:tcPr>
                  <w:tcW w:w="1611" w:type="dxa"/>
                  <w:vAlign w:val="center"/>
                </w:tcPr>
                <w:p w14:paraId="4C9C1E8C">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0.0460</w:t>
                  </w:r>
                </w:p>
              </w:tc>
              <w:tc>
                <w:tcPr>
                  <w:tcW w:w="957" w:type="dxa"/>
                  <w:vAlign w:val="center"/>
                </w:tcPr>
                <w:p w14:paraId="0798107F">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11.49</w:t>
                  </w:r>
                </w:p>
              </w:tc>
            </w:tr>
            <w:tr w14:paraId="66261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2" w:type="dxa"/>
                  <w:vMerge w:val="continue"/>
                  <w:vAlign w:val="center"/>
                </w:tcPr>
                <w:p w14:paraId="6493278D">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p>
              </w:tc>
              <w:tc>
                <w:tcPr>
                  <w:tcW w:w="1046" w:type="dxa"/>
                  <w:vAlign w:val="center"/>
                </w:tcPr>
                <w:p w14:paraId="3EEEDC6F">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氮氧化物</w:t>
                  </w:r>
                </w:p>
              </w:tc>
              <w:tc>
                <w:tcPr>
                  <w:tcW w:w="1196" w:type="dxa"/>
                  <w:vAlign w:val="center"/>
                </w:tcPr>
                <w:p w14:paraId="025D614E">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0.306</w:t>
                  </w:r>
                </w:p>
              </w:tc>
              <w:tc>
                <w:tcPr>
                  <w:tcW w:w="1196" w:type="dxa"/>
                  <w:vAlign w:val="center"/>
                </w:tcPr>
                <w:p w14:paraId="750EE662">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38.29</w:t>
                  </w:r>
                </w:p>
              </w:tc>
              <w:tc>
                <w:tcPr>
                  <w:tcW w:w="1196" w:type="dxa"/>
                  <w:vAlign w:val="center"/>
                </w:tcPr>
                <w:p w14:paraId="3EBA2A8A">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0.306</w:t>
                  </w:r>
                </w:p>
              </w:tc>
              <w:tc>
                <w:tcPr>
                  <w:tcW w:w="1611" w:type="dxa"/>
                  <w:vAlign w:val="center"/>
                </w:tcPr>
                <w:p w14:paraId="35B1ECC2">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0.1532</w:t>
                  </w:r>
                </w:p>
              </w:tc>
              <w:tc>
                <w:tcPr>
                  <w:tcW w:w="957" w:type="dxa"/>
                  <w:vAlign w:val="center"/>
                </w:tcPr>
                <w:p w14:paraId="61E03D67">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38.29</w:t>
                  </w:r>
                </w:p>
              </w:tc>
            </w:tr>
            <w:tr w14:paraId="2652F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vAlign w:val="center"/>
                </w:tcPr>
                <w:p w14:paraId="79DCE2CB">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p>
              </w:tc>
              <w:tc>
                <w:tcPr>
                  <w:tcW w:w="1046" w:type="dxa"/>
                  <w:vAlign w:val="center"/>
                </w:tcPr>
                <w:p w14:paraId="153F60C2">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非甲烷总烃</w:t>
                  </w:r>
                </w:p>
              </w:tc>
              <w:tc>
                <w:tcPr>
                  <w:tcW w:w="1196" w:type="dxa"/>
                  <w:vAlign w:val="center"/>
                </w:tcPr>
                <w:p w14:paraId="77B82886">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0.006</w:t>
                  </w:r>
                </w:p>
              </w:tc>
              <w:tc>
                <w:tcPr>
                  <w:tcW w:w="1196" w:type="dxa"/>
                  <w:vAlign w:val="center"/>
                </w:tcPr>
                <w:p w14:paraId="247067AE">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0.80</w:t>
                  </w:r>
                </w:p>
              </w:tc>
              <w:tc>
                <w:tcPr>
                  <w:tcW w:w="1196" w:type="dxa"/>
                  <w:vAlign w:val="center"/>
                </w:tcPr>
                <w:p w14:paraId="70563F8C">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0.005</w:t>
                  </w:r>
                </w:p>
              </w:tc>
              <w:tc>
                <w:tcPr>
                  <w:tcW w:w="1611" w:type="dxa"/>
                  <w:vAlign w:val="center"/>
                </w:tcPr>
                <w:p w14:paraId="16627C50">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0.0026</w:t>
                  </w:r>
                </w:p>
              </w:tc>
              <w:tc>
                <w:tcPr>
                  <w:tcW w:w="957" w:type="dxa"/>
                  <w:vAlign w:val="center"/>
                </w:tcPr>
                <w:p w14:paraId="1A0F0F7D">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0.65</w:t>
                  </w:r>
                </w:p>
              </w:tc>
            </w:tr>
            <w:tr w14:paraId="3BA95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202" w:type="dxa"/>
                  <w:vAlign w:val="center"/>
                </w:tcPr>
                <w:p w14:paraId="2A404F56">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抛丸除锈废气（无组织排放）</w:t>
                  </w:r>
                </w:p>
              </w:tc>
              <w:tc>
                <w:tcPr>
                  <w:tcW w:w="1046" w:type="dxa"/>
                  <w:vAlign w:val="center"/>
                </w:tcPr>
                <w:p w14:paraId="642F76BE">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颗粒物</w:t>
                  </w:r>
                </w:p>
              </w:tc>
              <w:tc>
                <w:tcPr>
                  <w:tcW w:w="1196" w:type="dxa"/>
                  <w:vAlign w:val="center"/>
                </w:tcPr>
                <w:p w14:paraId="0091A92C">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kern w:val="24"/>
                      <w:sz w:val="21"/>
                      <w:szCs w:val="21"/>
                      <w:lang w:val="en-US" w:eastAsia="zh-CN"/>
                      <w14:textFill>
                        <w14:solidFill>
                          <w14:schemeClr w14:val="tx1"/>
                        </w14:solidFill>
                      </w14:textFill>
                    </w:rPr>
                    <w:t>3.5</w:t>
                  </w:r>
                  <w:r>
                    <w:rPr>
                      <w:rFonts w:hint="eastAsia" w:cs="Times New Roman"/>
                      <w:b w:val="0"/>
                      <w:bCs w:val="0"/>
                      <w:color w:val="000000" w:themeColor="text1"/>
                      <w:kern w:val="24"/>
                      <w:sz w:val="21"/>
                      <w:szCs w:val="21"/>
                      <w:lang w:val="en-US" w:eastAsia="zh-CN"/>
                      <w14:textFill>
                        <w14:solidFill>
                          <w14:schemeClr w14:val="tx1"/>
                        </w14:solidFill>
                      </w14:textFill>
                    </w:rPr>
                    <w:t>70</w:t>
                  </w:r>
                </w:p>
              </w:tc>
              <w:tc>
                <w:tcPr>
                  <w:tcW w:w="1196" w:type="dxa"/>
                  <w:vAlign w:val="center"/>
                </w:tcPr>
                <w:p w14:paraId="6205E7BF">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kern w:val="24"/>
                      <w:sz w:val="21"/>
                      <w:szCs w:val="21"/>
                      <w:lang w:val="en-US" w:eastAsia="zh-CN"/>
                      <w14:textFill>
                        <w14:solidFill>
                          <w14:schemeClr w14:val="tx1"/>
                        </w14:solidFill>
                      </w14:textFill>
                    </w:rPr>
                    <w:t>/</w:t>
                  </w:r>
                </w:p>
              </w:tc>
              <w:tc>
                <w:tcPr>
                  <w:tcW w:w="1196" w:type="dxa"/>
                  <w:vAlign w:val="center"/>
                </w:tcPr>
                <w:p w14:paraId="716FC31E">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0.178</w:t>
                  </w:r>
                </w:p>
              </w:tc>
              <w:tc>
                <w:tcPr>
                  <w:tcW w:w="1611" w:type="dxa"/>
                  <w:vAlign w:val="center"/>
                </w:tcPr>
                <w:p w14:paraId="1E38FEB2">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w:t>
                  </w:r>
                </w:p>
              </w:tc>
              <w:tc>
                <w:tcPr>
                  <w:tcW w:w="957" w:type="dxa"/>
                  <w:vAlign w:val="center"/>
                </w:tcPr>
                <w:p w14:paraId="66F94E1F">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w:t>
                  </w:r>
                </w:p>
              </w:tc>
            </w:tr>
            <w:tr w14:paraId="51C32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Align w:val="center"/>
                </w:tcPr>
                <w:p w14:paraId="11FF5580">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喷塑废气（无组织排放）</w:t>
                  </w:r>
                </w:p>
              </w:tc>
              <w:tc>
                <w:tcPr>
                  <w:tcW w:w="1046" w:type="dxa"/>
                  <w:vAlign w:val="center"/>
                </w:tcPr>
                <w:p w14:paraId="1700662F">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颗粒物</w:t>
                  </w:r>
                </w:p>
              </w:tc>
              <w:tc>
                <w:tcPr>
                  <w:tcW w:w="1196" w:type="dxa"/>
                  <w:vAlign w:val="center"/>
                </w:tcPr>
                <w:p w14:paraId="1D359E60">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kern w:val="24"/>
                      <w:sz w:val="21"/>
                      <w:szCs w:val="21"/>
                      <w:lang w:val="en-US" w:eastAsia="zh-CN"/>
                      <w14:textFill>
                        <w14:solidFill>
                          <w14:schemeClr w14:val="tx1"/>
                        </w14:solidFill>
                      </w14:textFill>
                    </w:rPr>
                    <w:t>1.33</w:t>
                  </w:r>
                  <w:r>
                    <w:rPr>
                      <w:rFonts w:hint="eastAsia" w:cs="Times New Roman"/>
                      <w:b w:val="0"/>
                      <w:bCs w:val="0"/>
                      <w:color w:val="000000" w:themeColor="text1"/>
                      <w:kern w:val="24"/>
                      <w:sz w:val="21"/>
                      <w:szCs w:val="21"/>
                      <w:lang w:val="en-US" w:eastAsia="zh-CN"/>
                      <w14:textFill>
                        <w14:solidFill>
                          <w14:schemeClr w14:val="tx1"/>
                        </w14:solidFill>
                      </w14:textFill>
                    </w:rPr>
                    <w:t>0</w:t>
                  </w:r>
                </w:p>
              </w:tc>
              <w:tc>
                <w:tcPr>
                  <w:tcW w:w="1196" w:type="dxa"/>
                  <w:vAlign w:val="center"/>
                </w:tcPr>
                <w:p w14:paraId="4105057C">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kern w:val="24"/>
                      <w:sz w:val="21"/>
                      <w:szCs w:val="21"/>
                      <w:lang w:val="en-US" w:eastAsia="zh-CN"/>
                      <w14:textFill>
                        <w14:solidFill>
                          <w14:schemeClr w14:val="tx1"/>
                        </w14:solidFill>
                      </w14:textFill>
                    </w:rPr>
                    <w:t>/</w:t>
                  </w:r>
                </w:p>
              </w:tc>
              <w:tc>
                <w:tcPr>
                  <w:tcW w:w="1196" w:type="dxa"/>
                  <w:vAlign w:val="center"/>
                </w:tcPr>
                <w:p w14:paraId="01956BAC">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0.067</w:t>
                  </w:r>
                </w:p>
              </w:tc>
              <w:tc>
                <w:tcPr>
                  <w:tcW w:w="1611" w:type="dxa"/>
                  <w:vAlign w:val="center"/>
                </w:tcPr>
                <w:p w14:paraId="787771D9">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w:t>
                  </w:r>
                </w:p>
              </w:tc>
              <w:tc>
                <w:tcPr>
                  <w:tcW w:w="957" w:type="dxa"/>
                  <w:vAlign w:val="center"/>
                </w:tcPr>
                <w:p w14:paraId="0F12777C">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w:t>
                  </w:r>
                </w:p>
              </w:tc>
            </w:tr>
            <w:tr w14:paraId="0BE9A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Align w:val="center"/>
                </w:tcPr>
                <w:p w14:paraId="0F381E61">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刷字废气（无组织排放）</w:t>
                  </w:r>
                </w:p>
              </w:tc>
              <w:tc>
                <w:tcPr>
                  <w:tcW w:w="1046" w:type="dxa"/>
                  <w:vAlign w:val="center"/>
                </w:tcPr>
                <w:p w14:paraId="07C2D683">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非甲烷总烃</w:t>
                  </w:r>
                </w:p>
              </w:tc>
              <w:tc>
                <w:tcPr>
                  <w:tcW w:w="1196" w:type="dxa"/>
                  <w:vAlign w:val="center"/>
                </w:tcPr>
                <w:p w14:paraId="1D537F8D">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0.069</w:t>
                  </w:r>
                </w:p>
              </w:tc>
              <w:tc>
                <w:tcPr>
                  <w:tcW w:w="1196" w:type="dxa"/>
                  <w:vAlign w:val="center"/>
                </w:tcPr>
                <w:p w14:paraId="558E2991">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w:t>
                  </w:r>
                </w:p>
              </w:tc>
              <w:tc>
                <w:tcPr>
                  <w:tcW w:w="1196" w:type="dxa"/>
                  <w:vAlign w:val="center"/>
                </w:tcPr>
                <w:p w14:paraId="33311A61">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0.069</w:t>
                  </w:r>
                </w:p>
              </w:tc>
              <w:tc>
                <w:tcPr>
                  <w:tcW w:w="1611" w:type="dxa"/>
                  <w:vAlign w:val="center"/>
                </w:tcPr>
                <w:p w14:paraId="2819F613">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w:t>
                  </w:r>
                </w:p>
              </w:tc>
              <w:tc>
                <w:tcPr>
                  <w:tcW w:w="957" w:type="dxa"/>
                  <w:vAlign w:val="center"/>
                </w:tcPr>
                <w:p w14:paraId="1CF150A5">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w:t>
                  </w:r>
                </w:p>
              </w:tc>
            </w:tr>
            <w:tr w14:paraId="6A132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Align w:val="center"/>
                </w:tcPr>
                <w:p w14:paraId="18C1DE73">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泄漏废气（无组织排放）</w:t>
                  </w:r>
                </w:p>
              </w:tc>
              <w:tc>
                <w:tcPr>
                  <w:tcW w:w="1046" w:type="dxa"/>
                  <w:vAlign w:val="center"/>
                </w:tcPr>
                <w:p w14:paraId="165E9A03">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非甲烷总烃</w:t>
                  </w:r>
                </w:p>
              </w:tc>
              <w:tc>
                <w:tcPr>
                  <w:tcW w:w="1196" w:type="dxa"/>
                  <w:vAlign w:val="center"/>
                </w:tcPr>
                <w:p w14:paraId="232D3E58">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0.005</w:t>
                  </w:r>
                </w:p>
              </w:tc>
              <w:tc>
                <w:tcPr>
                  <w:tcW w:w="1196" w:type="dxa"/>
                  <w:vAlign w:val="center"/>
                </w:tcPr>
                <w:p w14:paraId="1A45C5C0">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w:t>
                  </w:r>
                </w:p>
              </w:tc>
              <w:tc>
                <w:tcPr>
                  <w:tcW w:w="1196" w:type="dxa"/>
                  <w:vAlign w:val="center"/>
                </w:tcPr>
                <w:p w14:paraId="1E1CF7BB">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0.005</w:t>
                  </w:r>
                </w:p>
              </w:tc>
              <w:tc>
                <w:tcPr>
                  <w:tcW w:w="1611" w:type="dxa"/>
                  <w:vAlign w:val="center"/>
                </w:tcPr>
                <w:p w14:paraId="0E982EC2">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w:t>
                  </w:r>
                </w:p>
              </w:tc>
              <w:tc>
                <w:tcPr>
                  <w:tcW w:w="957" w:type="dxa"/>
                  <w:vAlign w:val="center"/>
                </w:tcPr>
                <w:p w14:paraId="6D2F29A6">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w:t>
                  </w:r>
                </w:p>
              </w:tc>
            </w:tr>
          </w:tbl>
          <w:p w14:paraId="5470A1F4">
            <w:pPr>
              <w:keepNext w:val="0"/>
              <w:keepLines w:val="0"/>
              <w:pageBreakBefore w:val="0"/>
              <w:widowControl w:val="0"/>
              <w:suppressLineNumbers w:val="0"/>
              <w:kinsoku w:val="0"/>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根据原有项目《液化石油气瓶检测中心迁建项目竣工环境保护验收监测报告表》中废气排口监测结果，</w:t>
            </w:r>
            <w:r>
              <w:rPr>
                <w:rFonts w:hint="eastAsia" w:ascii="Times New Roman" w:hAnsi="Times New Roman" w:cs="Times New Roman"/>
                <w:b w:val="0"/>
                <w:bCs w:val="0"/>
                <w:color w:val="000000" w:themeColor="text1"/>
                <w:kern w:val="0"/>
                <w:sz w:val="24"/>
                <w:szCs w:val="24"/>
                <w:lang w:val="en-US" w:eastAsia="zh-CN" w:bidi="ar"/>
                <w14:textFill>
                  <w14:solidFill>
                    <w14:schemeClr w14:val="tx1"/>
                  </w14:solidFill>
                </w14:textFill>
              </w:rPr>
              <w:t>颗粒物</w:t>
            </w: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、二氧化硫、林格曼黑度满足GB9078-1996《工业炉窑大气污染物排放标准》表2和表4二级标准限值要求；废气排放口非甲烷总烃</w:t>
            </w:r>
            <w:r>
              <w:rPr>
                <w:rFonts w:hint="eastAsia" w:cs="Times New Roman"/>
                <w:b w:val="0"/>
                <w:bCs w:val="0"/>
                <w:color w:val="000000" w:themeColor="text1"/>
                <w:kern w:val="0"/>
                <w:sz w:val="24"/>
                <w:szCs w:val="24"/>
                <w:lang w:val="en-US" w:eastAsia="zh-CN" w:bidi="ar"/>
                <w14:textFill>
                  <w14:solidFill>
                    <w14:schemeClr w14:val="tx1"/>
                  </w14:solidFill>
                </w14:textFill>
              </w:rPr>
              <w:t>、氮氧化物</w:t>
            </w: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满足GB16297-1996《大气污染物综合排放标准》表2新污染源大气污染物排放限值。</w:t>
            </w:r>
          </w:p>
          <w:p w14:paraId="7D077CFB">
            <w:pPr>
              <w:pStyle w:val="44"/>
              <w:pageBreakBefore w:val="0"/>
              <w:kinsoku/>
              <w:overflowPunct/>
              <w:topLinePunct w:val="0"/>
              <w:bidi w:val="0"/>
              <w:ind w:left="0" w:leftChars="0" w:right="0" w:firstLine="48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根据原有项目《液化石油气瓶检测中心迁建项目竣工环境保护验收监测报告表》中</w:t>
            </w:r>
            <w:r>
              <w:rPr>
                <w:rFonts w:hint="eastAsia" w:cs="Times New Roman"/>
                <w:b w:val="0"/>
                <w:bCs w:val="0"/>
                <w:color w:val="000000" w:themeColor="text1"/>
                <w:sz w:val="24"/>
                <w:szCs w:val="24"/>
                <w:lang w:val="en-US" w:eastAsia="zh-CN"/>
                <w14:textFill>
                  <w14:solidFill>
                    <w14:schemeClr w14:val="tx1"/>
                  </w14:solidFill>
                </w14:textFill>
              </w:rPr>
              <w:t>厂界无组织废气</w:t>
            </w: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监测结果，</w:t>
            </w:r>
            <w:r>
              <w:rPr>
                <w:rFonts w:hint="eastAsia" w:cs="Times New Roman"/>
                <w:b w:val="0"/>
                <w:bCs w:val="0"/>
                <w:color w:val="000000" w:themeColor="text1"/>
                <w:sz w:val="24"/>
                <w:szCs w:val="24"/>
                <w:lang w:val="en-US" w:eastAsia="zh-CN"/>
                <w14:textFill>
                  <w14:solidFill>
                    <w14:schemeClr w14:val="tx1"/>
                  </w14:solidFill>
                </w14:textFill>
              </w:rPr>
              <w:t>颗粒物</w:t>
            </w:r>
            <w:r>
              <w:rPr>
                <w:rFonts w:hint="eastAsia" w:ascii="宋体" w:hAnsi="宋体" w:eastAsia="宋体" w:cs="宋体"/>
                <w:b w:val="0"/>
                <w:bCs w:val="0"/>
                <w:color w:val="000000" w:themeColor="text1"/>
                <w:sz w:val="24"/>
                <w:szCs w:val="24"/>
                <w:lang w:eastAsia="zh-CN"/>
                <w14:textFill>
                  <w14:solidFill>
                    <w14:schemeClr w14:val="tx1"/>
                  </w14:solidFill>
                </w14:textFill>
              </w:rPr>
              <w:t>满足《大气污染物</w:t>
            </w:r>
            <w:r>
              <w:rPr>
                <w:rFonts w:hint="eastAsia" w:ascii="宋体" w:hAnsi="宋体" w:eastAsia="宋体" w:cs="宋体"/>
                <w:color w:val="000000" w:themeColor="text1"/>
                <w:sz w:val="24"/>
                <w:szCs w:val="24"/>
                <w:lang w:eastAsia="zh-CN"/>
                <w14:textFill>
                  <w14:solidFill>
                    <w14:schemeClr w14:val="tx1"/>
                  </w14:solidFill>
                </w14:textFill>
              </w:rPr>
              <w:t>综合排放标准》（GB16297-1996）表2新污染源大气污染物排放限值要求、非甲烷总烃满足《大气污染物综合排放标准》（GB16297-1996）表2新污染源大气污染物排放限值要求；臭气浓度满足《恶臭污染物排放标准》（GB 14554-93）表1中的新改扩建准限值要求。</w:t>
            </w:r>
          </w:p>
          <w:p w14:paraId="7ABBDBA8">
            <w:pPr>
              <w:pStyle w:val="44"/>
              <w:pageBreakBefore w:val="0"/>
              <w:kinsoku/>
              <w:overflowPunct/>
              <w:topLinePunct w:val="0"/>
              <w:bidi w:val="0"/>
              <w:ind w:left="0" w:leftChars="0" w:right="0" w:firstLine="48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（2）废</w:t>
            </w:r>
            <w:r>
              <w:rPr>
                <w:rFonts w:hint="eastAsia" w:cs="Times New Roman"/>
                <w:b/>
                <w:bCs/>
                <w:color w:val="000000" w:themeColor="text1"/>
                <w:sz w:val="24"/>
                <w:lang w:val="en-US" w:eastAsia="zh-CN"/>
                <w14:textFill>
                  <w14:solidFill>
                    <w14:schemeClr w14:val="tx1"/>
                  </w14:solidFill>
                </w14:textFill>
              </w:rPr>
              <w:t>水</w:t>
            </w:r>
          </w:p>
          <w:p w14:paraId="31D4F22C">
            <w:pPr>
              <w:keepNext w:val="0"/>
              <w:keepLines w:val="0"/>
              <w:pageBreakBefore w:val="0"/>
              <w:widowControl/>
              <w:kinsoku/>
              <w:wordWrap/>
              <w:overflowPunct/>
              <w:topLinePunct w:val="0"/>
              <w:autoSpaceDE/>
              <w:autoSpaceDN/>
              <w:bidi w:val="0"/>
              <w:adjustRightInd w:val="0"/>
              <w:snapToGrid w:val="0"/>
              <w:spacing w:after="0" w:afterLines="0"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lang w:val="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原有项目</w:t>
            </w:r>
            <w:r>
              <w:rPr>
                <w:rFonts w:hint="default" w:ascii="Times New Roman" w:hAnsi="Times New Roman" w:eastAsia="宋体" w:cs="Times New Roman"/>
                <w:color w:val="000000" w:themeColor="text1"/>
                <w:sz w:val="24"/>
                <w:szCs w:val="24"/>
                <w:lang w:val="zh-CN"/>
                <w14:textFill>
                  <w14:solidFill>
                    <w14:schemeClr w14:val="tx1"/>
                  </w14:solidFill>
                </w14:textFill>
              </w:rPr>
              <w:t>运营期废水主要来源于员工的生活污水及</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水压试验补充水。</w:t>
            </w:r>
          </w:p>
          <w:p w14:paraId="29AAC406">
            <w:pPr>
              <w:keepNext w:val="0"/>
              <w:keepLines w:val="0"/>
              <w:pageBreakBefore w:val="0"/>
              <w:widowControl/>
              <w:kinsoku/>
              <w:wordWrap/>
              <w:overflowPunct/>
              <w:topLinePunct w:val="0"/>
              <w:autoSpaceDE/>
              <w:autoSpaceDN/>
              <w:bidi w:val="0"/>
              <w:adjustRightInd w:val="0"/>
              <w:snapToGrid w:val="0"/>
              <w:spacing w:after="0" w:afterLines="0"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zh-CN"/>
                <w14:textFill>
                  <w14:solidFill>
                    <w14:schemeClr w14:val="tx1"/>
                  </w14:solidFill>
                </w14:textFill>
              </w:rPr>
              <w:t>（</w:t>
            </w:r>
            <w:r>
              <w:rPr>
                <w:rFonts w:hint="default" w:ascii="Times New Roman" w:hAnsi="Times New Roman" w:eastAsia="宋体" w:cs="Times New Roman"/>
                <w:b/>
                <w:bCs/>
                <w:color w:val="000000" w:themeColor="text1"/>
                <w:sz w:val="24"/>
                <w:szCs w:val="24"/>
                <w14:textFill>
                  <w14:solidFill>
                    <w14:schemeClr w14:val="tx1"/>
                  </w14:solidFill>
                </w14:textFill>
              </w:rPr>
              <w:t>1</w:t>
            </w:r>
            <w:r>
              <w:rPr>
                <w:rFonts w:hint="default" w:ascii="Times New Roman" w:hAnsi="Times New Roman" w:eastAsia="宋体" w:cs="Times New Roman"/>
                <w:b/>
                <w:bCs/>
                <w:color w:val="000000" w:themeColor="text1"/>
                <w:sz w:val="24"/>
                <w:szCs w:val="24"/>
                <w:lang w:val="zh-CN"/>
                <w14:textFill>
                  <w14:solidFill>
                    <w14:schemeClr w14:val="tx1"/>
                  </w14:solidFill>
                </w14:textFill>
              </w:rPr>
              <w:t>）</w:t>
            </w:r>
            <w:r>
              <w:rPr>
                <w:rFonts w:hint="default" w:ascii="Times New Roman" w:hAnsi="Times New Roman" w:eastAsia="宋体" w:cs="Times New Roman"/>
                <w:b/>
                <w:bCs/>
                <w:color w:val="000000" w:themeColor="text1"/>
                <w:sz w:val="24"/>
                <w:szCs w:val="24"/>
                <w14:textFill>
                  <w14:solidFill>
                    <w14:schemeClr w14:val="tx1"/>
                  </w14:solidFill>
                </w14:textFill>
              </w:rPr>
              <w:t>生活污水</w:t>
            </w:r>
          </w:p>
          <w:p w14:paraId="2FCDCA34">
            <w:pPr>
              <w:keepNext w:val="0"/>
              <w:keepLines w:val="0"/>
              <w:pageBreakBefore w:val="0"/>
              <w:widowControl/>
              <w:kinsoku/>
              <w:wordWrap/>
              <w:overflowPunct/>
              <w:topLinePunct w:val="0"/>
              <w:autoSpaceDE/>
              <w:autoSpaceDN/>
              <w:bidi w:val="0"/>
              <w:adjustRightInd w:val="0"/>
              <w:snapToGrid w:val="0"/>
              <w:spacing w:after="0" w:afterLines="0"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zh-CN" w:eastAsia="zh-CN"/>
                <w14:textFill>
                  <w14:solidFill>
                    <w14:schemeClr w14:val="tx1"/>
                  </w14:solidFill>
                </w14:textFill>
              </w:rPr>
              <w:t>原有项目</w:t>
            </w:r>
            <w:r>
              <w:rPr>
                <w:rFonts w:hint="default" w:ascii="Times New Roman" w:hAnsi="Times New Roman" w:eastAsia="宋体" w:cs="Times New Roman"/>
                <w:color w:val="000000" w:themeColor="text1"/>
                <w:sz w:val="24"/>
                <w:szCs w:val="24"/>
                <w:lang w:eastAsia="zh-CN"/>
                <w14:textFill>
                  <w14:solidFill>
                    <w14:schemeClr w14:val="tx1"/>
                  </w14:solidFill>
                </w14:textFill>
              </w:rPr>
              <w:t>劳动</w:t>
            </w:r>
            <w:r>
              <w:rPr>
                <w:rFonts w:hint="default" w:ascii="Times New Roman" w:hAnsi="Times New Roman" w:eastAsia="宋体" w:cs="Times New Roman"/>
                <w:color w:val="000000" w:themeColor="text1"/>
                <w:sz w:val="24"/>
                <w:szCs w:val="24"/>
                <w14:textFill>
                  <w14:solidFill>
                    <w14:schemeClr w14:val="tx1"/>
                  </w14:solidFill>
                </w14:textFill>
              </w:rPr>
              <w:t>定员</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14:textFill>
                  <w14:solidFill>
                    <w14:schemeClr w14:val="tx1"/>
                  </w14:solidFill>
                </w14:textFill>
              </w:rPr>
              <w:t>人，</w:t>
            </w:r>
            <w:r>
              <w:rPr>
                <w:rFonts w:hint="default" w:ascii="Times New Roman" w:hAnsi="Times New Roman" w:eastAsia="宋体" w:cs="Times New Roman"/>
                <w:color w:val="000000" w:themeColor="text1"/>
                <w:sz w:val="24"/>
                <w:szCs w:val="24"/>
                <w:lang w:eastAsia="zh-CN"/>
                <w14:textFill>
                  <w14:solidFill>
                    <w14:schemeClr w14:val="tx1"/>
                  </w14:solidFill>
                </w14:textFill>
              </w:rPr>
              <w:t>生活污水产生量为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0.6</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zh-CN" w:eastAsia="zh-CN"/>
                <w14:textFill>
                  <w14:solidFill>
                    <w14:schemeClr w14:val="tx1"/>
                  </w14:solidFill>
                </w14:textFill>
              </w:rPr>
              <w:t>3</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/d（1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0t/a），经化粪池收集处理后</w:t>
            </w:r>
            <w:r>
              <w:rPr>
                <w:rFonts w:hint="default" w:ascii="Times New Roman" w:hAnsi="Times New Roman" w:eastAsia="宋体" w:cs="Times New Roman"/>
                <w:color w:val="000000" w:themeColor="text1"/>
                <w:sz w:val="24"/>
                <w:szCs w:val="24"/>
                <w:lang w:eastAsia="zh-CN"/>
                <w14:textFill>
                  <w14:solidFill>
                    <w14:schemeClr w14:val="tx1"/>
                  </w14:solidFill>
                </w14:textFill>
              </w:rPr>
              <w:t>污水流入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1个8m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的</w:t>
            </w:r>
            <w:r>
              <w:rPr>
                <w:rFonts w:hint="default" w:ascii="Times New Roman" w:hAnsi="Times New Roman" w:eastAsia="宋体" w:cs="Times New Roman"/>
                <w:color w:val="000000" w:themeColor="text1"/>
                <w:sz w:val="24"/>
                <w:szCs w:val="24"/>
                <w:lang w:eastAsia="zh-CN"/>
                <w14:textFill>
                  <w14:solidFill>
                    <w14:schemeClr w14:val="tx1"/>
                  </w14:solidFill>
                </w14:textFill>
              </w:rPr>
              <w:t>污水收集池，</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定期由桃源村的村民张秀红清淘作为菜地用水，不外排。原有项目厨房泔水产生量约为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0.002</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zh-CN" w:eastAsia="zh-CN"/>
                <w14:textFill>
                  <w14:solidFill>
                    <w14:schemeClr w14:val="tx1"/>
                  </w14:solidFill>
                </w14:textFill>
              </w:rPr>
              <w:t>3</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/d（</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0.6</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zh-CN" w:eastAsia="zh-CN"/>
                <w14:textFill>
                  <w14:solidFill>
                    <w14:schemeClr w14:val="tx1"/>
                  </w14:solidFill>
                </w14:textFill>
              </w:rPr>
              <w:t>3</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/a），项目在厨房设置1只泔水收集桶，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2只废水收集桶，</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收集后由桃源村的村民张秀红拉走作家畜饲料，不外排。生活污水产生量为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180.6</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zh-CN"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p>
          <w:p w14:paraId="4342329C">
            <w:pPr>
              <w:keepNext w:val="0"/>
              <w:keepLines w:val="0"/>
              <w:pageBreakBefore w:val="0"/>
              <w:widowControl/>
              <w:kinsoku/>
              <w:wordWrap/>
              <w:overflowPunct/>
              <w:topLinePunct w:val="0"/>
              <w:autoSpaceDE/>
              <w:autoSpaceDN/>
              <w:bidi w:val="0"/>
              <w:adjustRightInd w:val="0"/>
              <w:snapToGrid w:val="0"/>
              <w:spacing w:after="0" w:afterLines="0"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zh-CN"/>
                <w14:textFill>
                  <w14:solidFill>
                    <w14:schemeClr w14:val="tx1"/>
                  </w14:solidFill>
                </w14:textFill>
              </w:rPr>
            </w:pPr>
            <w:r>
              <w:rPr>
                <w:rFonts w:hint="default" w:ascii="Times New Roman" w:hAnsi="Times New Roman" w:eastAsia="宋体" w:cs="Times New Roman"/>
                <w:b/>
                <w:bCs/>
                <w:color w:val="000000" w:themeColor="text1"/>
                <w:sz w:val="24"/>
                <w:szCs w:val="24"/>
                <w:lang w:val="zh-CN"/>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lang w:val="zh-CN"/>
                <w14:textFill>
                  <w14:solidFill>
                    <w14:schemeClr w14:val="tx1"/>
                  </w14:solidFill>
                </w14:textFill>
              </w:rPr>
              <w:t>）</w:t>
            </w:r>
            <w:r>
              <w:rPr>
                <w:rFonts w:hint="default" w:ascii="Times New Roman" w:hAnsi="Times New Roman" w:eastAsia="宋体" w:cs="Times New Roman"/>
                <w:b/>
                <w:bCs/>
                <w:color w:val="000000" w:themeColor="text1"/>
                <w:sz w:val="24"/>
                <w:szCs w:val="24"/>
                <w:lang w:val="zh-CN" w:eastAsia="zh-CN"/>
                <w14:textFill>
                  <w14:solidFill>
                    <w14:schemeClr w14:val="tx1"/>
                  </w14:solidFill>
                </w14:textFill>
              </w:rPr>
              <w:t>水压、气密试验补充水</w:t>
            </w:r>
          </w:p>
          <w:p w14:paraId="562ADF7E">
            <w:pPr>
              <w:keepNext w:val="0"/>
              <w:keepLines w:val="0"/>
              <w:pageBreakBefore w:val="0"/>
              <w:widowControl/>
              <w:kinsoku/>
              <w:wordWrap/>
              <w:overflowPunct/>
              <w:topLinePunct w:val="0"/>
              <w:autoSpaceDE/>
              <w:autoSpaceDN/>
              <w:bidi w:val="0"/>
              <w:adjustRightInd w:val="0"/>
              <w:snapToGrid w:val="0"/>
              <w:spacing w:after="0" w:afterLines="0"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项目不产生工艺废水，仅在水压试验用水工序需要定期补充新鲜水。项目在水压试验、气密试验装置旁各设置了1个容积为1m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的循环水池，循环使用，不外排，定期补充新鲜水0.4</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zh-CN"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/d（100</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zh-CN"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p>
          <w:p w14:paraId="7A791052">
            <w:pPr>
              <w:pStyle w:val="2"/>
              <w:widowControl w:val="0"/>
              <w:adjustRightInd w:val="0"/>
              <w:snapToGrid/>
              <w:spacing w:before="0" w:after="0" w:line="360" w:lineRule="auto"/>
              <w:ind w:right="0" w:firstLine="482" w:firstLineChars="200"/>
              <w:jc w:val="left"/>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（3）噪声</w:t>
            </w:r>
          </w:p>
          <w:p w14:paraId="2D77D50E">
            <w:pPr>
              <w:adjustRightIn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w:t>
            </w:r>
            <w:r>
              <w:rPr>
                <w:rFonts w:hint="default" w:ascii="Times New Roman" w:hAnsi="Times New Roman" w:cs="Times New Roman"/>
                <w:color w:val="000000" w:themeColor="text1"/>
                <w:sz w:val="24"/>
                <w:lang w:val="zh-CN"/>
                <w14:textFill>
                  <w14:solidFill>
                    <w14:schemeClr w14:val="tx1"/>
                  </w14:solidFill>
                </w14:textFill>
              </w:rPr>
              <w:t>噪声为设备运行时产生的机械噪声，均为持续性排放源。项目将所有设备置于生产车间内，充分利用厂房隔声；同时通过选用低噪声设备，在各设备底部设置减振垫、加装消声器</w:t>
            </w:r>
            <w:r>
              <w:rPr>
                <w:rFonts w:hint="default" w:ascii="Times New Roman" w:hAnsi="Times New Roman" w:cs="Times New Roman"/>
                <w:color w:val="000000" w:themeColor="text1"/>
                <w:sz w:val="24"/>
                <w14:textFill>
                  <w14:solidFill>
                    <w14:schemeClr w14:val="tx1"/>
                  </w14:solidFill>
                </w14:textFill>
              </w:rPr>
              <w:t>。</w:t>
            </w:r>
          </w:p>
          <w:p w14:paraId="0ADB9CBB">
            <w:pPr>
              <w:keepNext w:val="0"/>
              <w:keepLines w:val="0"/>
              <w:pageBreakBefore w:val="0"/>
              <w:widowControl w:val="0"/>
              <w:wordWrap/>
              <w:topLinePunct w:val="0"/>
              <w:bidi w:val="0"/>
              <w:adjustRightInd w:val="0"/>
              <w:snapToGrid w:val="0"/>
              <w:spacing w:after="0" w:afterLines="0" w:line="360" w:lineRule="auto"/>
              <w:ind w:firstLine="480" w:firstLineChars="200"/>
              <w:jc w:val="both"/>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w:t>
            </w:r>
            <w:r>
              <w:rPr>
                <w:rFonts w:hint="default" w:ascii="Times New Roman" w:hAnsi="Times New Roman" w:cs="Times New Roman"/>
                <w:color w:val="000000" w:themeColor="text1"/>
                <w:sz w:val="24"/>
                <w:lang w:eastAsia="zh-CN"/>
                <w14:textFill>
                  <w14:solidFill>
                    <w14:schemeClr w14:val="tx1"/>
                  </w14:solidFill>
                </w14:textFill>
              </w:rPr>
              <w:t>建设单位原有项目</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验收监测结果，</w:t>
            </w:r>
            <w:r>
              <w:rPr>
                <w:rFonts w:hint="default" w:ascii="Times New Roman" w:hAnsi="Times New Roman" w:cs="Times New Roman"/>
                <w:color w:val="000000" w:themeColor="text1"/>
                <w:sz w:val="24"/>
                <w:lang w:eastAsia="zh-CN"/>
                <w14:textFill>
                  <w14:solidFill>
                    <w14:schemeClr w14:val="tx1"/>
                  </w14:solidFill>
                </w14:textFill>
              </w:rPr>
              <w:t>原有</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项目</w:t>
            </w:r>
            <w:r>
              <w:rPr>
                <w:rFonts w:hint="default" w:ascii="Times New Roman" w:hAnsi="Times New Roman" w:eastAsia="宋体" w:cs="Times New Roman"/>
                <w:color w:val="000000" w:themeColor="text1"/>
                <w:sz w:val="24"/>
                <w:szCs w:val="24"/>
                <w:lang w:eastAsia="zh-CN"/>
                <w14:textFill>
                  <w14:solidFill>
                    <w14:schemeClr w14:val="tx1"/>
                  </w14:solidFill>
                </w14:textFill>
              </w:rPr>
              <w:t>厂界噪声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4个测点</w:t>
            </w:r>
            <w:r>
              <w:rPr>
                <w:rFonts w:hint="default" w:ascii="Times New Roman" w:hAnsi="Times New Roman" w:eastAsia="宋体" w:cs="Times New Roman"/>
                <w:color w:val="000000" w:themeColor="text1"/>
                <w:sz w:val="24"/>
                <w:szCs w:val="24"/>
                <w14:textFill>
                  <w14:solidFill>
                    <w14:schemeClr w14:val="tx1"/>
                  </w14:solidFill>
                </w14:textFill>
              </w:rPr>
              <w:t>昼间测值范围为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52.6</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59.3</w:t>
            </w:r>
            <w:r>
              <w:rPr>
                <w:rFonts w:hint="default" w:ascii="Times New Roman" w:hAnsi="Times New Roman" w:eastAsia="宋体" w:cs="Times New Roman"/>
                <w:color w:val="000000" w:themeColor="text1"/>
                <w:sz w:val="24"/>
                <w:szCs w:val="24"/>
                <w14:textFill>
                  <w14:solidFill>
                    <w14:schemeClr w14:val="tx1"/>
                  </w14:solidFill>
                </w14:textFill>
              </w:rPr>
              <w:t>dB</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default" w:ascii="Times New Roman" w:hAnsi="Times New Roman" w:eastAsia="宋体" w:cs="Times New Roman"/>
                <w:color w:val="000000" w:themeColor="text1"/>
                <w:sz w:val="24"/>
                <w:szCs w:val="24"/>
                <w:lang w:eastAsia="zh-CN"/>
                <w14:textFill>
                  <w14:solidFill>
                    <w14:schemeClr w14:val="tx1"/>
                  </w14:solidFill>
                </w14:textFill>
              </w:rPr>
              <w:t>），夜</w:t>
            </w:r>
            <w:r>
              <w:rPr>
                <w:rFonts w:hint="default" w:ascii="Times New Roman" w:hAnsi="Times New Roman" w:eastAsia="宋体" w:cs="Times New Roman"/>
                <w:color w:val="000000" w:themeColor="text1"/>
                <w:sz w:val="24"/>
                <w:szCs w:val="24"/>
                <w14:textFill>
                  <w14:solidFill>
                    <w14:schemeClr w14:val="tx1"/>
                  </w14:solidFill>
                </w14:textFill>
              </w:rPr>
              <w:t>间测值范围为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43.6</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49.2</w:t>
            </w:r>
            <w:r>
              <w:rPr>
                <w:rFonts w:hint="default" w:ascii="Times New Roman" w:hAnsi="Times New Roman" w:eastAsia="宋体" w:cs="Times New Roman"/>
                <w:color w:val="000000" w:themeColor="text1"/>
                <w:sz w:val="24"/>
                <w:szCs w:val="24"/>
                <w14:textFill>
                  <w14:solidFill>
                    <w14:schemeClr w14:val="tx1"/>
                  </w14:solidFill>
                </w14:textFill>
              </w:rPr>
              <w:t>dB</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,符合</w:t>
            </w:r>
            <w:r>
              <w:rPr>
                <w:rFonts w:hint="default" w:ascii="Times New Roman" w:hAnsi="Times New Roman" w:eastAsia="宋体" w:cs="Times New Roman"/>
                <w:color w:val="000000" w:themeColor="text1"/>
                <w:sz w:val="24"/>
                <w:szCs w:val="24"/>
                <w:lang w:eastAsia="zh-CN"/>
                <w14:textFill>
                  <w14:solidFill>
                    <w14:schemeClr w14:val="tx1"/>
                  </w14:solidFill>
                </w14:textFill>
              </w:rPr>
              <w:t>《工业企业厂界环境噪声排放标准》(GB12348—2008)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eastAsia="zh-CN"/>
                <w14:textFill>
                  <w14:solidFill>
                    <w14:schemeClr w14:val="tx1"/>
                  </w14:solidFill>
                </w14:textFill>
              </w:rPr>
              <w:t>类区标准</w:t>
            </w:r>
            <w:r>
              <w:rPr>
                <w:rFonts w:hint="default" w:ascii="Times New Roman" w:hAnsi="Times New Roman" w:eastAsia="宋体" w:cs="Times New Roman"/>
                <w:color w:val="000000" w:themeColor="text1"/>
                <w:sz w:val="24"/>
                <w:szCs w:val="24"/>
                <w14:textFill>
                  <w14:solidFill>
                    <w14:schemeClr w14:val="tx1"/>
                  </w14:solidFill>
                </w14:textFill>
              </w:rPr>
              <w:t>限值要求</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2D439058">
            <w:pPr>
              <w:keepNext w:val="0"/>
              <w:keepLines w:val="0"/>
              <w:pageBreakBefore w:val="0"/>
              <w:widowControl w:val="0"/>
              <w:wordWrap/>
              <w:topLinePunct w:val="0"/>
              <w:bidi w:val="0"/>
              <w:adjustRightInd w:val="0"/>
              <w:snapToGrid w:val="0"/>
              <w:spacing w:after="0" w:afterLines="0" w:line="360" w:lineRule="auto"/>
              <w:ind w:firstLine="482" w:firstLineChars="200"/>
              <w:jc w:val="both"/>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）固废</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14:textFill>
                  <w14:solidFill>
                    <w14:schemeClr w14:val="tx1"/>
                  </w14:solidFill>
                </w14:textFill>
              </w:rPr>
              <w:t xml:space="preserve">  </w:t>
            </w:r>
          </w:p>
          <w:p w14:paraId="13EE7491">
            <w:pPr>
              <w:keepNext w:val="0"/>
              <w:keepLines w:val="0"/>
              <w:pageBreakBefore w:val="0"/>
              <w:widowControl/>
              <w:kinsoku/>
              <w:wordWrap/>
              <w:overflowPunct/>
              <w:topLinePunct w:val="0"/>
              <w:autoSpaceDE/>
              <w:autoSpaceDN/>
              <w:bidi w:val="0"/>
              <w:adjustRightInd w:val="0"/>
              <w:snapToGrid w:val="0"/>
              <w:spacing w:after="0" w:afterLines="0"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1）生活垃圾</w:t>
            </w:r>
          </w:p>
          <w:p w14:paraId="329130A3">
            <w:pPr>
              <w:keepNext w:val="0"/>
              <w:keepLines w:val="0"/>
              <w:pageBreakBefore w:val="0"/>
              <w:widowControl/>
              <w:kinsoku/>
              <w:wordWrap/>
              <w:overflowPunct/>
              <w:topLinePunct w:val="0"/>
              <w:autoSpaceDE/>
              <w:autoSpaceDN/>
              <w:bidi w:val="0"/>
              <w:adjustRightInd w:val="0"/>
              <w:snapToGrid w:val="0"/>
              <w:spacing w:after="0" w:afterLines="0" w:line="360" w:lineRule="auto"/>
              <w:ind w:firstLine="480" w:firstLineChars="200"/>
              <w:jc w:val="both"/>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zh-CN"/>
                <w14:textFill>
                  <w14:solidFill>
                    <w14:schemeClr w14:val="tx1"/>
                  </w14:solidFill>
                </w14:textFill>
              </w:rPr>
              <w:t>项目劳动定员</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zh-CN"/>
                <w14:textFill>
                  <w14:solidFill>
                    <w14:schemeClr w14:val="tx1"/>
                  </w14:solidFill>
                </w14:textFill>
              </w:rPr>
              <w:t>人，生活垃圾</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按每人每天生活垃圾产生量按</w:t>
            </w:r>
            <w:r>
              <w:rPr>
                <w:rFonts w:hint="eastAsia" w:cs="Times New Roman"/>
                <w:color w:val="000000" w:themeColor="text1"/>
                <w:sz w:val="24"/>
                <w:szCs w:val="24"/>
                <w:lang w:val="en-US" w:eastAsia="zh-CN"/>
                <w14:textFill>
                  <w14:solidFill>
                    <w14:schemeClr w14:val="tx1"/>
                  </w14:solidFill>
                </w14:textFill>
              </w:rPr>
              <w:t>0.5</w:t>
            </w:r>
            <w:r>
              <w:rPr>
                <w:rFonts w:hint="default" w:ascii="Times New Roman" w:hAnsi="Times New Roman" w:eastAsia="宋体" w:cs="Times New Roman"/>
                <w:color w:val="000000" w:themeColor="text1"/>
                <w:sz w:val="24"/>
                <w:szCs w:val="24"/>
                <w:lang w:val="zh-CN"/>
                <w14:textFill>
                  <w14:solidFill>
                    <w14:schemeClr w14:val="tx1"/>
                  </w14:solidFill>
                </w14:textFill>
              </w:rPr>
              <w:t>kg</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4"/>
                <w:lang w:val="zh-CN"/>
                <w14:textFill>
                  <w14:solidFill>
                    <w14:schemeClr w14:val="tx1"/>
                  </w14:solidFill>
                </w14:textFill>
              </w:rPr>
              <w:t>人·d</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4"/>
                <w:lang w:val="zh-CN"/>
                <w14:textFill>
                  <w14:solidFill>
                    <w14:schemeClr w14:val="tx1"/>
                  </w14:solidFill>
                </w14:textFill>
              </w:rPr>
              <w:t>计，生活垃圾产生量为</w:t>
            </w:r>
            <w:r>
              <w:rPr>
                <w:rFonts w:hint="eastAsia" w:cs="Times New Roman"/>
                <w:color w:val="000000" w:themeColor="text1"/>
                <w:sz w:val="24"/>
                <w:szCs w:val="24"/>
                <w:lang w:val="en-US" w:eastAsia="zh-CN"/>
                <w14:textFill>
                  <w14:solidFill>
                    <w14:schemeClr w14:val="tx1"/>
                  </w14:solidFill>
                </w14:textFill>
              </w:rPr>
              <w:t>7.5</w:t>
            </w:r>
            <w:r>
              <w:rPr>
                <w:rFonts w:hint="default" w:ascii="Times New Roman" w:hAnsi="Times New Roman" w:eastAsia="宋体" w:cs="Times New Roman"/>
                <w:color w:val="000000" w:themeColor="text1"/>
                <w:sz w:val="24"/>
                <w:szCs w:val="24"/>
                <w:lang w:val="zh-CN"/>
                <w14:textFill>
                  <w14:solidFill>
                    <w14:schemeClr w14:val="tx1"/>
                  </w14:solidFill>
                </w14:textFill>
              </w:rPr>
              <w:t>kg/d（</w:t>
            </w:r>
            <w:r>
              <w:rPr>
                <w:rFonts w:hint="eastAsia" w:cs="Times New Roman"/>
                <w:color w:val="000000" w:themeColor="text1"/>
                <w:sz w:val="24"/>
                <w:szCs w:val="24"/>
                <w:lang w:val="en-US" w:eastAsia="zh-CN"/>
                <w14:textFill>
                  <w14:solidFill>
                    <w14:schemeClr w14:val="tx1"/>
                  </w14:solidFill>
                </w14:textFill>
              </w:rPr>
              <w:t>1.875</w:t>
            </w:r>
            <w:r>
              <w:rPr>
                <w:rFonts w:hint="default" w:ascii="Times New Roman" w:hAnsi="Times New Roman" w:eastAsia="宋体" w:cs="Times New Roman"/>
                <w:color w:val="000000" w:themeColor="text1"/>
                <w:sz w:val="24"/>
                <w:szCs w:val="24"/>
                <w:lang w:val="zh-CN"/>
                <w14:textFill>
                  <w14:solidFill>
                    <w14:schemeClr w14:val="tx1"/>
                  </w14:solidFill>
                </w14:textFill>
              </w:rPr>
              <w:t>t/a）</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。项目在厂区设置了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2个大</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垃圾收集桶，产生的生活垃圾进入该垃圾桶收集，</w:t>
            </w:r>
            <w:r>
              <w:rPr>
                <w:rFonts w:hint="default" w:ascii="Times New Roman" w:hAnsi="Times New Roman" w:eastAsia="宋体" w:cs="Times New Roman"/>
                <w:color w:val="000000" w:themeColor="text1"/>
                <w:sz w:val="24"/>
                <w:szCs w:val="24"/>
                <w:lang w:val="zh-CN"/>
                <w14:textFill>
                  <w14:solidFill>
                    <w14:schemeClr w14:val="tx1"/>
                  </w14:solidFill>
                </w14:textFill>
              </w:rPr>
              <w:t>由当地环卫部门</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定期</w:t>
            </w:r>
            <w:r>
              <w:rPr>
                <w:rFonts w:hint="default" w:ascii="Times New Roman" w:hAnsi="Times New Roman" w:eastAsia="宋体" w:cs="Times New Roman"/>
                <w:color w:val="000000" w:themeColor="text1"/>
                <w:sz w:val="24"/>
                <w:szCs w:val="24"/>
                <w:lang w:val="zh-CN"/>
                <w14:textFill>
                  <w14:solidFill>
                    <w14:schemeClr w14:val="tx1"/>
                  </w14:solidFill>
                </w14:textFill>
              </w:rPr>
              <w:t>清运处置</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1127E795">
            <w:pPr>
              <w:keepNext w:val="0"/>
              <w:keepLines w:val="0"/>
              <w:pageBreakBefore w:val="0"/>
              <w:widowControl/>
              <w:kinsoku/>
              <w:wordWrap/>
              <w:overflowPunct/>
              <w:topLinePunct w:val="0"/>
              <w:autoSpaceDE/>
              <w:autoSpaceDN/>
              <w:bidi w:val="0"/>
              <w:adjustRightInd w:val="0"/>
              <w:snapToGrid w:val="0"/>
              <w:spacing w:after="0" w:afterLines="0"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2）化粪池污泥</w:t>
            </w:r>
          </w:p>
          <w:p w14:paraId="3E2621D4">
            <w:pPr>
              <w:widowControl/>
              <w:spacing w:line="360" w:lineRule="auto"/>
              <w:ind w:firstLine="480" w:firstLineChars="200"/>
              <w:jc w:val="left"/>
              <w:rPr>
                <w:rFonts w:hint="eastAsia"/>
                <w:b w:val="0"/>
                <w:bCs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参考《建筑给水排水设计规范》</w:t>
            </w:r>
            <w:r>
              <w:rPr>
                <w:rFonts w:hint="eastAsia"/>
                <w:b w:val="0"/>
                <w:bCs w:val="0"/>
                <w:color w:val="000000" w:themeColor="text1"/>
                <w:sz w:val="24"/>
                <w:lang w:eastAsia="zh-CN"/>
                <w14:textFill>
                  <w14:solidFill>
                    <w14:schemeClr w14:val="tx1"/>
                  </w14:solidFill>
                </w14:textFill>
              </w:rPr>
              <w:t>（</w:t>
            </w:r>
            <w:r>
              <w:rPr>
                <w:rFonts w:hint="eastAsia"/>
                <w:b w:val="0"/>
                <w:bCs w:val="0"/>
                <w:color w:val="000000" w:themeColor="text1"/>
                <w:sz w:val="24"/>
                <w:lang w:val="en-US" w:eastAsia="zh-CN"/>
                <w14:textFill>
                  <w14:solidFill>
                    <w14:schemeClr w14:val="tx1"/>
                  </w14:solidFill>
                </w14:textFill>
              </w:rPr>
              <w:t>GB50015-2019</w:t>
            </w:r>
            <w:r>
              <w:rPr>
                <w:rFonts w:hint="eastAsia"/>
                <w:b w:val="0"/>
                <w:bCs w:val="0"/>
                <w:color w:val="000000" w:themeColor="text1"/>
                <w:sz w:val="24"/>
                <w:lang w:eastAsia="zh-CN"/>
                <w14:textFill>
                  <w14:solidFill>
                    <w14:schemeClr w14:val="tx1"/>
                  </w14:solidFill>
                </w14:textFill>
              </w:rPr>
              <w:t>）</w:t>
            </w:r>
            <w:r>
              <w:rPr>
                <w:rFonts w:hint="eastAsia"/>
                <w:b w:val="0"/>
                <w:bCs w:val="0"/>
                <w:color w:val="000000" w:themeColor="text1"/>
                <w:sz w:val="24"/>
                <w14:textFill>
                  <w14:solidFill>
                    <w14:schemeClr w14:val="tx1"/>
                  </w14:solidFill>
                </w14:textFill>
              </w:rPr>
              <w:t>中</w:t>
            </w:r>
            <w:r>
              <w:rPr>
                <w:rFonts w:hint="eastAsia"/>
                <w:b w:val="0"/>
                <w:bCs w:val="0"/>
                <w:color w:val="000000" w:themeColor="text1"/>
                <w:sz w:val="24"/>
                <w:lang w:eastAsia="zh-CN"/>
                <w14:textFill>
                  <w14:solidFill>
                    <w14:schemeClr w14:val="tx1"/>
                  </w14:solidFill>
                </w14:textFill>
              </w:rPr>
              <w:t>“</w:t>
            </w:r>
            <w:r>
              <w:rPr>
                <w:rFonts w:hint="eastAsia"/>
                <w:b w:val="0"/>
                <w:bCs w:val="0"/>
                <w:color w:val="000000" w:themeColor="text1"/>
                <w:sz w:val="24"/>
                <w14:textFill>
                  <w14:solidFill>
                    <w14:schemeClr w14:val="tx1"/>
                  </w14:solidFill>
                </w14:textFill>
              </w:rPr>
              <w:t>表4.8.6-2化粪池每人每日计算污泥量</w:t>
            </w:r>
            <w:r>
              <w:rPr>
                <w:rFonts w:hint="eastAsia"/>
                <w:b w:val="0"/>
                <w:bCs w:val="0"/>
                <w:color w:val="000000" w:themeColor="text1"/>
                <w:sz w:val="24"/>
                <w:lang w:eastAsia="zh-CN"/>
                <w14:textFill>
                  <w14:solidFill>
                    <w14:schemeClr w14:val="tx1"/>
                  </w14:solidFill>
                </w14:textFill>
              </w:rPr>
              <w:t>”</w:t>
            </w:r>
            <w:r>
              <w:rPr>
                <w:rFonts w:hint="eastAsia"/>
                <w:b w:val="0"/>
                <w:bCs w:val="0"/>
                <w:color w:val="000000" w:themeColor="text1"/>
                <w:sz w:val="24"/>
                <w14:textFill>
                  <w14:solidFill>
                    <w14:schemeClr w14:val="tx1"/>
                  </w14:solidFill>
                </w14:textFill>
              </w:rPr>
              <w:t>，确定化粪池污泥产生系数为0.</w:t>
            </w:r>
            <w:r>
              <w:rPr>
                <w:rFonts w:hint="eastAsia"/>
                <w:b w:val="0"/>
                <w:bCs w:val="0"/>
                <w:color w:val="000000" w:themeColor="text1"/>
                <w:sz w:val="24"/>
                <w:lang w:val="en-US" w:eastAsia="zh-CN"/>
                <w14:textFill>
                  <w14:solidFill>
                    <w14:schemeClr w14:val="tx1"/>
                  </w14:solidFill>
                </w14:textFill>
              </w:rPr>
              <w:t>2</w:t>
            </w:r>
            <w:r>
              <w:rPr>
                <w:rFonts w:hint="eastAsia"/>
                <w:b w:val="0"/>
                <w:bCs w:val="0"/>
                <w:color w:val="000000" w:themeColor="text1"/>
                <w:sz w:val="24"/>
                <w14:textFill>
                  <w14:solidFill>
                    <w14:schemeClr w14:val="tx1"/>
                  </w14:solidFill>
                </w14:textFill>
              </w:rPr>
              <w:t>L/人·d，化粪池污泥产生量为</w:t>
            </w:r>
            <w:r>
              <w:rPr>
                <w:rFonts w:hint="eastAsia"/>
                <w:b w:val="0"/>
                <w:bCs w:val="0"/>
                <w:color w:val="000000" w:themeColor="text1"/>
                <w:sz w:val="24"/>
                <w:lang w:val="en-US" w:eastAsia="zh-CN"/>
                <w14:textFill>
                  <w14:solidFill>
                    <w14:schemeClr w14:val="tx1"/>
                  </w14:solidFill>
                </w14:textFill>
              </w:rPr>
              <w:t>0.75</w:t>
            </w:r>
            <w:r>
              <w:rPr>
                <w:rFonts w:hint="eastAsia"/>
                <w:b w:val="0"/>
                <w:bCs w:val="0"/>
                <w:color w:val="000000" w:themeColor="text1"/>
                <w:sz w:val="24"/>
                <w14:textFill>
                  <w14:solidFill>
                    <w14:schemeClr w14:val="tx1"/>
                  </w14:solidFill>
                </w14:textFill>
              </w:rPr>
              <w:t>t/a，</w:t>
            </w:r>
            <w:r>
              <w:rPr>
                <w:rFonts w:hint="eastAsia"/>
                <w:b w:val="0"/>
                <w:bCs w:val="0"/>
                <w:color w:val="000000" w:themeColor="text1"/>
                <w:sz w:val="24"/>
                <w:lang w:eastAsia="zh-CN"/>
                <w14:textFill>
                  <w14:solidFill>
                    <w14:schemeClr w14:val="tx1"/>
                  </w14:solidFill>
                </w14:textFill>
              </w:rPr>
              <w:t>定期委托环卫部门清掏处置</w:t>
            </w:r>
            <w:r>
              <w:rPr>
                <w:rFonts w:hint="eastAsia"/>
                <w:b w:val="0"/>
                <w:bCs w:val="0"/>
                <w:color w:val="000000" w:themeColor="text1"/>
                <w:sz w:val="24"/>
                <w14:textFill>
                  <w14:solidFill>
                    <w14:schemeClr w14:val="tx1"/>
                  </w14:solidFill>
                </w14:textFill>
              </w:rPr>
              <w:t>。</w:t>
            </w:r>
          </w:p>
          <w:p w14:paraId="0CBBAEDC">
            <w:pPr>
              <w:keepNext w:val="0"/>
              <w:keepLines w:val="0"/>
              <w:pageBreakBefore w:val="0"/>
              <w:widowControl/>
              <w:kinsoku/>
              <w:wordWrap/>
              <w:overflowPunct/>
              <w:topLinePunct w:val="0"/>
              <w:autoSpaceDE/>
              <w:autoSpaceDN/>
              <w:bidi w:val="0"/>
              <w:adjustRightInd w:val="0"/>
              <w:snapToGrid w:val="0"/>
              <w:spacing w:after="0" w:afterLines="0"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lang w:val="zh-CN"/>
                <w14:textFill>
                  <w14:solidFill>
                    <w14:schemeClr w14:val="tx1"/>
                  </w14:solidFill>
                </w14:textFill>
              </w:rPr>
              <w:t>）焚烧炉废渣</w:t>
            </w:r>
          </w:p>
          <w:p w14:paraId="65B7873C">
            <w:pPr>
              <w:widowControl/>
              <w:spacing w:line="360" w:lineRule="auto"/>
              <w:ind w:firstLine="480" w:firstLineChars="200"/>
              <w:jc w:val="left"/>
              <w:rPr>
                <w:rFonts w:hint="default" w:ascii="Times New Roman" w:hAnsi="Times New Roman" w:eastAsia="宋体" w:cs="Times New Roman"/>
                <w:color w:val="000000" w:themeColor="text1"/>
                <w:sz w:val="24"/>
                <w:szCs w:val="24"/>
                <w:lang w:val="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原有</w:t>
            </w:r>
            <w:r>
              <w:rPr>
                <w:rFonts w:hint="default" w:ascii="Times New Roman" w:hAnsi="Times New Roman" w:eastAsia="宋体" w:cs="Times New Roman"/>
                <w:color w:val="000000" w:themeColor="text1"/>
                <w:sz w:val="24"/>
                <w14:textFill>
                  <w14:solidFill>
                    <w14:schemeClr w14:val="tx1"/>
                  </w14:solidFill>
                </w14:textFill>
              </w:rPr>
              <w:t>项目焚烧炉</w:t>
            </w:r>
            <w:r>
              <w:rPr>
                <w:rFonts w:hint="default" w:ascii="Times New Roman" w:hAnsi="Times New Roman" w:eastAsia="宋体" w:cs="Times New Roman"/>
                <w:color w:val="000000" w:themeColor="text1"/>
                <w:sz w:val="24"/>
                <w:lang w:eastAsia="zh-CN"/>
                <w14:textFill>
                  <w14:solidFill>
                    <w14:schemeClr w14:val="tx1"/>
                  </w14:solidFill>
                </w14:textFill>
              </w:rPr>
              <w:t>、固化炉</w:t>
            </w:r>
            <w:r>
              <w:rPr>
                <w:rFonts w:hint="default" w:ascii="Times New Roman" w:hAnsi="Times New Roman" w:eastAsia="宋体" w:cs="Times New Roman"/>
                <w:color w:val="000000" w:themeColor="text1"/>
                <w:sz w:val="24"/>
                <w14:textFill>
                  <w14:solidFill>
                    <w14:schemeClr w14:val="tx1"/>
                  </w14:solidFill>
                </w14:textFill>
              </w:rPr>
              <w:t>采用生物质颗粒作为燃料，年用量为</w:t>
            </w:r>
            <w:r>
              <w:rPr>
                <w:rFonts w:hint="default" w:ascii="Times New Roman" w:hAnsi="Times New Roman" w:eastAsia="宋体" w:cs="Times New Roman"/>
                <w:color w:val="000000" w:themeColor="text1"/>
                <w:sz w:val="24"/>
                <w:lang w:val="en-US" w:eastAsia="zh-CN"/>
                <w14:textFill>
                  <w14:solidFill>
                    <w14:schemeClr w14:val="tx1"/>
                  </w14:solidFill>
                </w14:textFill>
              </w:rPr>
              <w:t>300.3</w:t>
            </w:r>
            <w:r>
              <w:rPr>
                <w:rFonts w:hint="default" w:ascii="Times New Roman" w:hAnsi="Times New Roman" w:eastAsia="宋体" w:cs="Times New Roman"/>
                <w:color w:val="000000" w:themeColor="text1"/>
                <w:sz w:val="24"/>
                <w14:textFill>
                  <w14:solidFill>
                    <w14:schemeClr w14:val="tx1"/>
                  </w14:solidFill>
                </w14:textFill>
              </w:rPr>
              <w:t>t/a，</w:t>
            </w:r>
            <w:r>
              <w:rPr>
                <w:rFonts w:hint="default" w:ascii="Times New Roman" w:hAnsi="Times New Roman" w:eastAsia="宋体" w:cs="Times New Roman"/>
                <w:color w:val="000000" w:themeColor="text1"/>
                <w:sz w:val="24"/>
                <w:lang w:eastAsia="zh-CN"/>
                <w14:textFill>
                  <w14:solidFill>
                    <w14:schemeClr w14:val="tx1"/>
                  </w14:solidFill>
                </w14:textFill>
              </w:rPr>
              <w:t>根据生物质成分报告，灰分占比为</w:t>
            </w:r>
            <w:r>
              <w:rPr>
                <w:rFonts w:hint="default" w:ascii="Times New Roman" w:hAnsi="Times New Roman" w:eastAsia="宋体" w:cs="Times New Roman"/>
                <w:color w:val="000000" w:themeColor="text1"/>
                <w:sz w:val="24"/>
                <w:lang w:val="en-US" w:eastAsia="zh-CN"/>
                <w14:textFill>
                  <w14:solidFill>
                    <w14:schemeClr w14:val="tx1"/>
                  </w14:solidFill>
                </w14:textFill>
              </w:rPr>
              <w:t>4.02%，</w:t>
            </w:r>
            <w:r>
              <w:rPr>
                <w:rFonts w:hint="default" w:ascii="Times New Roman" w:hAnsi="Times New Roman" w:eastAsia="宋体" w:cs="Times New Roman"/>
                <w:color w:val="000000" w:themeColor="text1"/>
                <w:sz w:val="24"/>
                <w14:textFill>
                  <w14:solidFill>
                    <w14:schemeClr w14:val="tx1"/>
                  </w14:solidFill>
                </w14:textFill>
              </w:rPr>
              <w:t>则项目焚烧炉燃灰量为12.07206t/a</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zh-CN"/>
                <w14:textFill>
                  <w14:solidFill>
                    <w14:schemeClr w14:val="tx1"/>
                  </w14:solidFill>
                </w14:textFill>
              </w:rPr>
              <w:t>原有</w:t>
            </w:r>
            <w:r>
              <w:rPr>
                <w:rFonts w:hint="eastAsia" w:cs="Times New Roman"/>
                <w:color w:val="000000" w:themeColor="text1"/>
                <w:sz w:val="24"/>
                <w:szCs w:val="24"/>
                <w:lang w:val="zh-CN"/>
                <w14:textFill>
                  <w14:solidFill>
                    <w14:schemeClr w14:val="tx1"/>
                  </w14:solidFill>
                </w14:textFill>
              </w:rPr>
              <w:t>项目</w:t>
            </w: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委托玉溪福辉新型建材有限公司定期前来清运作为</w:t>
            </w:r>
            <w:r>
              <w:rPr>
                <w:rFonts w:hint="eastAsia" w:cs="Times New Roman"/>
                <w:color w:val="000000" w:themeColor="text1"/>
                <w:sz w:val="24"/>
                <w:szCs w:val="24"/>
                <w:u w:val="none"/>
                <w:lang w:val="en-US" w:eastAsia="zh-CN"/>
                <w14:textFill>
                  <w14:solidFill>
                    <w14:schemeClr w14:val="tx1"/>
                  </w14:solidFill>
                </w14:textFill>
              </w:rPr>
              <w:t>原料使用</w:t>
            </w: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并签订了协议。</w:t>
            </w:r>
          </w:p>
          <w:p w14:paraId="422487CF">
            <w:pPr>
              <w:keepNext w:val="0"/>
              <w:keepLines w:val="0"/>
              <w:pageBreakBefore w:val="0"/>
              <w:widowControl/>
              <w:kinsoku/>
              <w:wordWrap/>
              <w:overflowPunct/>
              <w:topLinePunct w:val="0"/>
              <w:autoSpaceDE/>
              <w:autoSpaceDN/>
              <w:bidi w:val="0"/>
              <w:adjustRightInd w:val="0"/>
              <w:snapToGrid w:val="0"/>
              <w:spacing w:after="0" w:afterLines="0"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3）除尘灰</w:t>
            </w:r>
          </w:p>
          <w:p w14:paraId="022EB416">
            <w:pPr>
              <w:keepNext w:val="0"/>
              <w:keepLines w:val="0"/>
              <w:pageBreakBefore w:val="0"/>
              <w:widowControl w:val="0"/>
              <w:kinsoku w:val="0"/>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根据上文核算，焚烧炉、固化炉除尘灰为13.101716t/a，抛丸除锈</w:t>
            </w:r>
            <w:r>
              <w:rPr>
                <w:rFonts w:hint="default" w:ascii="Times New Roman" w:hAnsi="Times New Roman" w:eastAsia="宋体" w:cs="Times New Roman"/>
                <w:color w:val="000000" w:themeColor="text1"/>
                <w:sz w:val="24"/>
                <w:lang w:val="en-US" w:eastAsia="zh-CN"/>
                <w14:textFill>
                  <w14:solidFill>
                    <w14:schemeClr w14:val="tx1"/>
                  </w14:solidFill>
                </w14:textFill>
              </w:rPr>
              <w:t>灰渣</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default" w:ascii="Times New Roman" w:hAnsi="Times New Roman" w:cs="Times New Roman"/>
                <w:color w:val="000000" w:themeColor="text1"/>
                <w:sz w:val="24"/>
                <w:szCs w:val="24"/>
                <w:lang w:val="en-US" w:eastAsia="zh-CN"/>
                <w14:textFill>
                  <w14:solidFill>
                    <w14:schemeClr w14:val="tx1"/>
                  </w14:solidFill>
                </w14:textFill>
              </w:rPr>
              <w:t>3.391215t/a，喷塑除尘灰为5.32t/a。</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总收集粉尘量约为21.7608t/a。 </w:t>
            </w:r>
          </w:p>
          <w:p w14:paraId="3397BF12">
            <w:pPr>
              <w:keepNext w:val="0"/>
              <w:keepLines w:val="0"/>
              <w:pageBreakBefore w:val="0"/>
              <w:widowControl/>
              <w:kinsoku/>
              <w:wordWrap/>
              <w:overflowPunct/>
              <w:topLinePunct w:val="0"/>
              <w:autoSpaceDE/>
              <w:autoSpaceDN/>
              <w:bidi w:val="0"/>
              <w:adjustRightInd w:val="0"/>
              <w:snapToGrid w:val="0"/>
              <w:spacing w:after="0" w:afterLines="0"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原有项目抛丸除锈灰渣</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委托红塔区欣荣废旧物资回收站定期前来清运，并签订了协议。喷涂过程中除尘灰，收集后同逸落在喷涂间底部的环氧聚酯粉末一起，与新的环氧聚酯粉末按比例混合，重新进行利用。焚烧炉除尘灰同焚烧炉灰渣一同委托清运处置。</w:t>
            </w:r>
          </w:p>
          <w:p w14:paraId="52703C0D">
            <w:pPr>
              <w:keepNext w:val="0"/>
              <w:keepLines w:val="0"/>
              <w:pageBreakBefore w:val="0"/>
              <w:widowControl/>
              <w:kinsoku/>
              <w:wordWrap/>
              <w:overflowPunct/>
              <w:topLinePunct w:val="0"/>
              <w:autoSpaceDE/>
              <w:autoSpaceDN/>
              <w:bidi w:val="0"/>
              <w:adjustRightInd w:val="0"/>
              <w:snapToGrid w:val="0"/>
              <w:spacing w:after="0" w:afterLines="0"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4）废</w:t>
            </w:r>
            <w:r>
              <w:rPr>
                <w:rFonts w:hint="eastAsia" w:ascii="Times New Roman" w:hAnsi="Times New Roman" w:cs="Times New Roman"/>
                <w:b/>
                <w:bCs/>
                <w:color w:val="000000" w:themeColor="text1"/>
                <w:sz w:val="24"/>
                <w:szCs w:val="24"/>
                <w:lang w:val="en-US" w:eastAsia="zh-CN"/>
                <w14:textFill>
                  <w14:solidFill>
                    <w14:schemeClr w14:val="tx1"/>
                  </w14:solidFill>
                </w14:textFill>
              </w:rPr>
              <w:t>液化石油气钢瓶</w:t>
            </w:r>
          </w:p>
          <w:p w14:paraId="0E00E8A9">
            <w:pPr>
              <w:keepNext w:val="0"/>
              <w:keepLines w:val="0"/>
              <w:pageBreakBefore w:val="0"/>
              <w:widowControl/>
              <w:kinsoku/>
              <w:wordWrap/>
              <w:overflowPunct/>
              <w:topLinePunct w:val="0"/>
              <w:autoSpaceDE/>
              <w:autoSpaceDN/>
              <w:bidi w:val="0"/>
              <w:adjustRightInd w:val="0"/>
              <w:snapToGrid w:val="0"/>
              <w:spacing w:after="0" w:afterLines="0"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项目在初检、容积测定、水压试验、复检、气密性检测等工序检查出一定的不合格</w:t>
            </w:r>
            <w:r>
              <w:rPr>
                <w:rFonts w:hint="eastAsia" w:ascii="Times New Roman" w:hAnsi="Times New Roman" w:cs="Times New Roman"/>
                <w:color w:val="000000" w:themeColor="text1"/>
                <w:sz w:val="24"/>
                <w:szCs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，作报废</w:t>
            </w:r>
            <w:r>
              <w:rPr>
                <w:rFonts w:hint="eastAsia" w:ascii="Times New Roman" w:hAnsi="Times New Roman" w:cs="Times New Roman"/>
                <w:color w:val="000000" w:themeColor="text1"/>
                <w:sz w:val="24"/>
                <w:szCs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处理。根据原有项目竣工环境保护验收资源，项目经检验不合格的</w:t>
            </w:r>
            <w:r>
              <w:rPr>
                <w:rFonts w:hint="eastAsia" w:ascii="Times New Roman" w:hAnsi="Times New Roman" w:cs="Times New Roman"/>
                <w:color w:val="000000" w:themeColor="text1"/>
                <w:sz w:val="24"/>
                <w:szCs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数量为500只/年，约9.5t，项目委托红塔区欣荣废旧物资回收站定期前来收购，并签订了协议。</w:t>
            </w:r>
          </w:p>
          <w:p w14:paraId="14E1274C">
            <w:pPr>
              <w:widowControl/>
              <w:spacing w:line="360" w:lineRule="auto"/>
              <w:ind w:firstLine="482" w:firstLineChars="200"/>
              <w:jc w:val="left"/>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5）</w:t>
            </w:r>
            <w:r>
              <w:rPr>
                <w:rFonts w:hint="default" w:ascii="Times New Roman" w:hAnsi="Times New Roman" w:eastAsia="宋体" w:cs="Times New Roman"/>
                <w:b/>
                <w:bCs/>
                <w:color w:val="000000" w:themeColor="text1"/>
                <w:kern w:val="0"/>
                <w:sz w:val="24"/>
                <w:lang w:eastAsia="zh-CN"/>
                <w14:textFill>
                  <w14:solidFill>
                    <w14:schemeClr w14:val="tx1"/>
                  </w14:solidFill>
                </w14:textFill>
              </w:rPr>
              <w:t>废瓶阀</w:t>
            </w:r>
          </w:p>
          <w:p w14:paraId="7FCF326F">
            <w:pPr>
              <w:keepNext w:val="0"/>
              <w:keepLines w:val="0"/>
              <w:pageBreakBefore w:val="0"/>
              <w:widowControl/>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废瓶阀年产生量约10万个，质量约为0.2 kg/个，则产生量为30 t/a</w:t>
            </w:r>
            <w:r>
              <w:rPr>
                <w:rFonts w:hint="eastAsia" w:cs="Times New Roman"/>
                <w:color w:val="000000" w:themeColor="text1"/>
                <w:sz w:val="24"/>
                <w:lang w:val="en-US" w:eastAsia="zh-CN"/>
                <w14:textFill>
                  <w14:solidFill>
                    <w14:schemeClr w14:val="tx1"/>
                  </w14:solidFill>
                </w14:textFill>
              </w:rPr>
              <w:t>，定期外售废品回收商处置</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785DDFEA">
            <w:pPr>
              <w:widowControl/>
              <w:spacing w:line="360" w:lineRule="auto"/>
              <w:ind w:firstLine="482" w:firstLineChars="200"/>
              <w:jc w:val="left"/>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6）</w:t>
            </w:r>
            <w:r>
              <w:rPr>
                <w:rFonts w:hint="default" w:ascii="Times New Roman" w:hAnsi="Times New Roman" w:eastAsia="宋体" w:cs="Times New Roman"/>
                <w:b/>
                <w:bCs/>
                <w:color w:val="000000" w:themeColor="text1"/>
                <w:kern w:val="0"/>
                <w:sz w:val="24"/>
                <w:lang w:eastAsia="zh-CN"/>
                <w14:textFill>
                  <w14:solidFill>
                    <w14:schemeClr w14:val="tx1"/>
                  </w14:solidFill>
                </w14:textFill>
              </w:rPr>
              <w:t>废钢丸</w:t>
            </w:r>
          </w:p>
          <w:p w14:paraId="321971F4">
            <w:pPr>
              <w:keepNext w:val="0"/>
              <w:keepLines w:val="0"/>
              <w:pageBreakBefore w:val="0"/>
              <w:widowControl/>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抛丸环节钢丸使用量约为10t/a，则废钢丸产生量为10t/a</w:t>
            </w:r>
            <w:r>
              <w:rPr>
                <w:rFonts w:hint="eastAsia" w:cs="Times New Roman"/>
                <w:color w:val="000000" w:themeColor="text1"/>
                <w:sz w:val="24"/>
                <w:lang w:val="en-US" w:eastAsia="zh-CN"/>
                <w14:textFill>
                  <w14:solidFill>
                    <w14:schemeClr w14:val="tx1"/>
                  </w14:solidFill>
                </w14:textFill>
              </w:rPr>
              <w:t>，定期外售废品回收商处置</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6E511B3D">
            <w:pPr>
              <w:pStyle w:val="2"/>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5）废活性炭</w:t>
            </w:r>
          </w:p>
          <w:p w14:paraId="5E4F1A9A">
            <w:pPr>
              <w:pStyle w:val="2"/>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9"/>
              <w:rPr>
                <w:rFonts w:hint="default" w:ascii="Times New Roman" w:hAnsi="Times New Roman" w:eastAsia="宋体" w:cs="Times New Roman"/>
                <w:color w:val="000000" w:themeColor="text1"/>
                <w:sz w:val="24"/>
                <w:szCs w:val="24"/>
                <w:lang w:val="zh-CN"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eastAsia" w:ascii="Times New Roman" w:hAnsi="Times New Roman" w:cs="Times New Roman"/>
                <w:color w:val="000000" w:themeColor="text1"/>
                <w:sz w:val="24"/>
                <w:szCs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经喷涂后，转移至固化房进行加热，此过程产生的有机废气通过与焚烧炉共用一套脉冲布袋除尘设施+活性炭吸附装置进行处理，由此产生一定量的废活性炭。</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废活性炭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产生量约为0.4kg/d（100kg/a），</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废活性炭用收集桶收集后，委托有资质单位清运处置。</w:t>
            </w:r>
          </w:p>
          <w:p w14:paraId="21456954">
            <w:pPr>
              <w:pStyle w:val="146"/>
              <w:ind w:firstLine="482"/>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5、</w:t>
            </w:r>
            <w:r>
              <w:rPr>
                <w:rFonts w:hint="eastAsia"/>
                <w:b/>
                <w:bCs/>
                <w:color w:val="000000" w:themeColor="text1"/>
                <w:lang w:val="en-US" w:eastAsia="zh-CN"/>
                <w14:textFill>
                  <w14:solidFill>
                    <w14:schemeClr w14:val="tx1"/>
                  </w14:solidFill>
                </w14:textFill>
              </w:rPr>
              <w:t>原有项目存在的问题及</w:t>
            </w:r>
            <w:r>
              <w:rPr>
                <w:rFonts w:hint="eastAsia" w:cs="Times New Roman"/>
                <w:b/>
                <w:bCs/>
                <w:color w:val="000000" w:themeColor="text1"/>
                <w:lang w:val="en-US" w:eastAsia="zh-CN"/>
                <w14:textFill>
                  <w14:solidFill>
                    <w14:schemeClr w14:val="tx1"/>
                  </w14:solidFill>
                </w14:textFill>
              </w:rPr>
              <w:t>“以新带老”措施</w:t>
            </w:r>
          </w:p>
          <w:p w14:paraId="33EC453A">
            <w:pPr>
              <w:pStyle w:val="44"/>
              <w:pageBreakBefore w:val="0"/>
              <w:kinsoku/>
              <w:overflowPunct/>
              <w:topLinePunct w:val="0"/>
              <w:bidi w:val="0"/>
              <w:ind w:left="0" w:leftChars="0" w:right="0" w:firstLine="480"/>
              <w:rPr>
                <w:rFonts w:hint="eastAsia"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cs="Times New Roman"/>
                <w:b w:val="0"/>
                <w:bCs w:val="0"/>
                <w:snapToGrid w:val="0"/>
                <w:color w:val="000000" w:themeColor="text1"/>
                <w:sz w:val="24"/>
                <w:szCs w:val="24"/>
                <w:lang w:val="en-US" w:eastAsia="zh-CN"/>
                <w14:textFill>
                  <w14:solidFill>
                    <w14:schemeClr w14:val="tx1"/>
                  </w14:solidFill>
                </w14:textFill>
              </w:rPr>
              <w:t>公司原有项目位于玉溪市红塔区高仓街道桃源村哨坡，</w:t>
            </w:r>
            <w:r>
              <w:rPr>
                <w:rFonts w:hint="default" w:ascii="Times New Roman" w:hAnsi="Times New Roman" w:eastAsia="新宋体" w:cs="Times New Roman"/>
                <w:color w:val="000000" w:themeColor="text1"/>
                <w:kern w:val="0"/>
                <w:sz w:val="24"/>
                <w14:textFill>
                  <w14:solidFill>
                    <w14:schemeClr w14:val="tx1"/>
                  </w14:solidFill>
                </w14:textFill>
              </w:rPr>
              <w:t>经核实</w:t>
            </w:r>
            <w:r>
              <w:rPr>
                <w:rFonts w:hint="default" w:ascii="Times New Roman" w:hAnsi="Times New Roman" w:eastAsia="新宋体" w:cs="Times New Roman"/>
                <w:color w:val="000000" w:themeColor="text1"/>
                <w:kern w:val="0"/>
                <w:sz w:val="24"/>
                <w:lang w:eastAsia="zh-CN"/>
                <w14:textFill>
                  <w14:solidFill>
                    <w14:schemeClr w14:val="tx1"/>
                  </w14:solidFill>
                </w14:textFill>
              </w:rPr>
              <w:t>原</w:t>
            </w:r>
            <w:r>
              <w:rPr>
                <w:rFonts w:hint="default" w:ascii="Times New Roman" w:hAnsi="Times New Roman" w:eastAsia="新宋体" w:cs="Times New Roman"/>
                <w:color w:val="000000" w:themeColor="text1"/>
                <w:kern w:val="0"/>
                <w:sz w:val="24"/>
                <w14:textFill>
                  <w14:solidFill>
                    <w14:schemeClr w14:val="tx1"/>
                  </w14:solidFill>
                </w14:textFill>
              </w:rPr>
              <w:t>有项目环保手续齐全，</w:t>
            </w:r>
            <w:r>
              <w:rPr>
                <w:rFonts w:hint="default" w:ascii="Times New Roman" w:hAnsi="Times New Roman" w:eastAsia="新宋体" w:cs="Times New Roman"/>
                <w:color w:val="000000" w:themeColor="text1"/>
                <w:sz w:val="24"/>
                <w:lang w:eastAsia="zh-CN"/>
                <w14:textFill>
                  <w14:solidFill>
                    <w14:schemeClr w14:val="tx1"/>
                  </w14:solidFill>
                </w14:textFill>
              </w:rPr>
              <w:t>原有</w:t>
            </w:r>
            <w:r>
              <w:rPr>
                <w:rFonts w:hint="default" w:ascii="Times New Roman" w:hAnsi="Times New Roman" w:eastAsia="新宋体" w:cs="Times New Roman"/>
                <w:color w:val="000000" w:themeColor="text1"/>
                <w:kern w:val="0"/>
                <w:sz w:val="24"/>
                <w14:textFill>
                  <w14:solidFill>
                    <w14:schemeClr w14:val="tx1"/>
                  </w14:solidFill>
                </w14:textFill>
              </w:rPr>
              <w:t>项目</w:t>
            </w:r>
            <w:r>
              <w:rPr>
                <w:rFonts w:hint="default" w:ascii="Times New Roman" w:hAnsi="Times New Roman" w:cs="Times New Roman"/>
                <w:color w:val="000000" w:themeColor="text1"/>
                <w:sz w:val="24"/>
                <w14:textFill>
                  <w14:solidFill>
                    <w14:schemeClr w14:val="tx1"/>
                  </w14:solidFill>
                </w14:textFill>
              </w:rPr>
              <w:t>所产生的废气、废水、噪声及固废等均采取了合理的污染防治措施，各污染物达标排放，且</w:t>
            </w:r>
            <w:r>
              <w:rPr>
                <w:rFonts w:hint="default" w:ascii="Times New Roman" w:hAnsi="Times New Roman" w:eastAsia="新宋体" w:cs="Times New Roman"/>
                <w:color w:val="000000" w:themeColor="text1"/>
                <w:kern w:val="0"/>
                <w:sz w:val="24"/>
                <w:lang w:eastAsia="zh-CN"/>
                <w14:textFill>
                  <w14:solidFill>
                    <w14:schemeClr w14:val="tx1"/>
                  </w14:solidFill>
                </w14:textFill>
              </w:rPr>
              <w:t>原</w:t>
            </w:r>
            <w:r>
              <w:rPr>
                <w:rFonts w:hint="default" w:ascii="Times New Roman" w:hAnsi="Times New Roman" w:cs="Times New Roman"/>
                <w:color w:val="000000" w:themeColor="text1"/>
                <w:sz w:val="24"/>
                <w14:textFill>
                  <w14:solidFill>
                    <w14:schemeClr w14:val="tx1"/>
                  </w14:solidFill>
                </w14:textFill>
              </w:rPr>
              <w:t>有项目已通过竣工环保验收</w:t>
            </w:r>
            <w:r>
              <w:rPr>
                <w:rFonts w:hint="eastAsia" w:cs="Times New Roman"/>
                <w:color w:val="000000" w:themeColor="text1"/>
                <w:sz w:val="24"/>
                <w:lang w:eastAsia="zh-CN"/>
                <w14:textFill>
                  <w14:solidFill>
                    <w14:schemeClr w14:val="tx1"/>
                  </w14:solidFill>
                </w14:textFill>
              </w:rPr>
              <w:t>。</w:t>
            </w:r>
            <w:r>
              <w:rPr>
                <w:rFonts w:hint="eastAsia" w:cs="Times New Roman"/>
                <w:b w:val="0"/>
                <w:bCs w:val="0"/>
                <w:color w:val="000000" w:themeColor="text1"/>
                <w:sz w:val="24"/>
                <w:lang w:val="en-US" w:eastAsia="zh-CN"/>
                <w14:textFill>
                  <w14:solidFill>
                    <w14:schemeClr w14:val="tx1"/>
                  </w14:solidFill>
                </w14:textFill>
              </w:rPr>
              <w:t>根据调查，原有项目自竣工验收后无重大变动产生，原有项目</w:t>
            </w:r>
            <w:r>
              <w:rPr>
                <w:rFonts w:hint="eastAsia" w:ascii="Times New Roman" w:hAnsi="Times New Roman" w:cs="Times New Roman"/>
                <w:color w:val="000000" w:themeColor="text1"/>
                <w:sz w:val="24"/>
                <w:lang w:val="en-US" w:eastAsia="zh-CN"/>
                <w14:textFill>
                  <w14:solidFill>
                    <w14:schemeClr w14:val="tx1"/>
                  </w14:solidFill>
                </w14:textFill>
              </w:rPr>
              <w:t>未发生</w:t>
            </w:r>
            <w:r>
              <w:rPr>
                <w:rFonts w:hint="default" w:ascii="Times New Roman" w:hAnsi="Times New Roman" w:eastAsia="宋体" w:cs="Times New Roman"/>
                <w:color w:val="000000" w:themeColor="text1"/>
                <w:sz w:val="24"/>
                <w:lang w:val="en-US" w:eastAsia="zh-CN"/>
                <w14:textFill>
                  <w14:solidFill>
                    <w14:schemeClr w14:val="tx1"/>
                  </w14:solidFill>
                </w14:textFill>
              </w:rPr>
              <w:t>环境污染投诉、纠纷，不存在因环境问题受到的环境保护主管部门处罚</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无原有环境问题。</w:t>
            </w:r>
          </w:p>
          <w:p w14:paraId="592BE911">
            <w:pPr>
              <w:pStyle w:val="2"/>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9"/>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为进一步降低项目对外环境的影响，项目迁建后建设单位优化治理设施，相较原有项目作出如下调整：</w:t>
            </w:r>
            <w:r>
              <w:rPr>
                <w:rFonts w:hint="eastAsia" w:cs="Times New Roman"/>
                <w:b/>
                <w:bCs/>
                <w:color w:val="000000" w:themeColor="text1"/>
                <w:sz w:val="24"/>
                <w:lang w:val="en-US" w:eastAsia="zh-CN"/>
                <w14:textFill>
                  <w14:solidFill>
                    <w14:schemeClr w14:val="tx1"/>
                  </w14:solidFill>
                </w14:textFill>
              </w:rPr>
              <w:t>①</w:t>
            </w:r>
            <w:r>
              <w:rPr>
                <w:rFonts w:hint="eastAsia" w:cs="Times New Roman"/>
                <w:b w:val="0"/>
                <w:bCs w:val="0"/>
                <w:color w:val="000000" w:themeColor="text1"/>
                <w:sz w:val="24"/>
                <w:lang w:val="en-US" w:eastAsia="zh-CN"/>
                <w14:textFill>
                  <w14:solidFill>
                    <w14:schemeClr w14:val="tx1"/>
                  </w14:solidFill>
                </w14:textFill>
              </w:rPr>
              <w:t>原有项目焚烧炉废气、烘干固化废气经集气罩收集后采用“布袋除尘器+活性炭吸附”处理后通过15m高排气筒DA001排放；本项目焚烧炉废气经“旋风+布袋+喷淋”设施处理后通过15m高排气筒DA001排放；</w:t>
            </w:r>
            <w:r>
              <w:rPr>
                <w:rFonts w:hint="eastAsia" w:cs="Times New Roman"/>
                <w:b w:val="0"/>
                <w:bCs/>
                <w:color w:val="000000" w:themeColor="text1"/>
                <w:kern w:val="24"/>
                <w:sz w:val="24"/>
                <w:szCs w:val="24"/>
                <w:lang w:val="en-US" w:eastAsia="zh-CN"/>
                <w14:textFill>
                  <w14:solidFill>
                    <w14:schemeClr w14:val="tx1"/>
                  </w14:solidFill>
                </w14:textFill>
              </w:rPr>
              <w:t>烘干固化废气引入焚烧炉通过热力焚烧后同焚烧废气进入废气处理系统处理后一同并入排气筒DA001一同排放</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cs="Times New Roman"/>
                <w:b/>
                <w:bCs/>
                <w:color w:val="000000" w:themeColor="text1"/>
                <w:sz w:val="24"/>
                <w:lang w:val="en-US" w:eastAsia="zh-CN"/>
                <w14:textFill>
                  <w14:solidFill>
                    <w14:schemeClr w14:val="tx1"/>
                  </w14:solidFill>
                </w14:textFill>
              </w:rPr>
              <w:t>②</w:t>
            </w:r>
            <w:r>
              <w:rPr>
                <w:rFonts w:hint="eastAsia" w:cs="Times New Roman"/>
                <w:b w:val="0"/>
                <w:bCs w:val="0"/>
                <w:color w:val="000000" w:themeColor="text1"/>
                <w:sz w:val="24"/>
                <w:szCs w:val="24"/>
                <w:lang w:val="en-US" w:eastAsia="zh-CN"/>
                <w14:textFill>
                  <w14:solidFill>
                    <w14:schemeClr w14:val="tx1"/>
                  </w14:solidFill>
                </w14:textFill>
              </w:rPr>
              <w:t>原有项目焚烧环节、烘干固化环节均采用生物质作为燃烧；本项目焚烧环节采用生物质燃料，烘干环节燃料调整为液化石油气。</w:t>
            </w:r>
            <w:r>
              <w:rPr>
                <w:rFonts w:hint="eastAsia" w:cs="Times New Roman"/>
                <w:b/>
                <w:bCs/>
                <w:color w:val="000000" w:themeColor="text1"/>
                <w:sz w:val="24"/>
                <w:lang w:val="en-US" w:eastAsia="zh-CN"/>
                <w14:textFill>
                  <w14:solidFill>
                    <w14:schemeClr w14:val="tx1"/>
                  </w14:solidFill>
                </w14:textFill>
              </w:rPr>
              <w:t>③</w:t>
            </w:r>
            <w:r>
              <w:rPr>
                <w:rFonts w:hint="eastAsia" w:cs="Times New Roman"/>
                <w:b w:val="0"/>
                <w:bCs w:val="0"/>
                <w:color w:val="000000" w:themeColor="text1"/>
                <w:sz w:val="24"/>
                <w:lang w:val="en-US" w:eastAsia="zh-CN"/>
                <w14:textFill>
                  <w14:solidFill>
                    <w14:schemeClr w14:val="tx1"/>
                  </w14:solidFill>
                </w14:textFill>
              </w:rPr>
              <w:t>原有项目抛丸除锈、喷塑粉尘经各自设置的1套布袋除尘设施处理后无组织排放，本项目抛丸除锈、喷塑粉尘经各自设置的1套脉冲滤筒除尘设施（共2套）处理后通过15m高排气筒DA002排放。</w:t>
            </w:r>
            <w:r>
              <w:rPr>
                <w:rFonts w:hint="eastAsia" w:cs="Times New Roman"/>
                <w:b/>
                <w:bCs/>
                <w:color w:val="000000" w:themeColor="text1"/>
                <w:sz w:val="24"/>
                <w:lang w:val="en-US" w:eastAsia="zh-CN"/>
                <w14:textFill>
                  <w14:solidFill>
                    <w14:schemeClr w14:val="tx1"/>
                  </w14:solidFill>
                </w14:textFill>
              </w:rPr>
              <w:t>④</w:t>
            </w:r>
            <w:r>
              <w:rPr>
                <w:rFonts w:hint="eastAsia" w:cs="Times New Roman"/>
                <w:b w:val="0"/>
                <w:bCs w:val="0"/>
                <w:color w:val="000000" w:themeColor="text1"/>
                <w:sz w:val="24"/>
                <w:lang w:val="en-US" w:eastAsia="zh-CN"/>
                <w14:textFill>
                  <w14:solidFill>
                    <w14:schemeClr w14:val="tx1"/>
                  </w14:solidFill>
                </w14:textFill>
              </w:rPr>
              <w:t>原有项目设备老旧，本项目外购新设备进行建设。</w:t>
            </w:r>
            <w:r>
              <w:rPr>
                <w:rFonts w:hint="eastAsia" w:cs="Times New Roman"/>
                <w:b/>
                <w:bCs/>
                <w:color w:val="000000" w:themeColor="text1"/>
                <w:sz w:val="24"/>
                <w:lang w:val="en-US" w:eastAsia="zh-CN"/>
                <w14:textFill>
                  <w14:solidFill>
                    <w14:schemeClr w14:val="tx1"/>
                  </w14:solidFill>
                </w14:textFill>
              </w:rPr>
              <w:t>⑤</w:t>
            </w:r>
            <w:r>
              <w:rPr>
                <w:rFonts w:hint="eastAsia" w:cs="Times New Roman"/>
                <w:b w:val="0"/>
                <w:bCs w:val="0"/>
                <w:color w:val="000000" w:themeColor="text1"/>
                <w:sz w:val="24"/>
                <w:lang w:val="en-US" w:eastAsia="zh-CN"/>
                <w14:textFill>
                  <w14:solidFill>
                    <w14:schemeClr w14:val="tx1"/>
                  </w14:solidFill>
                </w14:textFill>
              </w:rPr>
              <w:t>原有项目生活污水经收集后用于周边菜地用水，厨房泔水作为家畜饲料使用；本项目生活污水经化粪池处理后进入一体化生活污水处理设施处理后用于周边绿化用水。</w:t>
            </w:r>
          </w:p>
          <w:p w14:paraId="4361F2D6">
            <w:pPr>
              <w:pStyle w:val="146"/>
              <w:ind w:firstLine="482"/>
              <w:rPr>
                <w:rFonts w:hint="default" w:ascii="Times New Roman" w:hAnsi="Times New Roman" w:eastAsia="宋体" w:cs="Times New Roman"/>
                <w:b/>
                <w:bCs/>
                <w:color w:val="000000" w:themeColor="text1"/>
                <w:szCs w:val="24"/>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w:t>
            </w:r>
            <w:r>
              <w:rPr>
                <w:rFonts w:hint="default" w:ascii="Times New Roman" w:hAnsi="Times New Roman" w:cs="Times New Roman"/>
                <w:b/>
                <w:bCs/>
                <w:color w:val="000000" w:themeColor="text1"/>
                <w:szCs w:val="24"/>
                <w:lang w:val="en-US" w:eastAsia="zh-CN"/>
                <w14:textFill>
                  <w14:solidFill>
                    <w14:schemeClr w14:val="tx1"/>
                  </w14:solidFill>
                </w14:textFill>
              </w:rPr>
              <w:t>、三本账核算</w:t>
            </w:r>
          </w:p>
          <w:p w14:paraId="3F2BD7EB">
            <w:pPr>
              <w:pStyle w:val="2"/>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9"/>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本项目建设完成后</w:t>
            </w:r>
            <w:r>
              <w:rPr>
                <w:rFonts w:hint="default" w:ascii="Times New Roman" w:hAnsi="Times New Roman" w:eastAsia="宋体" w:cs="Times New Roman"/>
                <w:color w:val="000000" w:themeColor="text1"/>
                <w:sz w:val="24"/>
                <w14:textFill>
                  <w14:solidFill>
                    <w14:schemeClr w14:val="tx1"/>
                  </w14:solidFill>
                </w14:textFill>
              </w:rPr>
              <w:t>污染物变化情况如下。</w:t>
            </w:r>
          </w:p>
          <w:p w14:paraId="7A63E71B">
            <w:pPr>
              <w:pStyle w:val="19"/>
              <w:adjustRightIn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2-1</w:t>
            </w:r>
            <w:r>
              <w:rPr>
                <w:rFonts w:hint="default" w:ascii="Times New Roman" w:hAnsi="Times New Roman" w:cs="Times New Roman"/>
                <w:b/>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color w:val="000000" w:themeColor="text1"/>
                <w:sz w:val="21"/>
                <w:szCs w:val="21"/>
                <w14:textFill>
                  <w14:solidFill>
                    <w14:schemeClr w14:val="tx1"/>
                  </w14:solidFill>
                </w14:textFill>
              </w:rPr>
              <w:t xml:space="preserve">  本项目污染物“三本账”核算一览表</w:t>
            </w:r>
          </w:p>
          <w:tbl>
            <w:tblPr>
              <w:tblStyle w:val="34"/>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
              <w:gridCol w:w="1176"/>
              <w:gridCol w:w="1165"/>
              <w:gridCol w:w="1346"/>
              <w:gridCol w:w="1359"/>
              <w:gridCol w:w="1346"/>
              <w:gridCol w:w="1471"/>
            </w:tblGrid>
            <w:tr w14:paraId="13C7E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restart"/>
                  <w:noWrap w:val="0"/>
                  <w:vAlign w:val="center"/>
                </w:tcPr>
                <w:p w14:paraId="7FAF583F">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类别</w:t>
                  </w:r>
                </w:p>
              </w:tc>
              <w:tc>
                <w:tcPr>
                  <w:tcW w:w="700" w:type="pct"/>
                  <w:vMerge w:val="restart"/>
                  <w:noWrap w:val="0"/>
                  <w:vAlign w:val="center"/>
                </w:tcPr>
                <w:p w14:paraId="5FFC8EDF">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污染物</w:t>
                  </w:r>
                </w:p>
              </w:tc>
              <w:tc>
                <w:tcPr>
                  <w:tcW w:w="693" w:type="pct"/>
                  <w:noWrap w:val="0"/>
                  <w:vAlign w:val="center"/>
                </w:tcPr>
                <w:p w14:paraId="3DB192BC">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现有项目产排情况</w:t>
                  </w:r>
                </w:p>
              </w:tc>
              <w:tc>
                <w:tcPr>
                  <w:tcW w:w="801" w:type="pct"/>
                  <w:noWrap w:val="0"/>
                  <w:vAlign w:val="center"/>
                </w:tcPr>
                <w:p w14:paraId="6CE44C82">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拟建项目产排情况</w:t>
                  </w:r>
                </w:p>
              </w:tc>
              <w:tc>
                <w:tcPr>
                  <w:tcW w:w="809" w:type="pct"/>
                  <w:vMerge w:val="restart"/>
                  <w:noWrap w:val="0"/>
                  <w:vAlign w:val="center"/>
                </w:tcPr>
                <w:p w14:paraId="1BC4EAB0">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“以新带老”削减量</w:t>
                  </w:r>
                </w:p>
                <w:p w14:paraId="6C2AABDD">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（t/a）</w:t>
                  </w:r>
                </w:p>
              </w:tc>
              <w:tc>
                <w:tcPr>
                  <w:tcW w:w="801" w:type="pct"/>
                  <w:vMerge w:val="restart"/>
                  <w:noWrap w:val="0"/>
                  <w:vAlign w:val="center"/>
                </w:tcPr>
                <w:p w14:paraId="011B3E72">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lang w:eastAsia="zh-CN"/>
                      <w14:textFill>
                        <w14:solidFill>
                          <w14:schemeClr w14:val="tx1"/>
                        </w14:solidFill>
                      </w14:textFill>
                    </w:rPr>
                    <w:t>建设完成后</w:t>
                  </w:r>
                  <w:r>
                    <w:rPr>
                      <w:rFonts w:hint="default" w:ascii="Times New Roman" w:hAnsi="Times New Roman" w:cs="Times New Roman"/>
                      <w:b/>
                      <w:bCs/>
                      <w:color w:val="000000" w:themeColor="text1"/>
                      <w:szCs w:val="21"/>
                      <w14:textFill>
                        <w14:solidFill>
                          <w14:schemeClr w14:val="tx1"/>
                        </w14:solidFill>
                      </w14:textFill>
                    </w:rPr>
                    <w:t>排放量</w:t>
                  </w:r>
                </w:p>
                <w:p w14:paraId="56E76F85">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（t/a）</w:t>
                  </w:r>
                </w:p>
              </w:tc>
              <w:tc>
                <w:tcPr>
                  <w:tcW w:w="875" w:type="pct"/>
                  <w:vMerge w:val="restart"/>
                  <w:noWrap w:val="0"/>
                  <w:vAlign w:val="center"/>
                </w:tcPr>
                <w:p w14:paraId="08F71A17">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排放变化增减量（t/a）</w:t>
                  </w:r>
                </w:p>
              </w:tc>
            </w:tr>
            <w:tr w14:paraId="14CBF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continue"/>
                  <w:noWrap w:val="0"/>
                  <w:vAlign w:val="center"/>
                </w:tcPr>
                <w:p w14:paraId="613223E2">
                  <w:pPr>
                    <w:jc w:val="center"/>
                    <w:rPr>
                      <w:rFonts w:hint="default" w:ascii="Times New Roman" w:hAnsi="Times New Roman" w:cs="Times New Roman"/>
                      <w:color w:val="000000" w:themeColor="text1"/>
                      <w:szCs w:val="21"/>
                      <w14:textFill>
                        <w14:solidFill>
                          <w14:schemeClr w14:val="tx1"/>
                        </w14:solidFill>
                      </w14:textFill>
                    </w:rPr>
                  </w:pPr>
                </w:p>
              </w:tc>
              <w:tc>
                <w:tcPr>
                  <w:tcW w:w="700" w:type="pct"/>
                  <w:vMerge w:val="continue"/>
                  <w:noWrap w:val="0"/>
                  <w:vAlign w:val="center"/>
                </w:tcPr>
                <w:p w14:paraId="2E9BE4B7">
                  <w:pPr>
                    <w:jc w:val="center"/>
                    <w:rPr>
                      <w:rFonts w:hint="default" w:ascii="Times New Roman" w:hAnsi="Times New Roman" w:cs="Times New Roman"/>
                      <w:color w:val="000000" w:themeColor="text1"/>
                      <w:szCs w:val="21"/>
                      <w14:textFill>
                        <w14:solidFill>
                          <w14:schemeClr w14:val="tx1"/>
                        </w14:solidFill>
                      </w14:textFill>
                    </w:rPr>
                  </w:pPr>
                </w:p>
              </w:tc>
              <w:tc>
                <w:tcPr>
                  <w:tcW w:w="693" w:type="pct"/>
                  <w:noWrap w:val="0"/>
                  <w:vAlign w:val="center"/>
                </w:tcPr>
                <w:p w14:paraId="5C3E2AAA">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排放量（t/a）</w:t>
                  </w:r>
                </w:p>
              </w:tc>
              <w:tc>
                <w:tcPr>
                  <w:tcW w:w="801" w:type="pct"/>
                  <w:noWrap w:val="0"/>
                  <w:vAlign w:val="center"/>
                </w:tcPr>
                <w:p w14:paraId="160F4662">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排放量（t/a）</w:t>
                  </w:r>
                </w:p>
              </w:tc>
              <w:tc>
                <w:tcPr>
                  <w:tcW w:w="809" w:type="pct"/>
                  <w:vMerge w:val="continue"/>
                  <w:noWrap w:val="0"/>
                  <w:vAlign w:val="center"/>
                </w:tcPr>
                <w:p w14:paraId="7194821F">
                  <w:pPr>
                    <w:jc w:val="center"/>
                    <w:rPr>
                      <w:rFonts w:hint="default" w:ascii="Times New Roman" w:hAnsi="Times New Roman" w:cs="Times New Roman"/>
                      <w:color w:val="000000" w:themeColor="text1"/>
                      <w:szCs w:val="21"/>
                      <w14:textFill>
                        <w14:solidFill>
                          <w14:schemeClr w14:val="tx1"/>
                        </w14:solidFill>
                      </w14:textFill>
                    </w:rPr>
                  </w:pPr>
                </w:p>
              </w:tc>
              <w:tc>
                <w:tcPr>
                  <w:tcW w:w="801" w:type="pct"/>
                  <w:vMerge w:val="continue"/>
                  <w:noWrap w:val="0"/>
                  <w:vAlign w:val="center"/>
                </w:tcPr>
                <w:p w14:paraId="4E5A5F3F">
                  <w:pPr>
                    <w:jc w:val="center"/>
                    <w:rPr>
                      <w:rFonts w:hint="default" w:ascii="Times New Roman" w:hAnsi="Times New Roman" w:cs="Times New Roman"/>
                      <w:color w:val="000000" w:themeColor="text1"/>
                      <w:szCs w:val="21"/>
                      <w14:textFill>
                        <w14:solidFill>
                          <w14:schemeClr w14:val="tx1"/>
                        </w14:solidFill>
                      </w14:textFill>
                    </w:rPr>
                  </w:pPr>
                </w:p>
              </w:tc>
              <w:tc>
                <w:tcPr>
                  <w:tcW w:w="875" w:type="pct"/>
                  <w:vMerge w:val="continue"/>
                  <w:noWrap w:val="0"/>
                  <w:vAlign w:val="center"/>
                </w:tcPr>
                <w:p w14:paraId="41C9AADD">
                  <w:pPr>
                    <w:jc w:val="center"/>
                    <w:rPr>
                      <w:rFonts w:hint="default" w:ascii="Times New Roman" w:hAnsi="Times New Roman" w:cs="Times New Roman"/>
                      <w:color w:val="000000" w:themeColor="text1"/>
                      <w:szCs w:val="21"/>
                      <w14:textFill>
                        <w14:solidFill>
                          <w14:schemeClr w14:val="tx1"/>
                        </w14:solidFill>
                      </w14:textFill>
                    </w:rPr>
                  </w:pPr>
                </w:p>
              </w:tc>
            </w:tr>
            <w:tr w14:paraId="56D9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9" w:type="pct"/>
                  <w:vMerge w:val="restart"/>
                  <w:noWrap w:val="0"/>
                  <w:vAlign w:val="center"/>
                </w:tcPr>
                <w:p w14:paraId="3C2E9DB7">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废气</w:t>
                  </w:r>
                </w:p>
              </w:tc>
              <w:tc>
                <w:tcPr>
                  <w:tcW w:w="700" w:type="pct"/>
                  <w:noWrap w:val="0"/>
                  <w:vAlign w:val="center"/>
                </w:tcPr>
                <w:p w14:paraId="382A401E">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颗粒物</w:t>
                  </w:r>
                </w:p>
              </w:tc>
              <w:tc>
                <w:tcPr>
                  <w:tcW w:w="693" w:type="pct"/>
                  <w:noWrap w:val="0"/>
                  <w:vAlign w:val="center"/>
                </w:tcPr>
                <w:p w14:paraId="3FEB5469">
                  <w:pPr>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0.93</w:t>
                  </w:r>
                  <w:r>
                    <w:rPr>
                      <w:rFonts w:hint="eastAsia" w:cs="Times New Roman"/>
                      <w:color w:val="000000" w:themeColor="text1"/>
                      <w:szCs w:val="21"/>
                      <w:lang w:val="en-US" w:eastAsia="zh-CN"/>
                      <w14:textFill>
                        <w14:solidFill>
                          <w14:schemeClr w14:val="tx1"/>
                        </w14:solidFill>
                      </w14:textFill>
                    </w:rPr>
                    <w:t>5</w:t>
                  </w:r>
                </w:p>
              </w:tc>
              <w:tc>
                <w:tcPr>
                  <w:tcW w:w="801" w:type="pct"/>
                  <w:noWrap w:val="0"/>
                  <w:vAlign w:val="center"/>
                </w:tcPr>
                <w:p w14:paraId="774A963B">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0.63</w:t>
                  </w:r>
                  <w:r>
                    <w:rPr>
                      <w:rFonts w:hint="eastAsia" w:cs="Times New Roman"/>
                      <w:color w:val="000000" w:themeColor="text1"/>
                      <w:szCs w:val="21"/>
                      <w:lang w:val="en-US" w:eastAsia="zh-CN"/>
                      <w14:textFill>
                        <w14:solidFill>
                          <w14:schemeClr w14:val="tx1"/>
                        </w14:solidFill>
                      </w14:textFill>
                    </w:rPr>
                    <w:t>7</w:t>
                  </w:r>
                </w:p>
              </w:tc>
              <w:tc>
                <w:tcPr>
                  <w:tcW w:w="809" w:type="pct"/>
                  <w:noWrap w:val="0"/>
                  <w:vAlign w:val="center"/>
                </w:tcPr>
                <w:p w14:paraId="1927ABCB">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0.93</w:t>
                  </w:r>
                  <w:r>
                    <w:rPr>
                      <w:rFonts w:hint="eastAsia" w:cs="Times New Roman"/>
                      <w:color w:val="000000" w:themeColor="text1"/>
                      <w:szCs w:val="21"/>
                      <w:lang w:val="en-US" w:eastAsia="zh-CN"/>
                      <w14:textFill>
                        <w14:solidFill>
                          <w14:schemeClr w14:val="tx1"/>
                        </w14:solidFill>
                      </w14:textFill>
                    </w:rPr>
                    <w:t>5</w:t>
                  </w:r>
                </w:p>
              </w:tc>
              <w:tc>
                <w:tcPr>
                  <w:tcW w:w="801" w:type="pct"/>
                  <w:noWrap w:val="0"/>
                  <w:vAlign w:val="center"/>
                </w:tcPr>
                <w:p w14:paraId="3426DB1C">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0.63</w:t>
                  </w:r>
                  <w:r>
                    <w:rPr>
                      <w:rFonts w:hint="eastAsia" w:cs="Times New Roman"/>
                      <w:color w:val="000000" w:themeColor="text1"/>
                      <w:szCs w:val="21"/>
                      <w:lang w:val="en-US" w:eastAsia="zh-CN"/>
                      <w14:textFill>
                        <w14:solidFill>
                          <w14:schemeClr w14:val="tx1"/>
                        </w14:solidFill>
                      </w14:textFill>
                    </w:rPr>
                    <w:t>7</w:t>
                  </w:r>
                </w:p>
              </w:tc>
              <w:tc>
                <w:tcPr>
                  <w:tcW w:w="875" w:type="pct"/>
                  <w:noWrap w:val="0"/>
                  <w:vAlign w:val="center"/>
                </w:tcPr>
                <w:p w14:paraId="6E084C0B">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eastAsia="zh-CN"/>
                      <w14:textFill>
                        <w14:solidFill>
                          <w14:schemeClr w14:val="tx1"/>
                        </w14:solidFill>
                      </w14:textFill>
                    </w:rPr>
                    <w:t>0.29</w:t>
                  </w:r>
                  <w:r>
                    <w:rPr>
                      <w:rFonts w:hint="eastAsia" w:cs="Times New Roman"/>
                      <w:color w:val="000000" w:themeColor="text1"/>
                      <w:szCs w:val="21"/>
                      <w:lang w:val="en-US" w:eastAsia="zh-CN"/>
                      <w14:textFill>
                        <w14:solidFill>
                          <w14:schemeClr w14:val="tx1"/>
                        </w14:solidFill>
                      </w14:textFill>
                    </w:rPr>
                    <w:t>8</w:t>
                  </w:r>
                </w:p>
              </w:tc>
            </w:tr>
            <w:tr w14:paraId="2063C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9" w:type="pct"/>
                  <w:vMerge w:val="continue"/>
                  <w:noWrap w:val="0"/>
                  <w:vAlign w:val="center"/>
                </w:tcPr>
                <w:p w14:paraId="1049475A">
                  <w:pPr>
                    <w:jc w:val="center"/>
                    <w:rPr>
                      <w:rFonts w:hint="default" w:ascii="Times New Roman" w:hAnsi="Times New Roman" w:cs="Times New Roman"/>
                      <w:color w:val="000000" w:themeColor="text1"/>
                      <w:szCs w:val="21"/>
                      <w14:textFill>
                        <w14:solidFill>
                          <w14:schemeClr w14:val="tx1"/>
                        </w14:solidFill>
                      </w14:textFill>
                    </w:rPr>
                  </w:pPr>
                </w:p>
              </w:tc>
              <w:tc>
                <w:tcPr>
                  <w:tcW w:w="700" w:type="pct"/>
                  <w:noWrap w:val="0"/>
                  <w:vAlign w:val="center"/>
                </w:tcPr>
                <w:p w14:paraId="731F0A99">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二氧化硫</w:t>
                  </w:r>
                </w:p>
              </w:tc>
              <w:tc>
                <w:tcPr>
                  <w:tcW w:w="693" w:type="pct"/>
                  <w:noWrap w:val="0"/>
                  <w:vAlign w:val="center"/>
                </w:tcPr>
                <w:p w14:paraId="77E6647E">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0.09</w:t>
                  </w:r>
                  <w:r>
                    <w:rPr>
                      <w:rFonts w:hint="eastAsia" w:cs="Times New Roman"/>
                      <w:color w:val="000000" w:themeColor="text1"/>
                      <w:szCs w:val="21"/>
                      <w:lang w:val="en-US" w:eastAsia="zh-CN"/>
                      <w14:textFill>
                        <w14:solidFill>
                          <w14:schemeClr w14:val="tx1"/>
                        </w14:solidFill>
                      </w14:textFill>
                    </w:rPr>
                    <w:t>2</w:t>
                  </w:r>
                </w:p>
              </w:tc>
              <w:tc>
                <w:tcPr>
                  <w:tcW w:w="801" w:type="pct"/>
                  <w:noWrap w:val="0"/>
                  <w:vAlign w:val="center"/>
                </w:tcPr>
                <w:p w14:paraId="7A2CB7D0">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0.026</w:t>
                  </w:r>
                </w:p>
              </w:tc>
              <w:tc>
                <w:tcPr>
                  <w:tcW w:w="809" w:type="pct"/>
                  <w:noWrap w:val="0"/>
                  <w:vAlign w:val="center"/>
                </w:tcPr>
                <w:p w14:paraId="15DDF244">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0.09</w:t>
                  </w:r>
                  <w:r>
                    <w:rPr>
                      <w:rFonts w:hint="eastAsia" w:cs="Times New Roman"/>
                      <w:color w:val="000000" w:themeColor="text1"/>
                      <w:szCs w:val="21"/>
                      <w:lang w:val="en-US" w:eastAsia="zh-CN"/>
                      <w14:textFill>
                        <w14:solidFill>
                          <w14:schemeClr w14:val="tx1"/>
                        </w14:solidFill>
                      </w14:textFill>
                    </w:rPr>
                    <w:t>2</w:t>
                  </w:r>
                </w:p>
              </w:tc>
              <w:tc>
                <w:tcPr>
                  <w:tcW w:w="801" w:type="pct"/>
                  <w:noWrap w:val="0"/>
                  <w:vAlign w:val="center"/>
                </w:tcPr>
                <w:p w14:paraId="10A1826C">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0.026</w:t>
                  </w:r>
                </w:p>
              </w:tc>
              <w:tc>
                <w:tcPr>
                  <w:tcW w:w="875" w:type="pct"/>
                  <w:noWrap w:val="0"/>
                  <w:vAlign w:val="center"/>
                </w:tcPr>
                <w:p w14:paraId="18B61DD1">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-0.06</w:t>
                  </w:r>
                  <w:r>
                    <w:rPr>
                      <w:rFonts w:hint="eastAsia" w:cs="Times New Roman"/>
                      <w:color w:val="000000" w:themeColor="text1"/>
                      <w:szCs w:val="21"/>
                      <w:lang w:val="en-US" w:eastAsia="zh-CN"/>
                      <w14:textFill>
                        <w14:solidFill>
                          <w14:schemeClr w14:val="tx1"/>
                        </w14:solidFill>
                      </w14:textFill>
                    </w:rPr>
                    <w:t>6</w:t>
                  </w:r>
                </w:p>
              </w:tc>
            </w:tr>
            <w:tr w14:paraId="645DB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9" w:type="pct"/>
                  <w:vMerge w:val="continue"/>
                  <w:noWrap w:val="0"/>
                  <w:vAlign w:val="center"/>
                </w:tcPr>
                <w:p w14:paraId="10B940A9">
                  <w:pPr>
                    <w:jc w:val="center"/>
                    <w:rPr>
                      <w:rFonts w:hint="default" w:ascii="Times New Roman" w:hAnsi="Times New Roman" w:cs="Times New Roman"/>
                      <w:color w:val="000000" w:themeColor="text1"/>
                      <w:szCs w:val="21"/>
                      <w14:textFill>
                        <w14:solidFill>
                          <w14:schemeClr w14:val="tx1"/>
                        </w14:solidFill>
                      </w14:textFill>
                    </w:rPr>
                  </w:pPr>
                </w:p>
              </w:tc>
              <w:tc>
                <w:tcPr>
                  <w:tcW w:w="700" w:type="pct"/>
                  <w:noWrap w:val="0"/>
                  <w:vAlign w:val="center"/>
                </w:tcPr>
                <w:p w14:paraId="31D4F3DD">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氮氧化物</w:t>
                  </w:r>
                </w:p>
              </w:tc>
              <w:tc>
                <w:tcPr>
                  <w:tcW w:w="693" w:type="pct"/>
                  <w:noWrap w:val="0"/>
                  <w:vAlign w:val="center"/>
                </w:tcPr>
                <w:p w14:paraId="676E101E">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r>
                    <w:rPr>
                      <w:rFonts w:hint="eastAsia" w:cs="Times New Roman"/>
                      <w:color w:val="000000" w:themeColor="text1"/>
                      <w:szCs w:val="21"/>
                      <w:lang w:val="en-US" w:eastAsia="zh-CN"/>
                      <w14:textFill>
                        <w14:solidFill>
                          <w14:schemeClr w14:val="tx1"/>
                        </w14:solidFill>
                      </w14:textFill>
                    </w:rPr>
                    <w:t>306</w:t>
                  </w:r>
                </w:p>
              </w:tc>
              <w:tc>
                <w:tcPr>
                  <w:tcW w:w="801" w:type="pct"/>
                  <w:noWrap w:val="0"/>
                  <w:vAlign w:val="center"/>
                </w:tcPr>
                <w:p w14:paraId="15B7CE88">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0.331</w:t>
                  </w:r>
                </w:p>
              </w:tc>
              <w:tc>
                <w:tcPr>
                  <w:tcW w:w="809" w:type="pct"/>
                  <w:noWrap w:val="0"/>
                  <w:vAlign w:val="center"/>
                </w:tcPr>
                <w:p w14:paraId="6ECAD394">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r>
                    <w:rPr>
                      <w:rFonts w:hint="eastAsia" w:cs="Times New Roman"/>
                      <w:color w:val="000000" w:themeColor="text1"/>
                      <w:szCs w:val="21"/>
                      <w:lang w:val="en-US" w:eastAsia="zh-CN"/>
                      <w14:textFill>
                        <w14:solidFill>
                          <w14:schemeClr w14:val="tx1"/>
                        </w14:solidFill>
                      </w14:textFill>
                    </w:rPr>
                    <w:t>306</w:t>
                  </w:r>
                </w:p>
              </w:tc>
              <w:tc>
                <w:tcPr>
                  <w:tcW w:w="801" w:type="pct"/>
                  <w:noWrap w:val="0"/>
                  <w:vAlign w:val="center"/>
                </w:tcPr>
                <w:p w14:paraId="64DBAFA6">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0.331</w:t>
                  </w:r>
                </w:p>
              </w:tc>
              <w:tc>
                <w:tcPr>
                  <w:tcW w:w="875" w:type="pct"/>
                  <w:noWrap w:val="0"/>
                  <w:vAlign w:val="center"/>
                </w:tcPr>
                <w:p w14:paraId="5AFD2C2A">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0.02</w:t>
                  </w:r>
                  <w:r>
                    <w:rPr>
                      <w:rFonts w:hint="eastAsia" w:cs="Times New Roman"/>
                      <w:color w:val="000000" w:themeColor="text1"/>
                      <w:szCs w:val="21"/>
                      <w:lang w:val="en-US" w:eastAsia="zh-CN"/>
                      <w14:textFill>
                        <w14:solidFill>
                          <w14:schemeClr w14:val="tx1"/>
                        </w14:solidFill>
                      </w14:textFill>
                    </w:rPr>
                    <w:t>5</w:t>
                  </w:r>
                </w:p>
              </w:tc>
            </w:tr>
            <w:tr w14:paraId="29BF0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continue"/>
                  <w:noWrap w:val="0"/>
                  <w:vAlign w:val="center"/>
                </w:tcPr>
                <w:p w14:paraId="5A4951B2">
                  <w:pPr>
                    <w:jc w:val="center"/>
                    <w:rPr>
                      <w:rFonts w:hint="default" w:ascii="Times New Roman" w:hAnsi="Times New Roman" w:cs="Times New Roman"/>
                      <w:color w:val="000000" w:themeColor="text1"/>
                      <w:szCs w:val="21"/>
                      <w14:textFill>
                        <w14:solidFill>
                          <w14:schemeClr w14:val="tx1"/>
                        </w14:solidFill>
                      </w14:textFill>
                    </w:rPr>
                  </w:pPr>
                </w:p>
              </w:tc>
              <w:tc>
                <w:tcPr>
                  <w:tcW w:w="700" w:type="pct"/>
                  <w:noWrap w:val="0"/>
                  <w:vAlign w:val="center"/>
                </w:tcPr>
                <w:p w14:paraId="3BF7D8FC">
                  <w:pPr>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非甲烷总烃</w:t>
                  </w:r>
                </w:p>
              </w:tc>
              <w:tc>
                <w:tcPr>
                  <w:tcW w:w="693" w:type="pct"/>
                  <w:noWrap w:val="0"/>
                  <w:vAlign w:val="center"/>
                </w:tcPr>
                <w:p w14:paraId="02B74738">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0.079</w:t>
                  </w:r>
                </w:p>
              </w:tc>
              <w:tc>
                <w:tcPr>
                  <w:tcW w:w="801" w:type="pct"/>
                  <w:noWrap w:val="0"/>
                  <w:vAlign w:val="center"/>
                </w:tcPr>
                <w:p w14:paraId="385217D4">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0.174</w:t>
                  </w:r>
                </w:p>
              </w:tc>
              <w:tc>
                <w:tcPr>
                  <w:tcW w:w="809" w:type="pct"/>
                  <w:noWrap w:val="0"/>
                  <w:vAlign w:val="center"/>
                </w:tcPr>
                <w:p w14:paraId="5DAB0CF8">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0.079</w:t>
                  </w:r>
                </w:p>
              </w:tc>
              <w:tc>
                <w:tcPr>
                  <w:tcW w:w="801" w:type="pct"/>
                  <w:noWrap w:val="0"/>
                  <w:vAlign w:val="center"/>
                </w:tcPr>
                <w:p w14:paraId="0C828EF2">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0.174</w:t>
                  </w:r>
                </w:p>
              </w:tc>
              <w:tc>
                <w:tcPr>
                  <w:tcW w:w="875" w:type="pct"/>
                  <w:noWrap w:val="0"/>
                  <w:vAlign w:val="center"/>
                </w:tcPr>
                <w:p w14:paraId="5D8D427E">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+0.09</w:t>
                  </w:r>
                  <w:r>
                    <w:rPr>
                      <w:rFonts w:hint="eastAsia" w:cs="Times New Roman"/>
                      <w:color w:val="000000" w:themeColor="text1"/>
                      <w:szCs w:val="21"/>
                      <w:lang w:val="en-US" w:eastAsia="zh-CN"/>
                      <w14:textFill>
                        <w14:solidFill>
                          <w14:schemeClr w14:val="tx1"/>
                        </w14:solidFill>
                      </w14:textFill>
                    </w:rPr>
                    <w:t>5</w:t>
                  </w:r>
                </w:p>
              </w:tc>
            </w:tr>
            <w:tr w14:paraId="64C5C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restart"/>
                  <w:noWrap w:val="0"/>
                  <w:vAlign w:val="center"/>
                </w:tcPr>
                <w:p w14:paraId="63143351">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废水</w:t>
                  </w:r>
                </w:p>
              </w:tc>
              <w:tc>
                <w:tcPr>
                  <w:tcW w:w="700" w:type="pct"/>
                  <w:noWrap w:val="0"/>
                  <w:vAlign w:val="center"/>
                </w:tcPr>
                <w:p w14:paraId="5E6708C3">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生产废水</w:t>
                  </w:r>
                </w:p>
              </w:tc>
              <w:tc>
                <w:tcPr>
                  <w:tcW w:w="693" w:type="pct"/>
                  <w:noWrap w:val="0"/>
                  <w:vAlign w:val="center"/>
                </w:tcPr>
                <w:p w14:paraId="5872D084">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801" w:type="pct"/>
                  <w:noWrap w:val="0"/>
                  <w:vAlign w:val="center"/>
                </w:tcPr>
                <w:p w14:paraId="1FFC5F69">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809" w:type="pct"/>
                  <w:noWrap w:val="0"/>
                  <w:vAlign w:val="center"/>
                </w:tcPr>
                <w:p w14:paraId="69B49048">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801" w:type="pct"/>
                  <w:noWrap w:val="0"/>
                  <w:vAlign w:val="center"/>
                </w:tcPr>
                <w:p w14:paraId="224022DA">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875" w:type="pct"/>
                  <w:noWrap w:val="0"/>
                  <w:vAlign w:val="center"/>
                </w:tcPr>
                <w:p w14:paraId="11B89675">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r>
            <w:tr w14:paraId="158C3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9" w:type="pct"/>
                  <w:vMerge w:val="continue"/>
                  <w:noWrap w:val="0"/>
                  <w:vAlign w:val="center"/>
                </w:tcPr>
                <w:p w14:paraId="67C07294">
                  <w:pPr>
                    <w:jc w:val="center"/>
                    <w:rPr>
                      <w:rFonts w:hint="default" w:ascii="Times New Roman" w:hAnsi="Times New Roman" w:cs="Times New Roman"/>
                      <w:color w:val="000000" w:themeColor="text1"/>
                      <w:szCs w:val="21"/>
                      <w14:textFill>
                        <w14:solidFill>
                          <w14:schemeClr w14:val="tx1"/>
                        </w14:solidFill>
                      </w14:textFill>
                    </w:rPr>
                  </w:pPr>
                </w:p>
              </w:tc>
              <w:tc>
                <w:tcPr>
                  <w:tcW w:w="700" w:type="pct"/>
                  <w:noWrap w:val="0"/>
                  <w:vAlign w:val="center"/>
                </w:tcPr>
                <w:p w14:paraId="1C09970C">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生活污水</w:t>
                  </w:r>
                </w:p>
              </w:tc>
              <w:tc>
                <w:tcPr>
                  <w:tcW w:w="693" w:type="pct"/>
                  <w:noWrap w:val="0"/>
                  <w:vAlign w:val="center"/>
                </w:tcPr>
                <w:p w14:paraId="70547030">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801" w:type="pct"/>
                  <w:noWrap w:val="0"/>
                  <w:vAlign w:val="center"/>
                </w:tcPr>
                <w:p w14:paraId="302AD61D">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809" w:type="pct"/>
                  <w:noWrap w:val="0"/>
                  <w:vAlign w:val="center"/>
                </w:tcPr>
                <w:p w14:paraId="23233A6F">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801" w:type="pct"/>
                  <w:noWrap w:val="0"/>
                  <w:vAlign w:val="center"/>
                </w:tcPr>
                <w:p w14:paraId="20710381">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875" w:type="pct"/>
                  <w:noWrap w:val="0"/>
                  <w:vAlign w:val="center"/>
                </w:tcPr>
                <w:p w14:paraId="7A061BEF">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r>
            <w:tr w14:paraId="3C8E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restart"/>
                  <w:noWrap w:val="0"/>
                  <w:vAlign w:val="center"/>
                </w:tcPr>
                <w:p w14:paraId="1049D0AA">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一般固废</w:t>
                  </w:r>
                </w:p>
              </w:tc>
              <w:tc>
                <w:tcPr>
                  <w:tcW w:w="700" w:type="pct"/>
                  <w:noWrap w:val="0"/>
                  <w:vAlign w:val="center"/>
                </w:tcPr>
                <w:p w14:paraId="786CC535">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生活垃圾</w:t>
                  </w:r>
                </w:p>
              </w:tc>
              <w:tc>
                <w:tcPr>
                  <w:tcW w:w="693" w:type="pct"/>
                  <w:noWrap w:val="0"/>
                  <w:vAlign w:val="center"/>
                </w:tcPr>
                <w:p w14:paraId="15351955">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1.875</w:t>
                  </w:r>
                </w:p>
              </w:tc>
              <w:tc>
                <w:tcPr>
                  <w:tcW w:w="801" w:type="pct"/>
                  <w:noWrap w:val="0"/>
                  <w:vAlign w:val="center"/>
                </w:tcPr>
                <w:p w14:paraId="22AB523F">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1.5</w:t>
                  </w:r>
                </w:p>
              </w:tc>
              <w:tc>
                <w:tcPr>
                  <w:tcW w:w="809" w:type="pct"/>
                  <w:noWrap w:val="0"/>
                  <w:vAlign w:val="center"/>
                </w:tcPr>
                <w:p w14:paraId="57F96755">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1.875</w:t>
                  </w:r>
                </w:p>
              </w:tc>
              <w:tc>
                <w:tcPr>
                  <w:tcW w:w="801" w:type="pct"/>
                  <w:noWrap w:val="0"/>
                  <w:vAlign w:val="center"/>
                </w:tcPr>
                <w:p w14:paraId="5E1D56E3">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1.5</w:t>
                  </w:r>
                </w:p>
              </w:tc>
              <w:tc>
                <w:tcPr>
                  <w:tcW w:w="875" w:type="pct"/>
                  <w:noWrap w:val="0"/>
                  <w:vAlign w:val="center"/>
                </w:tcPr>
                <w:p w14:paraId="632F660B">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0.375</w:t>
                  </w:r>
                </w:p>
              </w:tc>
            </w:tr>
            <w:tr w14:paraId="6BCE0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continue"/>
                  <w:noWrap w:val="0"/>
                  <w:vAlign w:val="center"/>
                </w:tcPr>
                <w:p w14:paraId="68837A69">
                  <w:pPr>
                    <w:jc w:val="center"/>
                    <w:rPr>
                      <w:rFonts w:hint="default" w:ascii="Times New Roman" w:hAnsi="Times New Roman" w:cs="Times New Roman"/>
                      <w:color w:val="000000" w:themeColor="text1"/>
                      <w:szCs w:val="21"/>
                      <w14:textFill>
                        <w14:solidFill>
                          <w14:schemeClr w14:val="tx1"/>
                        </w14:solidFill>
                      </w14:textFill>
                    </w:rPr>
                  </w:pPr>
                </w:p>
              </w:tc>
              <w:tc>
                <w:tcPr>
                  <w:tcW w:w="700" w:type="pct"/>
                  <w:noWrap w:val="0"/>
                  <w:vAlign w:val="center"/>
                </w:tcPr>
                <w:p w14:paraId="630D0077">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生活污水设施污泥</w:t>
                  </w:r>
                </w:p>
              </w:tc>
              <w:tc>
                <w:tcPr>
                  <w:tcW w:w="693" w:type="pct"/>
                  <w:noWrap w:val="0"/>
                  <w:vAlign w:val="center"/>
                </w:tcPr>
                <w:p w14:paraId="7D85A069">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0.75</w:t>
                  </w:r>
                </w:p>
              </w:tc>
              <w:tc>
                <w:tcPr>
                  <w:tcW w:w="801" w:type="pct"/>
                  <w:noWrap w:val="0"/>
                  <w:vAlign w:val="center"/>
                </w:tcPr>
                <w:p w14:paraId="536CDB67">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2.04</w:t>
                  </w:r>
                </w:p>
              </w:tc>
              <w:tc>
                <w:tcPr>
                  <w:tcW w:w="809" w:type="pct"/>
                  <w:noWrap w:val="0"/>
                  <w:vAlign w:val="center"/>
                </w:tcPr>
                <w:p w14:paraId="003B13F2">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0.75</w:t>
                  </w:r>
                </w:p>
              </w:tc>
              <w:tc>
                <w:tcPr>
                  <w:tcW w:w="801" w:type="pct"/>
                  <w:noWrap w:val="0"/>
                  <w:vAlign w:val="center"/>
                </w:tcPr>
                <w:p w14:paraId="2C819009">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2.04</w:t>
                  </w:r>
                </w:p>
              </w:tc>
              <w:tc>
                <w:tcPr>
                  <w:tcW w:w="875" w:type="pct"/>
                  <w:noWrap w:val="0"/>
                  <w:vAlign w:val="center"/>
                </w:tcPr>
                <w:p w14:paraId="563DB843">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1.</w:t>
                  </w:r>
                  <w:r>
                    <w:rPr>
                      <w:rFonts w:hint="eastAsia" w:cs="Times New Roman"/>
                      <w:color w:val="000000" w:themeColor="text1"/>
                      <w:szCs w:val="21"/>
                      <w:lang w:val="en-US" w:eastAsia="zh-CN"/>
                      <w14:textFill>
                        <w14:solidFill>
                          <w14:schemeClr w14:val="tx1"/>
                        </w14:solidFill>
                      </w14:textFill>
                    </w:rPr>
                    <w:t>29</w:t>
                  </w:r>
                </w:p>
              </w:tc>
            </w:tr>
            <w:tr w14:paraId="6D7B0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9" w:type="pct"/>
                  <w:vMerge w:val="continue"/>
                  <w:noWrap w:val="0"/>
                  <w:vAlign w:val="center"/>
                </w:tcPr>
                <w:p w14:paraId="1B2F61A8">
                  <w:pPr>
                    <w:jc w:val="center"/>
                    <w:rPr>
                      <w:rFonts w:hint="default" w:ascii="Times New Roman" w:hAnsi="Times New Roman" w:cs="Times New Roman"/>
                      <w:color w:val="000000" w:themeColor="text1"/>
                      <w:szCs w:val="21"/>
                      <w14:textFill>
                        <w14:solidFill>
                          <w14:schemeClr w14:val="tx1"/>
                        </w14:solidFill>
                      </w14:textFill>
                    </w:rPr>
                  </w:pPr>
                </w:p>
              </w:tc>
              <w:tc>
                <w:tcPr>
                  <w:tcW w:w="700" w:type="pct"/>
                  <w:noWrap w:val="0"/>
                  <w:vAlign w:val="center"/>
                </w:tcPr>
                <w:p w14:paraId="46F01B45">
                  <w:pPr>
                    <w:jc w:val="center"/>
                    <w:rPr>
                      <w:rFonts w:hint="default" w:ascii="Times New Roman" w:hAnsi="Times New Roman" w:eastAsia="宋体" w:cs="Times New Roman"/>
                      <w:color w:val="000000" w:themeColor="text1"/>
                      <w:szCs w:val="21"/>
                      <w:lang w:val="zh-CN"/>
                      <w14:textFill>
                        <w14:solidFill>
                          <w14:schemeClr w14:val="tx1"/>
                        </w14:solidFill>
                      </w14:textFill>
                    </w:rPr>
                  </w:pPr>
                  <w:r>
                    <w:rPr>
                      <w:rFonts w:hint="default" w:ascii="Times New Roman" w:hAnsi="Times New Roman" w:eastAsia="宋体" w:cs="Times New Roman"/>
                      <w:color w:val="000000" w:themeColor="text1"/>
                      <w:szCs w:val="21"/>
                      <w:lang w:val="zh-CN"/>
                      <w14:textFill>
                        <w14:solidFill>
                          <w14:schemeClr w14:val="tx1"/>
                        </w14:solidFill>
                      </w14:textFill>
                    </w:rPr>
                    <w:t>焚烧炉废渣</w:t>
                  </w:r>
                </w:p>
              </w:tc>
              <w:tc>
                <w:tcPr>
                  <w:tcW w:w="693" w:type="pct"/>
                  <w:noWrap w:val="0"/>
                  <w:vAlign w:val="center"/>
                </w:tcPr>
                <w:p w14:paraId="40D6A834">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12.07206</w:t>
                  </w:r>
                </w:p>
              </w:tc>
              <w:tc>
                <w:tcPr>
                  <w:tcW w:w="801" w:type="pct"/>
                  <w:noWrap w:val="0"/>
                  <w:vAlign w:val="center"/>
                </w:tcPr>
                <w:p w14:paraId="3474874F">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9.06</w:t>
                  </w:r>
                </w:p>
              </w:tc>
              <w:tc>
                <w:tcPr>
                  <w:tcW w:w="809" w:type="pct"/>
                  <w:noWrap w:val="0"/>
                  <w:vAlign w:val="center"/>
                </w:tcPr>
                <w:p w14:paraId="08BB9EC1">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12.07206</w:t>
                  </w:r>
                </w:p>
              </w:tc>
              <w:tc>
                <w:tcPr>
                  <w:tcW w:w="801" w:type="pct"/>
                  <w:noWrap w:val="0"/>
                  <w:vAlign w:val="center"/>
                </w:tcPr>
                <w:p w14:paraId="1739ECC4">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9.06</w:t>
                  </w:r>
                </w:p>
              </w:tc>
              <w:tc>
                <w:tcPr>
                  <w:tcW w:w="875" w:type="pct"/>
                  <w:noWrap w:val="0"/>
                  <w:vAlign w:val="center"/>
                </w:tcPr>
                <w:p w14:paraId="0CCF2FE4">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-3.01206</w:t>
                  </w:r>
                </w:p>
              </w:tc>
            </w:tr>
            <w:tr w14:paraId="7C37E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continue"/>
                  <w:noWrap w:val="0"/>
                  <w:vAlign w:val="center"/>
                </w:tcPr>
                <w:p w14:paraId="7A4343CE">
                  <w:pPr>
                    <w:jc w:val="center"/>
                    <w:rPr>
                      <w:rFonts w:hint="default" w:ascii="Times New Roman" w:hAnsi="Times New Roman" w:cs="Times New Roman"/>
                      <w:color w:val="000000" w:themeColor="text1"/>
                      <w:szCs w:val="21"/>
                      <w14:textFill>
                        <w14:solidFill>
                          <w14:schemeClr w14:val="tx1"/>
                        </w14:solidFill>
                      </w14:textFill>
                    </w:rPr>
                  </w:pPr>
                </w:p>
              </w:tc>
              <w:tc>
                <w:tcPr>
                  <w:tcW w:w="700" w:type="pct"/>
                  <w:noWrap w:val="0"/>
                  <w:vAlign w:val="center"/>
                </w:tcPr>
                <w:p w14:paraId="7E3817F7">
                  <w:pPr>
                    <w:jc w:val="center"/>
                    <w:rPr>
                      <w:rFonts w:hint="default" w:ascii="Times New Roman" w:hAnsi="Times New Roman" w:eastAsia="宋体" w:cs="Times New Roman"/>
                      <w:color w:val="000000" w:themeColor="text1"/>
                      <w:szCs w:val="21"/>
                      <w:lang w:val="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除尘灰</w:t>
                  </w:r>
                </w:p>
              </w:tc>
              <w:tc>
                <w:tcPr>
                  <w:tcW w:w="693" w:type="pct"/>
                  <w:noWrap w:val="0"/>
                  <w:vAlign w:val="center"/>
                </w:tcPr>
                <w:p w14:paraId="03D697E7">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21.7608</w:t>
                  </w:r>
                </w:p>
              </w:tc>
              <w:tc>
                <w:tcPr>
                  <w:tcW w:w="801" w:type="pct"/>
                  <w:noWrap w:val="0"/>
                  <w:vAlign w:val="center"/>
                </w:tcPr>
                <w:p w14:paraId="405F8DC0">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27.2125</w:t>
                  </w:r>
                </w:p>
              </w:tc>
              <w:tc>
                <w:tcPr>
                  <w:tcW w:w="809" w:type="pct"/>
                  <w:noWrap w:val="0"/>
                  <w:vAlign w:val="center"/>
                </w:tcPr>
                <w:p w14:paraId="0BD81866">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21.7608</w:t>
                  </w:r>
                </w:p>
              </w:tc>
              <w:tc>
                <w:tcPr>
                  <w:tcW w:w="801" w:type="pct"/>
                  <w:noWrap w:val="0"/>
                  <w:vAlign w:val="center"/>
                </w:tcPr>
                <w:p w14:paraId="75514502">
                  <w:pPr>
                    <w:autoSpaceDE w:val="0"/>
                    <w:autoSpaceDN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27.2125</w:t>
                  </w:r>
                </w:p>
              </w:tc>
              <w:tc>
                <w:tcPr>
                  <w:tcW w:w="875" w:type="pct"/>
                  <w:noWrap w:val="0"/>
                  <w:vAlign w:val="center"/>
                </w:tcPr>
                <w:p w14:paraId="56DE76E0">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-5.4517</w:t>
                  </w:r>
                </w:p>
              </w:tc>
            </w:tr>
            <w:tr w14:paraId="293B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19" w:type="pct"/>
                  <w:vMerge w:val="continue"/>
                  <w:noWrap w:val="0"/>
                  <w:vAlign w:val="center"/>
                </w:tcPr>
                <w:p w14:paraId="3E138B8F">
                  <w:pPr>
                    <w:jc w:val="center"/>
                    <w:rPr>
                      <w:rFonts w:hint="default" w:ascii="Times New Roman" w:hAnsi="Times New Roman" w:cs="Times New Roman"/>
                      <w:color w:val="000000" w:themeColor="text1"/>
                      <w:szCs w:val="21"/>
                      <w14:textFill>
                        <w14:solidFill>
                          <w14:schemeClr w14:val="tx1"/>
                        </w14:solidFill>
                      </w14:textFill>
                    </w:rPr>
                  </w:pPr>
                </w:p>
              </w:tc>
              <w:tc>
                <w:tcPr>
                  <w:tcW w:w="700" w:type="pct"/>
                  <w:noWrap w:val="0"/>
                  <w:vAlign w:val="center"/>
                </w:tcPr>
                <w:p w14:paraId="13A801BC">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废</w:t>
                  </w:r>
                  <w:r>
                    <w:rPr>
                      <w:rFonts w:hint="eastAsia" w:ascii="Times New Roman" w:hAnsi="Times New Roman" w:cs="Times New Roman"/>
                      <w:color w:val="000000" w:themeColor="text1"/>
                      <w:szCs w:val="21"/>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zh-CN" w:eastAsia="zh-CN"/>
                      <w14:textFill>
                        <w14:solidFill>
                          <w14:schemeClr w14:val="tx1"/>
                        </w14:solidFill>
                      </w14:textFill>
                    </w:rPr>
                    <w:t>废瓶阀</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zh-CN" w:eastAsia="zh-CN"/>
                      <w14:textFill>
                        <w14:solidFill>
                          <w14:schemeClr w14:val="tx1"/>
                        </w14:solidFill>
                      </w14:textFill>
                    </w:rPr>
                    <w:t>废钢丸</w:t>
                  </w:r>
                </w:p>
              </w:tc>
              <w:tc>
                <w:tcPr>
                  <w:tcW w:w="693" w:type="pct"/>
                  <w:noWrap w:val="0"/>
                  <w:vAlign w:val="center"/>
                </w:tcPr>
                <w:p w14:paraId="1B9EA447">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49.5</w:t>
                  </w:r>
                </w:p>
              </w:tc>
              <w:tc>
                <w:tcPr>
                  <w:tcW w:w="801" w:type="pct"/>
                  <w:noWrap w:val="0"/>
                  <w:vAlign w:val="center"/>
                </w:tcPr>
                <w:p w14:paraId="7EACC61B">
                  <w:pPr>
                    <w:autoSpaceDE w:val="0"/>
                    <w:autoSpaceDN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2253.25</w:t>
                  </w:r>
                </w:p>
              </w:tc>
              <w:tc>
                <w:tcPr>
                  <w:tcW w:w="809" w:type="pct"/>
                  <w:noWrap w:val="0"/>
                  <w:vAlign w:val="center"/>
                </w:tcPr>
                <w:p w14:paraId="0843FAC3">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49.5</w:t>
                  </w:r>
                </w:p>
              </w:tc>
              <w:tc>
                <w:tcPr>
                  <w:tcW w:w="801" w:type="pct"/>
                  <w:noWrap w:val="0"/>
                  <w:vAlign w:val="center"/>
                </w:tcPr>
                <w:p w14:paraId="3F33B359">
                  <w:pPr>
                    <w:autoSpaceDE w:val="0"/>
                    <w:autoSpaceDN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2253.25</w:t>
                  </w:r>
                </w:p>
              </w:tc>
              <w:tc>
                <w:tcPr>
                  <w:tcW w:w="875" w:type="pct"/>
                  <w:noWrap w:val="0"/>
                  <w:vAlign w:val="center"/>
                </w:tcPr>
                <w:p w14:paraId="27ABFCB3">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2203.75</w:t>
                  </w:r>
                </w:p>
              </w:tc>
            </w:tr>
            <w:tr w14:paraId="10D24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19" w:type="pct"/>
                  <w:vMerge w:val="continue"/>
                  <w:noWrap w:val="0"/>
                  <w:vAlign w:val="center"/>
                </w:tcPr>
                <w:p w14:paraId="59066996">
                  <w:pPr>
                    <w:jc w:val="center"/>
                    <w:rPr>
                      <w:rFonts w:hint="default" w:ascii="Times New Roman" w:hAnsi="Times New Roman" w:cs="Times New Roman"/>
                      <w:color w:val="000000" w:themeColor="text1"/>
                      <w:szCs w:val="21"/>
                      <w14:textFill>
                        <w14:solidFill>
                          <w14:schemeClr w14:val="tx1"/>
                        </w14:solidFill>
                      </w14:textFill>
                    </w:rPr>
                  </w:pPr>
                </w:p>
              </w:tc>
              <w:tc>
                <w:tcPr>
                  <w:tcW w:w="700" w:type="pct"/>
                  <w:noWrap w:val="0"/>
                  <w:vAlign w:val="center"/>
                </w:tcPr>
                <w:p w14:paraId="736AA64D">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废橡胶圈</w:t>
                  </w:r>
                </w:p>
              </w:tc>
              <w:tc>
                <w:tcPr>
                  <w:tcW w:w="693" w:type="pct"/>
                  <w:noWrap w:val="0"/>
                  <w:vAlign w:val="center"/>
                </w:tcPr>
                <w:p w14:paraId="2C270319">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0.1</w:t>
                  </w:r>
                </w:p>
              </w:tc>
              <w:tc>
                <w:tcPr>
                  <w:tcW w:w="801" w:type="pct"/>
                  <w:noWrap w:val="0"/>
                  <w:vAlign w:val="center"/>
                </w:tcPr>
                <w:p w14:paraId="17A144EA">
                  <w:pPr>
                    <w:autoSpaceDE w:val="0"/>
                    <w:autoSpaceDN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0.3</w:t>
                  </w:r>
                </w:p>
              </w:tc>
              <w:tc>
                <w:tcPr>
                  <w:tcW w:w="809" w:type="pct"/>
                  <w:noWrap w:val="0"/>
                  <w:vAlign w:val="center"/>
                </w:tcPr>
                <w:p w14:paraId="44BDF781">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0.1</w:t>
                  </w:r>
                </w:p>
              </w:tc>
              <w:tc>
                <w:tcPr>
                  <w:tcW w:w="801" w:type="pct"/>
                  <w:noWrap w:val="0"/>
                  <w:vAlign w:val="center"/>
                </w:tcPr>
                <w:p w14:paraId="6E7BF766">
                  <w:pPr>
                    <w:autoSpaceDE w:val="0"/>
                    <w:autoSpaceDN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0.3</w:t>
                  </w:r>
                </w:p>
              </w:tc>
              <w:tc>
                <w:tcPr>
                  <w:tcW w:w="875" w:type="pct"/>
                  <w:noWrap w:val="0"/>
                  <w:vAlign w:val="center"/>
                </w:tcPr>
                <w:p w14:paraId="539CFB72">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+0.2</w:t>
                  </w:r>
                </w:p>
              </w:tc>
            </w:tr>
            <w:tr w14:paraId="15D24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9" w:type="pct"/>
                  <w:vMerge w:val="continue"/>
                  <w:noWrap w:val="0"/>
                  <w:vAlign w:val="center"/>
                </w:tcPr>
                <w:p w14:paraId="495E6204">
                  <w:pPr>
                    <w:jc w:val="center"/>
                    <w:rPr>
                      <w:rFonts w:hint="default" w:ascii="Times New Roman" w:hAnsi="Times New Roman" w:cs="Times New Roman"/>
                      <w:color w:val="000000" w:themeColor="text1"/>
                      <w:szCs w:val="21"/>
                      <w14:textFill>
                        <w14:solidFill>
                          <w14:schemeClr w14:val="tx1"/>
                        </w14:solidFill>
                      </w14:textFill>
                    </w:rPr>
                  </w:pPr>
                </w:p>
              </w:tc>
              <w:tc>
                <w:tcPr>
                  <w:tcW w:w="700" w:type="pct"/>
                  <w:noWrap w:val="0"/>
                  <w:vAlign w:val="center"/>
                </w:tcPr>
                <w:p w14:paraId="1C4076A0">
                  <w:pPr>
                    <w:autoSpaceDE w:val="0"/>
                    <w:autoSpaceDN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废滤筒</w:t>
                  </w:r>
                </w:p>
              </w:tc>
              <w:tc>
                <w:tcPr>
                  <w:tcW w:w="693" w:type="pct"/>
                  <w:noWrap w:val="0"/>
                  <w:vAlign w:val="center"/>
                </w:tcPr>
                <w:p w14:paraId="43C8D16F">
                  <w:pPr>
                    <w:autoSpaceDE w:val="0"/>
                    <w:autoSpaceDN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c>
                <w:tcPr>
                  <w:tcW w:w="801" w:type="pct"/>
                  <w:noWrap w:val="0"/>
                  <w:vAlign w:val="center"/>
                </w:tcPr>
                <w:p w14:paraId="3B1DD51B">
                  <w:pPr>
                    <w:autoSpaceDE w:val="0"/>
                    <w:autoSpaceDN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0.05</w:t>
                  </w:r>
                </w:p>
              </w:tc>
              <w:tc>
                <w:tcPr>
                  <w:tcW w:w="809" w:type="pct"/>
                  <w:noWrap w:val="0"/>
                  <w:vAlign w:val="center"/>
                </w:tcPr>
                <w:p w14:paraId="1981B63A">
                  <w:pPr>
                    <w:autoSpaceDE w:val="0"/>
                    <w:autoSpaceDN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c>
                <w:tcPr>
                  <w:tcW w:w="801" w:type="pct"/>
                  <w:noWrap w:val="0"/>
                  <w:vAlign w:val="center"/>
                </w:tcPr>
                <w:p w14:paraId="68513C6F">
                  <w:pPr>
                    <w:autoSpaceDE w:val="0"/>
                    <w:autoSpaceDN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0.05</w:t>
                  </w:r>
                </w:p>
              </w:tc>
              <w:tc>
                <w:tcPr>
                  <w:tcW w:w="875" w:type="pct"/>
                  <w:noWrap w:val="0"/>
                  <w:vAlign w:val="center"/>
                </w:tcPr>
                <w:p w14:paraId="7256EC52">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+0.05</w:t>
                  </w:r>
                </w:p>
              </w:tc>
            </w:tr>
            <w:tr w14:paraId="63811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9" w:type="pct"/>
                  <w:vMerge w:val="continue"/>
                  <w:noWrap w:val="0"/>
                  <w:vAlign w:val="center"/>
                </w:tcPr>
                <w:p w14:paraId="339F4D82">
                  <w:pPr>
                    <w:jc w:val="center"/>
                    <w:rPr>
                      <w:rFonts w:hint="default" w:ascii="Times New Roman" w:hAnsi="Times New Roman" w:cs="Times New Roman"/>
                      <w:color w:val="000000" w:themeColor="text1"/>
                      <w:szCs w:val="21"/>
                      <w14:textFill>
                        <w14:solidFill>
                          <w14:schemeClr w14:val="tx1"/>
                        </w14:solidFill>
                      </w14:textFill>
                    </w:rPr>
                  </w:pPr>
                </w:p>
              </w:tc>
              <w:tc>
                <w:tcPr>
                  <w:tcW w:w="700" w:type="pct"/>
                  <w:noWrap w:val="0"/>
                  <w:vAlign w:val="center"/>
                </w:tcPr>
                <w:p w14:paraId="426EFE14">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脱硫废渣</w:t>
                  </w:r>
                </w:p>
              </w:tc>
              <w:tc>
                <w:tcPr>
                  <w:tcW w:w="693" w:type="pct"/>
                  <w:noWrap w:val="0"/>
                  <w:vAlign w:val="center"/>
                </w:tcPr>
                <w:p w14:paraId="7AF99F58">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801" w:type="pct"/>
                  <w:noWrap w:val="0"/>
                  <w:vAlign w:val="center"/>
                </w:tcPr>
                <w:p w14:paraId="65923D39">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0.2284</w:t>
                  </w:r>
                </w:p>
              </w:tc>
              <w:tc>
                <w:tcPr>
                  <w:tcW w:w="809" w:type="pct"/>
                  <w:noWrap w:val="0"/>
                  <w:vAlign w:val="center"/>
                </w:tcPr>
                <w:p w14:paraId="7D767953">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801" w:type="pct"/>
                  <w:noWrap w:val="0"/>
                  <w:vAlign w:val="center"/>
                </w:tcPr>
                <w:p w14:paraId="1A10136A">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0.2284</w:t>
                  </w:r>
                </w:p>
              </w:tc>
              <w:tc>
                <w:tcPr>
                  <w:tcW w:w="875" w:type="pct"/>
                  <w:noWrap w:val="0"/>
                  <w:vAlign w:val="center"/>
                </w:tcPr>
                <w:p w14:paraId="00FD3CE5">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+0.2284</w:t>
                  </w:r>
                </w:p>
              </w:tc>
            </w:tr>
            <w:tr w14:paraId="2A7D0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restart"/>
                  <w:noWrap w:val="0"/>
                  <w:vAlign w:val="center"/>
                </w:tcPr>
                <w:p w14:paraId="217A7EEF">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危险废物</w:t>
                  </w:r>
                </w:p>
              </w:tc>
              <w:tc>
                <w:tcPr>
                  <w:tcW w:w="700" w:type="pct"/>
                  <w:noWrap w:val="0"/>
                  <w:vAlign w:val="center"/>
                </w:tcPr>
                <w:p w14:paraId="707BE33D">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废矿物油</w:t>
                  </w:r>
                </w:p>
              </w:tc>
              <w:tc>
                <w:tcPr>
                  <w:tcW w:w="693" w:type="pct"/>
                  <w:noWrap w:val="0"/>
                  <w:vAlign w:val="center"/>
                </w:tcPr>
                <w:p w14:paraId="7616B5B0">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801" w:type="pct"/>
                  <w:noWrap w:val="0"/>
                  <w:vAlign w:val="center"/>
                </w:tcPr>
                <w:p w14:paraId="34A55EF3">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0.1</w:t>
                  </w:r>
                </w:p>
              </w:tc>
              <w:tc>
                <w:tcPr>
                  <w:tcW w:w="809" w:type="pct"/>
                  <w:noWrap w:val="0"/>
                  <w:vAlign w:val="center"/>
                </w:tcPr>
                <w:p w14:paraId="4692B332">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801" w:type="pct"/>
                  <w:noWrap w:val="0"/>
                  <w:vAlign w:val="center"/>
                </w:tcPr>
                <w:p w14:paraId="652F9516">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0.1</w:t>
                  </w:r>
                </w:p>
              </w:tc>
              <w:tc>
                <w:tcPr>
                  <w:tcW w:w="875" w:type="pct"/>
                  <w:noWrap w:val="0"/>
                  <w:vAlign w:val="center"/>
                </w:tcPr>
                <w:p w14:paraId="0AE063F4">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+0.1</w:t>
                  </w:r>
                </w:p>
              </w:tc>
            </w:tr>
            <w:tr w14:paraId="3E293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continue"/>
                  <w:noWrap w:val="0"/>
                  <w:vAlign w:val="center"/>
                </w:tcPr>
                <w:p w14:paraId="31B6CF13">
                  <w:pPr>
                    <w:jc w:val="center"/>
                    <w:rPr>
                      <w:rFonts w:hint="default" w:ascii="Times New Roman" w:hAnsi="Times New Roman" w:cs="Times New Roman"/>
                      <w:color w:val="000000" w:themeColor="text1"/>
                      <w:szCs w:val="21"/>
                      <w14:textFill>
                        <w14:solidFill>
                          <w14:schemeClr w14:val="tx1"/>
                        </w14:solidFill>
                      </w14:textFill>
                    </w:rPr>
                  </w:pPr>
                </w:p>
              </w:tc>
              <w:tc>
                <w:tcPr>
                  <w:tcW w:w="700" w:type="pct"/>
                  <w:noWrap w:val="0"/>
                  <w:vAlign w:val="center"/>
                </w:tcPr>
                <w:p w14:paraId="305B2B91">
                  <w:pPr>
                    <w:autoSpaceDE w:val="0"/>
                    <w:autoSpaceDN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废活性炭</w:t>
                  </w:r>
                </w:p>
              </w:tc>
              <w:tc>
                <w:tcPr>
                  <w:tcW w:w="693" w:type="pct"/>
                  <w:noWrap w:val="0"/>
                  <w:vAlign w:val="center"/>
                </w:tcPr>
                <w:p w14:paraId="62684DA1">
                  <w:pPr>
                    <w:autoSpaceDE w:val="0"/>
                    <w:autoSpaceDN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0.1</w:t>
                  </w:r>
                </w:p>
              </w:tc>
              <w:tc>
                <w:tcPr>
                  <w:tcW w:w="801" w:type="pct"/>
                  <w:noWrap w:val="0"/>
                  <w:vAlign w:val="center"/>
                </w:tcPr>
                <w:p w14:paraId="1F73C306">
                  <w:pPr>
                    <w:autoSpaceDE w:val="0"/>
                    <w:autoSpaceDN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c>
                <w:tcPr>
                  <w:tcW w:w="809" w:type="pct"/>
                  <w:noWrap w:val="0"/>
                  <w:vAlign w:val="center"/>
                </w:tcPr>
                <w:p w14:paraId="6734C4EB">
                  <w:pPr>
                    <w:autoSpaceDE w:val="0"/>
                    <w:autoSpaceDN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0.1</w:t>
                  </w:r>
                </w:p>
              </w:tc>
              <w:tc>
                <w:tcPr>
                  <w:tcW w:w="801" w:type="pct"/>
                  <w:noWrap w:val="0"/>
                  <w:vAlign w:val="center"/>
                </w:tcPr>
                <w:p w14:paraId="3D676747">
                  <w:pPr>
                    <w:autoSpaceDE w:val="0"/>
                    <w:autoSpaceDN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875" w:type="pct"/>
                  <w:noWrap w:val="0"/>
                  <w:vAlign w:val="center"/>
                </w:tcPr>
                <w:p w14:paraId="5C466054">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-0.1</w:t>
                  </w:r>
                </w:p>
              </w:tc>
            </w:tr>
            <w:tr w14:paraId="19DF1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continue"/>
                  <w:noWrap w:val="0"/>
                  <w:vAlign w:val="center"/>
                </w:tcPr>
                <w:p w14:paraId="691A8884">
                  <w:pPr>
                    <w:jc w:val="center"/>
                    <w:rPr>
                      <w:rFonts w:hint="default" w:ascii="Times New Roman" w:hAnsi="Times New Roman" w:cs="Times New Roman"/>
                      <w:color w:val="000000" w:themeColor="text1"/>
                      <w:szCs w:val="21"/>
                      <w14:textFill>
                        <w14:solidFill>
                          <w14:schemeClr w14:val="tx1"/>
                        </w14:solidFill>
                      </w14:textFill>
                    </w:rPr>
                  </w:pPr>
                </w:p>
              </w:tc>
              <w:tc>
                <w:tcPr>
                  <w:tcW w:w="700" w:type="pct"/>
                  <w:noWrap w:val="0"/>
                  <w:vAlign w:val="center"/>
                </w:tcPr>
                <w:p w14:paraId="06D5445B">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废油墨桶</w:t>
                  </w:r>
                </w:p>
              </w:tc>
              <w:tc>
                <w:tcPr>
                  <w:tcW w:w="693" w:type="pct"/>
                  <w:noWrap w:val="0"/>
                  <w:vAlign w:val="center"/>
                </w:tcPr>
                <w:p w14:paraId="4A336DF3">
                  <w:pPr>
                    <w:autoSpaceDE w:val="0"/>
                    <w:autoSpaceDN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c>
                <w:tcPr>
                  <w:tcW w:w="801" w:type="pct"/>
                  <w:noWrap w:val="0"/>
                  <w:vAlign w:val="center"/>
                </w:tcPr>
                <w:p w14:paraId="0BD57811">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0.02</w:t>
                  </w:r>
                </w:p>
              </w:tc>
              <w:tc>
                <w:tcPr>
                  <w:tcW w:w="809" w:type="pct"/>
                  <w:noWrap w:val="0"/>
                  <w:vAlign w:val="center"/>
                </w:tcPr>
                <w:p w14:paraId="478C5445">
                  <w:pPr>
                    <w:autoSpaceDE w:val="0"/>
                    <w:autoSpaceDN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c>
                <w:tcPr>
                  <w:tcW w:w="801" w:type="pct"/>
                  <w:noWrap w:val="0"/>
                  <w:vAlign w:val="center"/>
                </w:tcPr>
                <w:p w14:paraId="26AB2BD6">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0.02</w:t>
                  </w:r>
                </w:p>
              </w:tc>
              <w:tc>
                <w:tcPr>
                  <w:tcW w:w="875" w:type="pct"/>
                  <w:noWrap w:val="0"/>
                  <w:vAlign w:val="center"/>
                </w:tcPr>
                <w:p w14:paraId="34249DB1">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+0.02</w:t>
                  </w:r>
                </w:p>
              </w:tc>
            </w:tr>
            <w:tr w14:paraId="42317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continue"/>
                  <w:noWrap w:val="0"/>
                  <w:vAlign w:val="center"/>
                </w:tcPr>
                <w:p w14:paraId="1E9B6E08">
                  <w:pPr>
                    <w:jc w:val="center"/>
                    <w:rPr>
                      <w:rFonts w:hint="default" w:ascii="Times New Roman" w:hAnsi="Times New Roman" w:cs="Times New Roman"/>
                      <w:color w:val="000000" w:themeColor="text1"/>
                      <w:szCs w:val="21"/>
                      <w14:textFill>
                        <w14:solidFill>
                          <w14:schemeClr w14:val="tx1"/>
                        </w14:solidFill>
                      </w14:textFill>
                    </w:rPr>
                  </w:pPr>
                </w:p>
              </w:tc>
              <w:tc>
                <w:tcPr>
                  <w:tcW w:w="700" w:type="pct"/>
                  <w:noWrap w:val="0"/>
                  <w:vAlign w:val="center"/>
                </w:tcPr>
                <w:p w14:paraId="5B021662">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废网板</w:t>
                  </w:r>
                </w:p>
              </w:tc>
              <w:tc>
                <w:tcPr>
                  <w:tcW w:w="693" w:type="pct"/>
                  <w:noWrap w:val="0"/>
                  <w:vAlign w:val="center"/>
                </w:tcPr>
                <w:p w14:paraId="162EB85E">
                  <w:pPr>
                    <w:autoSpaceDE w:val="0"/>
                    <w:autoSpaceDN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c>
                <w:tcPr>
                  <w:tcW w:w="801" w:type="pct"/>
                  <w:noWrap w:val="0"/>
                  <w:vAlign w:val="center"/>
                </w:tcPr>
                <w:p w14:paraId="37A944CF">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w:t>
                  </w:r>
                </w:p>
              </w:tc>
              <w:tc>
                <w:tcPr>
                  <w:tcW w:w="809" w:type="pct"/>
                  <w:noWrap w:val="0"/>
                  <w:vAlign w:val="center"/>
                </w:tcPr>
                <w:p w14:paraId="46805164">
                  <w:pPr>
                    <w:autoSpaceDE w:val="0"/>
                    <w:autoSpaceDN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c>
                <w:tcPr>
                  <w:tcW w:w="801" w:type="pct"/>
                  <w:noWrap w:val="0"/>
                  <w:vAlign w:val="center"/>
                </w:tcPr>
                <w:p w14:paraId="14DF38EB">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w:t>
                  </w:r>
                </w:p>
              </w:tc>
              <w:tc>
                <w:tcPr>
                  <w:tcW w:w="875" w:type="pct"/>
                  <w:noWrap w:val="0"/>
                  <w:vAlign w:val="center"/>
                </w:tcPr>
                <w:p w14:paraId="468961B9">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w:t>
                  </w:r>
                </w:p>
              </w:tc>
            </w:tr>
            <w:tr w14:paraId="124B1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Merge w:val="continue"/>
                  <w:noWrap w:val="0"/>
                  <w:vAlign w:val="center"/>
                </w:tcPr>
                <w:p w14:paraId="6FC19766">
                  <w:pPr>
                    <w:jc w:val="center"/>
                    <w:rPr>
                      <w:rFonts w:hint="default" w:ascii="Times New Roman" w:hAnsi="Times New Roman" w:cs="Times New Roman"/>
                      <w:color w:val="000000" w:themeColor="text1"/>
                      <w:szCs w:val="21"/>
                      <w14:textFill>
                        <w14:solidFill>
                          <w14:schemeClr w14:val="tx1"/>
                        </w14:solidFill>
                      </w14:textFill>
                    </w:rPr>
                  </w:pPr>
                </w:p>
              </w:tc>
              <w:tc>
                <w:tcPr>
                  <w:tcW w:w="700" w:type="pct"/>
                  <w:noWrap w:val="0"/>
                  <w:vAlign w:val="center"/>
                </w:tcPr>
                <w:p w14:paraId="4EB608DF">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喷淋废水</w:t>
                  </w:r>
                </w:p>
              </w:tc>
              <w:tc>
                <w:tcPr>
                  <w:tcW w:w="693" w:type="pct"/>
                  <w:noWrap w:val="0"/>
                  <w:vAlign w:val="center"/>
                </w:tcPr>
                <w:p w14:paraId="73640F5A">
                  <w:pPr>
                    <w:autoSpaceDE w:val="0"/>
                    <w:autoSpaceDN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c>
                <w:tcPr>
                  <w:tcW w:w="801" w:type="pct"/>
                  <w:noWrap w:val="0"/>
                  <w:vAlign w:val="center"/>
                </w:tcPr>
                <w:p w14:paraId="556243D6">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2</w:t>
                  </w:r>
                </w:p>
              </w:tc>
              <w:tc>
                <w:tcPr>
                  <w:tcW w:w="809" w:type="pct"/>
                  <w:noWrap w:val="0"/>
                  <w:vAlign w:val="center"/>
                </w:tcPr>
                <w:p w14:paraId="3FBB0310">
                  <w:pPr>
                    <w:autoSpaceDE w:val="0"/>
                    <w:autoSpaceDN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c>
                <w:tcPr>
                  <w:tcW w:w="801" w:type="pct"/>
                  <w:noWrap w:val="0"/>
                  <w:vAlign w:val="center"/>
                </w:tcPr>
                <w:p w14:paraId="47D76E45">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2</w:t>
                  </w:r>
                </w:p>
              </w:tc>
              <w:tc>
                <w:tcPr>
                  <w:tcW w:w="875" w:type="pct"/>
                  <w:noWrap w:val="0"/>
                  <w:vAlign w:val="center"/>
                </w:tcPr>
                <w:p w14:paraId="15923443">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+2</w:t>
                  </w:r>
                </w:p>
              </w:tc>
            </w:tr>
          </w:tbl>
          <w:p w14:paraId="0B775FE7">
            <w:pPr>
              <w:keepNext w:val="0"/>
              <w:keepLines w:val="0"/>
              <w:pageBreakBefore w:val="0"/>
              <w:widowControl w:val="0"/>
              <w:kinsoku/>
              <w:wordWrap w:val="0"/>
              <w:overflowPunct/>
              <w:topLinePunct w:val="0"/>
              <w:autoSpaceDE/>
              <w:autoSpaceDN/>
              <w:bidi w:val="0"/>
              <w:ind w:left="0" w:leftChars="0" w:right="0"/>
              <w:textAlignment w:val="auto"/>
              <w:rPr>
                <w:rFonts w:hint="default" w:ascii="Times New Roman" w:hAnsi="Times New Roman" w:eastAsia="宋体" w:cs="Times New Roman"/>
                <w:color w:val="000000" w:themeColor="text1"/>
                <w:lang w:eastAsia="zh-CN"/>
                <w14:textFill>
                  <w14:solidFill>
                    <w14:schemeClr w14:val="tx1"/>
                  </w14:solidFill>
                </w14:textFill>
              </w:rPr>
            </w:pPr>
          </w:p>
        </w:tc>
      </w:tr>
    </w:tbl>
    <w:p w14:paraId="20735A8A">
      <w:pPr>
        <w:pStyle w:val="42"/>
        <w:pageBreakBefore w:val="0"/>
        <w:kinsoku/>
        <w:overflowPunct/>
        <w:topLinePunct w:val="0"/>
        <w:bidi w:val="0"/>
        <w:spacing w:before="0" w:after="0"/>
        <w:ind w:left="0" w:leftChars="0" w:right="0"/>
        <w:jc w:val="both"/>
        <w:rPr>
          <w:rFonts w:hint="default" w:ascii="Times New Roman" w:hAnsi="Times New Roman" w:cs="Times New Roman"/>
          <w:color w:val="000000" w:themeColor="text1"/>
          <w:lang w:eastAsia="zh-CN"/>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3DDAB622">
      <w:pPr>
        <w:pStyle w:val="29"/>
        <w:pageBreakBefore w:val="0"/>
        <w:kinsoku/>
        <w:overflowPunct/>
        <w:topLinePunct w:val="0"/>
        <w:bidi w:val="0"/>
        <w:adjustRightInd w:val="0"/>
        <w:snapToGrid w:val="0"/>
        <w:spacing w:before="0" w:beforeAutospacing="0" w:after="0" w:afterAutospacing="0"/>
        <w:ind w:left="0" w:leftChars="0" w:right="0"/>
        <w:jc w:val="center"/>
        <w:outlineLvl w:val="0"/>
        <w:rPr>
          <w:rFonts w:hint="default" w:ascii="Times New Roman" w:hAnsi="Times New Roman" w:cs="Times New Roman"/>
          <w:b/>
          <w:bCs/>
          <w:snapToGrid w:val="0"/>
          <w:color w:val="000000" w:themeColor="text1"/>
          <w:sz w:val="30"/>
          <w:szCs w:val="30"/>
          <w14:textFill>
            <w14:solidFill>
              <w14:schemeClr w14:val="tx1"/>
            </w14:solidFill>
          </w14:textFill>
        </w:rPr>
      </w:pPr>
      <w:bookmarkStart w:id="9" w:name="_Toc30051"/>
      <w:bookmarkStart w:id="10" w:name="_Toc7404"/>
      <w:r>
        <w:rPr>
          <w:rFonts w:hint="default" w:ascii="Times New Roman" w:hAnsi="Times New Roman" w:cs="Times New Roman"/>
          <w:b/>
          <w:bCs/>
          <w:snapToGrid w:val="0"/>
          <w:color w:val="000000" w:themeColor="text1"/>
          <w:sz w:val="30"/>
          <w:szCs w:val="30"/>
          <w14:textFill>
            <w14:solidFill>
              <w14:schemeClr w14:val="tx1"/>
            </w14:solidFill>
          </w14:textFill>
        </w:rPr>
        <w:t>三、区域环境质量现状、环境保护目标及评价标准</w:t>
      </w:r>
      <w:bookmarkEnd w:id="9"/>
      <w:bookmarkEnd w:id="10"/>
    </w:p>
    <w:tbl>
      <w:tblPr>
        <w:tblStyle w:val="33"/>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8331"/>
      </w:tblGrid>
      <w:tr w14:paraId="2948F6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vAlign w:val="center"/>
          </w:tcPr>
          <w:p w14:paraId="1DB9B9AB">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区域</w:t>
            </w:r>
          </w:p>
          <w:p w14:paraId="4946D031">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环境</w:t>
            </w:r>
          </w:p>
          <w:p w14:paraId="18418F53">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质量</w:t>
            </w:r>
          </w:p>
          <w:p w14:paraId="1B53ABD4">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现状</w:t>
            </w:r>
          </w:p>
        </w:tc>
        <w:tc>
          <w:tcPr>
            <w:tcW w:w="8321" w:type="dxa"/>
            <w:vAlign w:val="center"/>
          </w:tcPr>
          <w:p w14:paraId="4FD02A8D">
            <w:pPr>
              <w:pageBreakBefore w:val="0"/>
              <w:kinsoku/>
              <w:overflowPunct/>
              <w:topLinePunct w:val="0"/>
              <w:bidi w:val="0"/>
              <w:spacing w:line="360" w:lineRule="auto"/>
              <w:ind w:left="0" w:leftChars="0" w:right="0"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1、环境空气质量现状</w:t>
            </w:r>
          </w:p>
          <w:p w14:paraId="0E545A9E">
            <w:pPr>
              <w:pageBreakBefore w:val="0"/>
              <w:kinsoku/>
              <w:overflowPunct/>
              <w:topLinePunct w:val="0"/>
              <w:bidi w:val="0"/>
              <w:spacing w:line="360" w:lineRule="auto"/>
              <w:ind w:left="0" w:leftChars="0" w:right="0" w:firstLine="458" w:firstLineChars="200"/>
              <w:rPr>
                <w:rFonts w:hint="default" w:ascii="Times New Roman" w:hAnsi="Times New Roman" w:cs="Times New Roman"/>
                <w:b/>
                <w:bCs/>
                <w:color w:val="000000" w:themeColor="text1"/>
                <w:spacing w:val="-6"/>
                <w:sz w:val="24"/>
                <w14:textFill>
                  <w14:solidFill>
                    <w14:schemeClr w14:val="tx1"/>
                  </w14:solidFill>
                </w14:textFill>
              </w:rPr>
            </w:pPr>
            <w:r>
              <w:rPr>
                <w:rFonts w:hint="default" w:ascii="Times New Roman" w:hAnsi="Times New Roman" w:cs="Times New Roman"/>
                <w:b/>
                <w:bCs/>
                <w:color w:val="000000" w:themeColor="text1"/>
                <w:spacing w:val="-6"/>
                <w:sz w:val="24"/>
                <w14:textFill>
                  <w14:solidFill>
                    <w14:schemeClr w14:val="tx1"/>
                  </w14:solidFill>
                </w14:textFill>
              </w:rPr>
              <w:t>（1）环境质量标准</w:t>
            </w:r>
          </w:p>
          <w:p w14:paraId="0098A52B">
            <w:pPr>
              <w:pageBreakBefore w:val="0"/>
              <w:kinsoku/>
              <w:overflowPunct/>
              <w:topLinePunct w:val="0"/>
              <w:bidi w:val="0"/>
              <w:spacing w:line="360" w:lineRule="auto"/>
              <w:ind w:left="0" w:leftChars="0" w:right="0" w:firstLine="480" w:firstLineChars="200"/>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本项目位于</w:t>
            </w:r>
            <w:r>
              <w:rPr>
                <w:rFonts w:hint="default" w:ascii="Times New Roman" w:hAnsi="Times New Roman" w:cs="Times New Roman"/>
                <w:color w:val="000000" w:themeColor="text1"/>
                <w:sz w:val="24"/>
                <w:lang w:val="en-US" w:eastAsia="zh-CN"/>
                <w14:textFill>
                  <w14:solidFill>
                    <w14:schemeClr w14:val="tx1"/>
                  </w14:solidFill>
                </w14:textFill>
              </w:rPr>
              <w:t>玉溪市红塔区研和街道可官社区可官一组</w:t>
            </w:r>
            <w:r>
              <w:rPr>
                <w:rFonts w:hint="default" w:ascii="Times New Roman" w:hAnsi="Times New Roman" w:cs="Times New Roman"/>
                <w:color w:val="000000" w:themeColor="text1"/>
                <w:kern w:val="0"/>
                <w:sz w:val="24"/>
                <w14:textFill>
                  <w14:solidFill>
                    <w14:schemeClr w14:val="tx1"/>
                  </w14:solidFill>
                </w14:textFill>
              </w:rPr>
              <w:t>，</w:t>
            </w:r>
            <w:r>
              <w:rPr>
                <w:rFonts w:hint="default" w:ascii="Times New Roman" w:hAnsi="Times New Roman" w:cs="Times New Roman"/>
                <w:color w:val="000000" w:themeColor="text1"/>
                <w:kern w:val="0"/>
                <w:sz w:val="24"/>
                <w:lang w:eastAsia="zh-CN"/>
                <w14:textFill>
                  <w14:solidFill>
                    <w14:schemeClr w14:val="tx1"/>
                  </w14:solidFill>
                </w14:textFill>
              </w:rPr>
              <w:t>属于</w:t>
            </w:r>
            <w:r>
              <w:rPr>
                <w:rFonts w:hint="default" w:ascii="Times New Roman" w:hAnsi="Times New Roman" w:cs="Times New Roman"/>
                <w:color w:val="000000" w:themeColor="text1"/>
                <w:kern w:val="0"/>
                <w:sz w:val="24"/>
                <w:lang w:val="en-US" w:eastAsia="zh-CN"/>
                <w14:textFill>
                  <w14:solidFill>
                    <w14:schemeClr w14:val="tx1"/>
                  </w14:solidFill>
                </w14:textFill>
              </w:rPr>
              <w:t>云南红塔产业园区研和片区地块三，</w:t>
            </w:r>
            <w:r>
              <w:rPr>
                <w:rFonts w:hint="default" w:ascii="Times New Roman" w:hAnsi="Times New Roman" w:cs="Times New Roman"/>
                <w:color w:val="000000" w:themeColor="text1"/>
                <w:kern w:val="0"/>
                <w:sz w:val="24"/>
                <w:lang w:eastAsia="zh-CN"/>
                <w14:textFill>
                  <w14:solidFill>
                    <w14:schemeClr w14:val="tx1"/>
                  </w14:solidFill>
                </w14:textFill>
              </w:rPr>
              <w:t>根据</w:t>
            </w:r>
            <w:r>
              <w:rPr>
                <w:rFonts w:hint="default" w:ascii="Times New Roman" w:hAnsi="Times New Roman" w:cs="Times New Roman"/>
                <w:color w:val="000000" w:themeColor="text1"/>
                <w:kern w:val="0"/>
                <w:sz w:val="24"/>
                <w:szCs w:val="24"/>
                <w:lang w:eastAsia="zh-CN"/>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14:textFill>
                  <w14:solidFill>
                    <w14:schemeClr w14:val="tx1"/>
                  </w14:solidFill>
                </w14:textFill>
              </w:rPr>
              <w:t>云南红塔产业园区总体规划修编（2021-2035 年）环境影响报告书</w:t>
            </w:r>
            <w:r>
              <w:rPr>
                <w:rFonts w:hint="default" w:ascii="Times New Roman" w:hAnsi="Times New Roman" w:cs="Times New Roman"/>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该区域属二类环境空气质量功能区，</w:t>
            </w:r>
            <w:r>
              <w:rPr>
                <w:rFonts w:hint="default" w:ascii="Times New Roman" w:hAnsi="Times New Roman" w:eastAsia="宋体" w:cs="Times New Roman"/>
                <w:color w:val="000000" w:themeColor="text1"/>
                <w:kern w:val="0"/>
                <w:sz w:val="24"/>
                <w:szCs w:val="24"/>
                <w14:textFill>
                  <w14:solidFill>
                    <w14:schemeClr w14:val="tx1"/>
                  </w14:solidFill>
                </w14:textFill>
              </w:rPr>
              <w:t>执行《环境空气质量标准》（GB3095-2012）及其修改单二级标准</w:t>
            </w:r>
            <w:r>
              <w:rPr>
                <w:rFonts w:hint="default" w:ascii="Times New Roman" w:hAnsi="Times New Roman" w:cs="Times New Roman"/>
                <w:color w:val="000000" w:themeColor="text1"/>
                <w:kern w:val="0"/>
                <w:sz w:val="24"/>
                <w:szCs w:val="24"/>
                <w:lang w:eastAsia="zh-CN"/>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14:textFill>
                  <w14:solidFill>
                    <w14:schemeClr w14:val="tx1"/>
                  </w14:solidFill>
                </w14:textFill>
              </w:rPr>
              <w:t>非甲烷总烃执行《大气污染物综合排放标准详解》P244</w:t>
            </w:r>
            <w:r>
              <w:rPr>
                <w:rFonts w:hint="default" w:ascii="Times New Roman" w:hAnsi="Times New Roman" w:cs="Times New Roman"/>
                <w:color w:val="000000" w:themeColor="text1"/>
                <w:kern w:val="0"/>
                <w:sz w:val="24"/>
                <w:szCs w:val="24"/>
                <w14:textFill>
                  <w14:solidFill>
                    <w14:schemeClr w14:val="tx1"/>
                  </w14:solidFill>
                </w14:textFill>
              </w:rPr>
              <w:t>。标准值见表3-1。</w:t>
            </w:r>
          </w:p>
          <w:p w14:paraId="5401A1F5">
            <w:pPr>
              <w:pageBreakBefore w:val="0"/>
              <w:kinsoku/>
              <w:overflowPunct/>
              <w:topLinePunct w:val="0"/>
              <w:bidi w:val="0"/>
              <w:ind w:left="0" w:leftChars="0" w:right="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表3-1   环境空气质量标准</w:t>
            </w:r>
          </w:p>
          <w:tbl>
            <w:tblPr>
              <w:tblStyle w:val="33"/>
              <w:tblW w:w="8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4"/>
              <w:gridCol w:w="2056"/>
              <w:gridCol w:w="2280"/>
              <w:gridCol w:w="2391"/>
            </w:tblGrid>
            <w:tr w14:paraId="7BDAB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04" w:type="dxa"/>
                  <w:vAlign w:val="center"/>
                </w:tcPr>
                <w:p w14:paraId="6E335943">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污染物名称</w:t>
                  </w:r>
                </w:p>
              </w:tc>
              <w:tc>
                <w:tcPr>
                  <w:tcW w:w="2056" w:type="dxa"/>
                  <w:vAlign w:val="center"/>
                </w:tcPr>
                <w:p w14:paraId="01617CF4">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取值时间</w:t>
                  </w:r>
                </w:p>
              </w:tc>
              <w:tc>
                <w:tcPr>
                  <w:tcW w:w="2280" w:type="dxa"/>
                  <w:vAlign w:val="center"/>
                </w:tcPr>
                <w:p w14:paraId="6A49E1C8">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标准浓度限值</w:t>
                  </w:r>
                  <w:r>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bCs/>
                      <w:color w:val="000000" w:themeColor="text1"/>
                      <w:sz w:val="21"/>
                      <w:szCs w:val="21"/>
                      <w14:textFill>
                        <w14:solidFill>
                          <w14:schemeClr w14:val="tx1"/>
                        </w14:solidFill>
                      </w14:textFill>
                    </w:rPr>
                    <w:t>ug/</w:t>
                  </w:r>
                  <w:r>
                    <w:rPr>
                      <w:rFonts w:hint="default" w:ascii="Times New Roman" w:hAnsi="Times New Roman" w:cs="Times New Roman" w:eastAsiaTheme="minorEastAsia"/>
                      <w:color w:val="000000" w:themeColor="text1"/>
                      <w:sz w:val="21"/>
                      <w:szCs w:val="21"/>
                      <w14:textFill>
                        <w14:solidFill>
                          <w14:schemeClr w14:val="tx1"/>
                        </w14:solidFill>
                      </w14:textFill>
                    </w:rPr>
                    <w:t>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t>）</w:t>
                  </w:r>
                </w:p>
              </w:tc>
              <w:tc>
                <w:tcPr>
                  <w:tcW w:w="2391" w:type="dxa"/>
                  <w:vAlign w:val="center"/>
                </w:tcPr>
                <w:p w14:paraId="2577C93E">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执行标准</w:t>
                  </w:r>
                </w:p>
              </w:tc>
            </w:tr>
            <w:tr w14:paraId="59E99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04" w:type="dxa"/>
                  <w:vMerge w:val="restart"/>
                  <w:vAlign w:val="center"/>
                </w:tcPr>
                <w:p w14:paraId="1FAAD0FB">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SO</w:t>
                  </w:r>
                  <w:r>
                    <w:rPr>
                      <w:rFonts w:hint="default" w:ascii="Times New Roman" w:hAnsi="Times New Roman" w:cs="Times New Roman" w:eastAsiaTheme="minorEastAsia"/>
                      <w:bCs/>
                      <w:color w:val="000000" w:themeColor="text1"/>
                      <w:sz w:val="21"/>
                      <w:szCs w:val="21"/>
                      <w:vertAlign w:val="subscript"/>
                      <w14:textFill>
                        <w14:solidFill>
                          <w14:schemeClr w14:val="tx1"/>
                        </w14:solidFill>
                      </w14:textFill>
                    </w:rPr>
                    <w:t>2</w:t>
                  </w:r>
                </w:p>
              </w:tc>
              <w:tc>
                <w:tcPr>
                  <w:tcW w:w="2056" w:type="dxa"/>
                  <w:vAlign w:val="center"/>
                </w:tcPr>
                <w:p w14:paraId="5F869509">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年平均</w:t>
                  </w:r>
                </w:p>
              </w:tc>
              <w:tc>
                <w:tcPr>
                  <w:tcW w:w="2280" w:type="dxa"/>
                  <w:vAlign w:val="center"/>
                </w:tcPr>
                <w:p w14:paraId="3DF47B15">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60</w:t>
                  </w:r>
                </w:p>
              </w:tc>
              <w:tc>
                <w:tcPr>
                  <w:tcW w:w="2391" w:type="dxa"/>
                  <w:vMerge w:val="restart"/>
                  <w:vAlign w:val="center"/>
                </w:tcPr>
                <w:p w14:paraId="572574EF">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《环境空气质量标准》（GB3095-2012）二级标准及2018修改单</w:t>
                  </w:r>
                </w:p>
              </w:tc>
            </w:tr>
            <w:tr w14:paraId="4FCCE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04" w:type="dxa"/>
                  <w:vMerge w:val="continue"/>
                  <w:vAlign w:val="center"/>
                </w:tcPr>
                <w:p w14:paraId="7E8A150E">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p>
              </w:tc>
              <w:tc>
                <w:tcPr>
                  <w:tcW w:w="2056" w:type="dxa"/>
                  <w:vAlign w:val="center"/>
                </w:tcPr>
                <w:p w14:paraId="4F19FE9D">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24小时平均</w:t>
                  </w:r>
                </w:p>
              </w:tc>
              <w:tc>
                <w:tcPr>
                  <w:tcW w:w="2280" w:type="dxa"/>
                  <w:vAlign w:val="center"/>
                </w:tcPr>
                <w:p w14:paraId="262FE658">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150</w:t>
                  </w:r>
                </w:p>
              </w:tc>
              <w:tc>
                <w:tcPr>
                  <w:tcW w:w="2391" w:type="dxa"/>
                  <w:vMerge w:val="continue"/>
                  <w:vAlign w:val="center"/>
                </w:tcPr>
                <w:p w14:paraId="7C50367A">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p>
              </w:tc>
            </w:tr>
            <w:tr w14:paraId="43BF9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04" w:type="dxa"/>
                  <w:vMerge w:val="continue"/>
                  <w:vAlign w:val="center"/>
                </w:tcPr>
                <w:p w14:paraId="3FBCCED0">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p>
              </w:tc>
              <w:tc>
                <w:tcPr>
                  <w:tcW w:w="2056" w:type="dxa"/>
                  <w:vAlign w:val="center"/>
                </w:tcPr>
                <w:p w14:paraId="1AF42B5B">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1小时平均</w:t>
                  </w:r>
                </w:p>
              </w:tc>
              <w:tc>
                <w:tcPr>
                  <w:tcW w:w="2280" w:type="dxa"/>
                  <w:vAlign w:val="center"/>
                </w:tcPr>
                <w:p w14:paraId="7F23AB8B">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500</w:t>
                  </w:r>
                </w:p>
              </w:tc>
              <w:tc>
                <w:tcPr>
                  <w:tcW w:w="2391" w:type="dxa"/>
                  <w:vMerge w:val="continue"/>
                  <w:vAlign w:val="center"/>
                </w:tcPr>
                <w:p w14:paraId="55739316">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p>
              </w:tc>
            </w:tr>
            <w:tr w14:paraId="749EE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04" w:type="dxa"/>
                  <w:vMerge w:val="restart"/>
                  <w:vAlign w:val="center"/>
                </w:tcPr>
                <w:p w14:paraId="7305EFE5">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NO</w:t>
                  </w:r>
                  <w:r>
                    <w:rPr>
                      <w:rFonts w:hint="default" w:ascii="Times New Roman" w:hAnsi="Times New Roman" w:cs="Times New Roman" w:eastAsiaTheme="minorEastAsia"/>
                      <w:bCs/>
                      <w:color w:val="000000" w:themeColor="text1"/>
                      <w:sz w:val="21"/>
                      <w:szCs w:val="21"/>
                      <w:vertAlign w:val="subscript"/>
                      <w14:textFill>
                        <w14:solidFill>
                          <w14:schemeClr w14:val="tx1"/>
                        </w14:solidFill>
                      </w14:textFill>
                    </w:rPr>
                    <w:t>2</w:t>
                  </w:r>
                </w:p>
              </w:tc>
              <w:tc>
                <w:tcPr>
                  <w:tcW w:w="2056" w:type="dxa"/>
                  <w:vAlign w:val="center"/>
                </w:tcPr>
                <w:p w14:paraId="3E2E6B00">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年平均</w:t>
                  </w:r>
                </w:p>
              </w:tc>
              <w:tc>
                <w:tcPr>
                  <w:tcW w:w="2280" w:type="dxa"/>
                  <w:vAlign w:val="center"/>
                </w:tcPr>
                <w:p w14:paraId="78909FBE">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40</w:t>
                  </w:r>
                </w:p>
              </w:tc>
              <w:tc>
                <w:tcPr>
                  <w:tcW w:w="2391" w:type="dxa"/>
                  <w:vMerge w:val="continue"/>
                  <w:vAlign w:val="center"/>
                </w:tcPr>
                <w:p w14:paraId="611B991E">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p>
              </w:tc>
            </w:tr>
            <w:tr w14:paraId="691F2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04" w:type="dxa"/>
                  <w:vMerge w:val="continue"/>
                  <w:vAlign w:val="center"/>
                </w:tcPr>
                <w:p w14:paraId="5E31B0F2">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p>
              </w:tc>
              <w:tc>
                <w:tcPr>
                  <w:tcW w:w="2056" w:type="dxa"/>
                  <w:vAlign w:val="center"/>
                </w:tcPr>
                <w:p w14:paraId="4B44284C">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24小时平均</w:t>
                  </w:r>
                </w:p>
              </w:tc>
              <w:tc>
                <w:tcPr>
                  <w:tcW w:w="2280" w:type="dxa"/>
                  <w:vAlign w:val="center"/>
                </w:tcPr>
                <w:p w14:paraId="7BE9E6C0">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80</w:t>
                  </w:r>
                </w:p>
              </w:tc>
              <w:tc>
                <w:tcPr>
                  <w:tcW w:w="2391" w:type="dxa"/>
                  <w:vMerge w:val="continue"/>
                  <w:vAlign w:val="center"/>
                </w:tcPr>
                <w:p w14:paraId="310428BD">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p>
              </w:tc>
            </w:tr>
            <w:tr w14:paraId="54BE8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4" w:type="dxa"/>
                  <w:vMerge w:val="continue"/>
                  <w:vAlign w:val="center"/>
                </w:tcPr>
                <w:p w14:paraId="1FC2D7EE">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p>
              </w:tc>
              <w:tc>
                <w:tcPr>
                  <w:tcW w:w="2056" w:type="dxa"/>
                  <w:vAlign w:val="center"/>
                </w:tcPr>
                <w:p w14:paraId="44DE5696">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1小时平均</w:t>
                  </w:r>
                </w:p>
              </w:tc>
              <w:tc>
                <w:tcPr>
                  <w:tcW w:w="2280" w:type="dxa"/>
                  <w:vAlign w:val="center"/>
                </w:tcPr>
                <w:p w14:paraId="10F57CAA">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200</w:t>
                  </w:r>
                </w:p>
              </w:tc>
              <w:tc>
                <w:tcPr>
                  <w:tcW w:w="2391" w:type="dxa"/>
                  <w:vMerge w:val="continue"/>
                  <w:vAlign w:val="center"/>
                </w:tcPr>
                <w:p w14:paraId="47028413">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p>
              </w:tc>
            </w:tr>
            <w:tr w14:paraId="20DE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04" w:type="dxa"/>
                  <w:vMerge w:val="restart"/>
                  <w:vAlign w:val="center"/>
                </w:tcPr>
                <w:p w14:paraId="13C7D5D4">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CO</w:t>
                  </w:r>
                </w:p>
              </w:tc>
              <w:tc>
                <w:tcPr>
                  <w:tcW w:w="2056" w:type="dxa"/>
                  <w:vAlign w:val="center"/>
                </w:tcPr>
                <w:p w14:paraId="2BAB50BE">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24小时平均</w:t>
                  </w:r>
                </w:p>
              </w:tc>
              <w:tc>
                <w:tcPr>
                  <w:tcW w:w="2280" w:type="dxa"/>
                  <w:vAlign w:val="center"/>
                </w:tcPr>
                <w:p w14:paraId="52C8109C">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4</w:t>
                  </w:r>
                  <w:r>
                    <w:rPr>
                      <w:rFonts w:hint="default" w:ascii="Times New Roman" w:hAnsi="Times New Roman" w:cs="Times New Roman" w:eastAsiaTheme="minorEastAsia"/>
                      <w:color w:val="000000" w:themeColor="text1"/>
                      <w:sz w:val="21"/>
                      <w:szCs w:val="21"/>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p>
              </w:tc>
              <w:tc>
                <w:tcPr>
                  <w:tcW w:w="2391" w:type="dxa"/>
                  <w:vMerge w:val="continue"/>
                  <w:vAlign w:val="center"/>
                </w:tcPr>
                <w:p w14:paraId="7975ACAD">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p>
              </w:tc>
            </w:tr>
            <w:tr w14:paraId="3C74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04" w:type="dxa"/>
                  <w:vMerge w:val="continue"/>
                  <w:vAlign w:val="center"/>
                </w:tcPr>
                <w:p w14:paraId="7D08944F">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p>
              </w:tc>
              <w:tc>
                <w:tcPr>
                  <w:tcW w:w="2056" w:type="dxa"/>
                  <w:vAlign w:val="center"/>
                </w:tcPr>
                <w:p w14:paraId="7C505AED">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1小时平均</w:t>
                  </w:r>
                </w:p>
              </w:tc>
              <w:tc>
                <w:tcPr>
                  <w:tcW w:w="2280" w:type="dxa"/>
                  <w:vAlign w:val="center"/>
                </w:tcPr>
                <w:p w14:paraId="4F1DC58E">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10</w:t>
                  </w:r>
                  <w:r>
                    <w:rPr>
                      <w:rFonts w:hint="default" w:ascii="Times New Roman" w:hAnsi="Times New Roman" w:cs="Times New Roman" w:eastAsiaTheme="minorEastAsia"/>
                      <w:color w:val="000000" w:themeColor="text1"/>
                      <w:sz w:val="21"/>
                      <w:szCs w:val="21"/>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p>
              </w:tc>
              <w:tc>
                <w:tcPr>
                  <w:tcW w:w="2391" w:type="dxa"/>
                  <w:vMerge w:val="continue"/>
                  <w:vAlign w:val="center"/>
                </w:tcPr>
                <w:p w14:paraId="64D5F2D0">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p>
              </w:tc>
            </w:tr>
            <w:tr w14:paraId="1539E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04" w:type="dxa"/>
                  <w:vMerge w:val="restart"/>
                  <w:vAlign w:val="center"/>
                </w:tcPr>
                <w:p w14:paraId="11D5736C">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O</w:t>
                  </w:r>
                  <w:r>
                    <w:rPr>
                      <w:rFonts w:hint="default" w:ascii="Times New Roman" w:hAnsi="Times New Roman" w:cs="Times New Roman" w:eastAsiaTheme="minorEastAsia"/>
                      <w:bCs/>
                      <w:color w:val="000000" w:themeColor="text1"/>
                      <w:sz w:val="21"/>
                      <w:szCs w:val="21"/>
                      <w:vertAlign w:val="subscript"/>
                      <w14:textFill>
                        <w14:solidFill>
                          <w14:schemeClr w14:val="tx1"/>
                        </w14:solidFill>
                      </w14:textFill>
                    </w:rPr>
                    <w:t>3</w:t>
                  </w:r>
                </w:p>
              </w:tc>
              <w:tc>
                <w:tcPr>
                  <w:tcW w:w="2056" w:type="dxa"/>
                  <w:vAlign w:val="center"/>
                </w:tcPr>
                <w:p w14:paraId="304D15F6">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日最大8小时平均</w:t>
                  </w:r>
                </w:p>
              </w:tc>
              <w:tc>
                <w:tcPr>
                  <w:tcW w:w="2280" w:type="dxa"/>
                  <w:vAlign w:val="center"/>
                </w:tcPr>
                <w:p w14:paraId="6A29ACE7">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160</w:t>
                  </w:r>
                </w:p>
              </w:tc>
              <w:tc>
                <w:tcPr>
                  <w:tcW w:w="2391" w:type="dxa"/>
                  <w:vMerge w:val="continue"/>
                  <w:vAlign w:val="center"/>
                </w:tcPr>
                <w:p w14:paraId="7AD57C9A">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p>
              </w:tc>
            </w:tr>
            <w:tr w14:paraId="4CFC3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04" w:type="dxa"/>
                  <w:vMerge w:val="continue"/>
                  <w:vAlign w:val="center"/>
                </w:tcPr>
                <w:p w14:paraId="56CC88A9">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p>
              </w:tc>
              <w:tc>
                <w:tcPr>
                  <w:tcW w:w="2056" w:type="dxa"/>
                  <w:vAlign w:val="center"/>
                </w:tcPr>
                <w:p w14:paraId="64297C43">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1小时平均</w:t>
                  </w:r>
                </w:p>
              </w:tc>
              <w:tc>
                <w:tcPr>
                  <w:tcW w:w="2280" w:type="dxa"/>
                  <w:vAlign w:val="center"/>
                </w:tcPr>
                <w:p w14:paraId="572B20E1">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200</w:t>
                  </w:r>
                </w:p>
              </w:tc>
              <w:tc>
                <w:tcPr>
                  <w:tcW w:w="2391" w:type="dxa"/>
                  <w:vMerge w:val="continue"/>
                  <w:vAlign w:val="center"/>
                </w:tcPr>
                <w:p w14:paraId="23368A24">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p>
              </w:tc>
            </w:tr>
            <w:tr w14:paraId="5D90F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04" w:type="dxa"/>
                  <w:vMerge w:val="restart"/>
                  <w:vAlign w:val="center"/>
                </w:tcPr>
                <w:p w14:paraId="2981DAC5">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PM</w:t>
                  </w:r>
                  <w:r>
                    <w:rPr>
                      <w:rFonts w:hint="default" w:ascii="Times New Roman" w:hAnsi="Times New Roman" w:cs="Times New Roman" w:eastAsiaTheme="minorEastAsia"/>
                      <w:bCs/>
                      <w:color w:val="000000" w:themeColor="text1"/>
                      <w:sz w:val="21"/>
                      <w:szCs w:val="21"/>
                      <w:vertAlign w:val="subscript"/>
                      <w14:textFill>
                        <w14:solidFill>
                          <w14:schemeClr w14:val="tx1"/>
                        </w14:solidFill>
                      </w14:textFill>
                    </w:rPr>
                    <w:t>10</w:t>
                  </w:r>
                </w:p>
              </w:tc>
              <w:tc>
                <w:tcPr>
                  <w:tcW w:w="2056" w:type="dxa"/>
                  <w:vAlign w:val="center"/>
                </w:tcPr>
                <w:p w14:paraId="7F320B9D">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年平均</w:t>
                  </w:r>
                </w:p>
              </w:tc>
              <w:tc>
                <w:tcPr>
                  <w:tcW w:w="2280" w:type="dxa"/>
                  <w:vAlign w:val="center"/>
                </w:tcPr>
                <w:p w14:paraId="4D13AF76">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70</w:t>
                  </w:r>
                </w:p>
              </w:tc>
              <w:tc>
                <w:tcPr>
                  <w:tcW w:w="2391" w:type="dxa"/>
                  <w:vMerge w:val="continue"/>
                  <w:vAlign w:val="center"/>
                </w:tcPr>
                <w:p w14:paraId="4D638024">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p>
              </w:tc>
            </w:tr>
            <w:tr w14:paraId="51A1D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04" w:type="dxa"/>
                  <w:vMerge w:val="continue"/>
                  <w:vAlign w:val="center"/>
                </w:tcPr>
                <w:p w14:paraId="742C2FC0">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p>
              </w:tc>
              <w:tc>
                <w:tcPr>
                  <w:tcW w:w="2056" w:type="dxa"/>
                  <w:vAlign w:val="center"/>
                </w:tcPr>
                <w:p w14:paraId="5B33978A">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24小时平均</w:t>
                  </w:r>
                </w:p>
              </w:tc>
              <w:tc>
                <w:tcPr>
                  <w:tcW w:w="2280" w:type="dxa"/>
                  <w:vAlign w:val="center"/>
                </w:tcPr>
                <w:p w14:paraId="58A47991">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150</w:t>
                  </w:r>
                </w:p>
              </w:tc>
              <w:tc>
                <w:tcPr>
                  <w:tcW w:w="2391" w:type="dxa"/>
                  <w:vMerge w:val="continue"/>
                  <w:vAlign w:val="center"/>
                </w:tcPr>
                <w:p w14:paraId="0E444390">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p>
              </w:tc>
            </w:tr>
            <w:tr w14:paraId="15229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04" w:type="dxa"/>
                  <w:vMerge w:val="restart"/>
                  <w:vAlign w:val="center"/>
                </w:tcPr>
                <w:p w14:paraId="6E769AAE">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P</w:t>
                  </w:r>
                  <w:r>
                    <w:rPr>
                      <w:rFonts w:hint="default" w:ascii="Times New Roman" w:hAnsi="Times New Roman" w:cs="Times New Roman" w:eastAsiaTheme="minorEastAsia"/>
                      <w:color w:val="000000" w:themeColor="text1"/>
                      <w:sz w:val="21"/>
                      <w:szCs w:val="21"/>
                      <w14:textFill>
                        <w14:solidFill>
                          <w14:schemeClr w14:val="tx1"/>
                        </w14:solidFill>
                      </w14:textFill>
                    </w:rPr>
                    <w:t>M</w:t>
                  </w:r>
                  <w:r>
                    <w:rPr>
                      <w:rFonts w:hint="default" w:ascii="Times New Roman" w:hAnsi="Times New Roman" w:cs="Times New Roman" w:eastAsiaTheme="minorEastAsia"/>
                      <w:color w:val="000000" w:themeColor="text1"/>
                      <w:sz w:val="21"/>
                      <w:szCs w:val="21"/>
                      <w:vertAlign w:val="subscript"/>
                      <w14:textFill>
                        <w14:solidFill>
                          <w14:schemeClr w14:val="tx1"/>
                        </w14:solidFill>
                      </w14:textFill>
                    </w:rPr>
                    <w:t>2</w:t>
                  </w:r>
                  <w:r>
                    <w:rPr>
                      <w:rFonts w:hint="default" w:ascii="Times New Roman" w:hAnsi="Times New Roman" w:cs="Times New Roman" w:eastAsiaTheme="minorEastAsia"/>
                      <w:bCs/>
                      <w:color w:val="000000" w:themeColor="text1"/>
                      <w:sz w:val="21"/>
                      <w:szCs w:val="21"/>
                      <w:vertAlign w:val="subscript"/>
                      <w14:textFill>
                        <w14:solidFill>
                          <w14:schemeClr w14:val="tx1"/>
                        </w14:solidFill>
                      </w14:textFill>
                    </w:rPr>
                    <w:t>.5</w:t>
                  </w:r>
                </w:p>
              </w:tc>
              <w:tc>
                <w:tcPr>
                  <w:tcW w:w="2056" w:type="dxa"/>
                  <w:vAlign w:val="center"/>
                </w:tcPr>
                <w:p w14:paraId="43E69CB1">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年平均</w:t>
                  </w:r>
                </w:p>
              </w:tc>
              <w:tc>
                <w:tcPr>
                  <w:tcW w:w="2280" w:type="dxa"/>
                  <w:vAlign w:val="center"/>
                </w:tcPr>
                <w:p w14:paraId="34B1B685">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35</w:t>
                  </w:r>
                </w:p>
              </w:tc>
              <w:tc>
                <w:tcPr>
                  <w:tcW w:w="2391" w:type="dxa"/>
                  <w:vMerge w:val="continue"/>
                  <w:vAlign w:val="center"/>
                </w:tcPr>
                <w:p w14:paraId="008C425A">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p>
              </w:tc>
            </w:tr>
            <w:tr w14:paraId="5E34F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4" w:type="dxa"/>
                  <w:vMerge w:val="continue"/>
                  <w:vAlign w:val="center"/>
                </w:tcPr>
                <w:p w14:paraId="3E4AFBDD">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p>
              </w:tc>
              <w:tc>
                <w:tcPr>
                  <w:tcW w:w="2056" w:type="dxa"/>
                  <w:vAlign w:val="center"/>
                </w:tcPr>
                <w:p w14:paraId="1F16D805">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24小时平均</w:t>
                  </w:r>
                </w:p>
              </w:tc>
              <w:tc>
                <w:tcPr>
                  <w:tcW w:w="2280" w:type="dxa"/>
                  <w:vAlign w:val="center"/>
                </w:tcPr>
                <w:p w14:paraId="2B710AAE">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75</w:t>
                  </w:r>
                </w:p>
              </w:tc>
              <w:tc>
                <w:tcPr>
                  <w:tcW w:w="2391" w:type="dxa"/>
                  <w:vMerge w:val="continue"/>
                  <w:vAlign w:val="center"/>
                </w:tcPr>
                <w:p w14:paraId="7BB1A1BE">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p>
              </w:tc>
            </w:tr>
            <w:tr w14:paraId="21ED7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4" w:type="dxa"/>
                  <w:vMerge w:val="restart"/>
                  <w:vAlign w:val="center"/>
                </w:tcPr>
                <w:p w14:paraId="5A3748DC">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TSP</w:t>
                  </w:r>
                </w:p>
              </w:tc>
              <w:tc>
                <w:tcPr>
                  <w:tcW w:w="2056" w:type="dxa"/>
                  <w:vAlign w:val="center"/>
                </w:tcPr>
                <w:p w14:paraId="453220D3">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t>年平均</w:t>
                  </w:r>
                </w:p>
              </w:tc>
              <w:tc>
                <w:tcPr>
                  <w:tcW w:w="2280" w:type="dxa"/>
                  <w:vAlign w:val="center"/>
                </w:tcPr>
                <w:p w14:paraId="2740ACA3">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200</w:t>
                  </w:r>
                </w:p>
              </w:tc>
              <w:tc>
                <w:tcPr>
                  <w:tcW w:w="2391" w:type="dxa"/>
                  <w:vMerge w:val="continue"/>
                  <w:vAlign w:val="center"/>
                </w:tcPr>
                <w:p w14:paraId="6C936112">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p>
              </w:tc>
            </w:tr>
            <w:tr w14:paraId="0B9E0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4" w:type="dxa"/>
                  <w:vMerge w:val="continue"/>
                  <w:vAlign w:val="center"/>
                </w:tcPr>
                <w:p w14:paraId="35BBD9F6">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p>
              </w:tc>
              <w:tc>
                <w:tcPr>
                  <w:tcW w:w="2056" w:type="dxa"/>
                  <w:vAlign w:val="center"/>
                </w:tcPr>
                <w:p w14:paraId="1F8B381F">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24小时平均</w:t>
                  </w:r>
                </w:p>
              </w:tc>
              <w:tc>
                <w:tcPr>
                  <w:tcW w:w="2280" w:type="dxa"/>
                  <w:vAlign w:val="center"/>
                </w:tcPr>
                <w:p w14:paraId="15DF8D46">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300</w:t>
                  </w:r>
                </w:p>
              </w:tc>
              <w:tc>
                <w:tcPr>
                  <w:tcW w:w="2391" w:type="dxa"/>
                  <w:vMerge w:val="continue"/>
                  <w:vAlign w:val="center"/>
                </w:tcPr>
                <w:p w14:paraId="2FD27827">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p>
              </w:tc>
            </w:tr>
            <w:tr w14:paraId="52E5E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4" w:type="dxa"/>
                  <w:vMerge w:val="restart"/>
                  <w:vAlign w:val="center"/>
                </w:tcPr>
                <w:p w14:paraId="7272B948">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cs="Times New Roman" w:eastAsiaTheme="minorEastAsia"/>
                      <w:bCs/>
                      <w:color w:val="000000" w:themeColor="text1"/>
                      <w:sz w:val="21"/>
                      <w:szCs w:val="21"/>
                      <w:lang w:val="en-US" w:eastAsia="zh-CN"/>
                      <w14:textFill>
                        <w14:solidFill>
                          <w14:schemeClr w14:val="tx1"/>
                        </w14:solidFill>
                      </w14:textFill>
                    </w:rPr>
                    <w:t>NO</w:t>
                  </w:r>
                  <w:r>
                    <w:rPr>
                      <w:rFonts w:hint="eastAsia" w:ascii="Times New Roman" w:cs="Times New Roman" w:eastAsiaTheme="minorEastAsia"/>
                      <w:bCs/>
                      <w:color w:val="000000" w:themeColor="text1"/>
                      <w:sz w:val="21"/>
                      <w:szCs w:val="21"/>
                      <w:vertAlign w:val="subscript"/>
                      <w:lang w:val="en-US" w:eastAsia="zh-CN"/>
                      <w14:textFill>
                        <w14:solidFill>
                          <w14:schemeClr w14:val="tx1"/>
                        </w14:solidFill>
                      </w14:textFill>
                    </w:rPr>
                    <w:t>X</w:t>
                  </w:r>
                </w:p>
              </w:tc>
              <w:tc>
                <w:tcPr>
                  <w:tcW w:w="2056" w:type="dxa"/>
                  <w:vAlign w:val="center"/>
                </w:tcPr>
                <w:p w14:paraId="68721524">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年平均</w:t>
                  </w:r>
                </w:p>
              </w:tc>
              <w:tc>
                <w:tcPr>
                  <w:tcW w:w="2280" w:type="dxa"/>
                  <w:vAlign w:val="center"/>
                </w:tcPr>
                <w:p w14:paraId="5AB59A25">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50</w:t>
                  </w:r>
                </w:p>
              </w:tc>
              <w:tc>
                <w:tcPr>
                  <w:tcW w:w="2391" w:type="dxa"/>
                  <w:vMerge w:val="continue"/>
                  <w:vAlign w:val="center"/>
                </w:tcPr>
                <w:p w14:paraId="154B84CB">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p>
              </w:tc>
            </w:tr>
            <w:tr w14:paraId="35E82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4" w:type="dxa"/>
                  <w:vMerge w:val="continue"/>
                  <w:vAlign w:val="center"/>
                </w:tcPr>
                <w:p w14:paraId="1BF07F3D">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p>
              </w:tc>
              <w:tc>
                <w:tcPr>
                  <w:tcW w:w="2056" w:type="dxa"/>
                  <w:vAlign w:val="center"/>
                </w:tcPr>
                <w:p w14:paraId="5FD38E34">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24小时平均</w:t>
                  </w:r>
                </w:p>
              </w:tc>
              <w:tc>
                <w:tcPr>
                  <w:tcW w:w="2280" w:type="dxa"/>
                  <w:vAlign w:val="center"/>
                </w:tcPr>
                <w:p w14:paraId="3B57BF0B">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cs="Times New Roman" w:eastAsiaTheme="minorEastAsia"/>
                      <w:bCs/>
                      <w:color w:val="000000" w:themeColor="text1"/>
                      <w:sz w:val="21"/>
                      <w:szCs w:val="21"/>
                      <w:lang w:val="en-US" w:eastAsia="zh-CN"/>
                      <w14:textFill>
                        <w14:solidFill>
                          <w14:schemeClr w14:val="tx1"/>
                        </w14:solidFill>
                      </w14:textFill>
                    </w:rPr>
                    <w:t>100</w:t>
                  </w:r>
                </w:p>
              </w:tc>
              <w:tc>
                <w:tcPr>
                  <w:tcW w:w="2391" w:type="dxa"/>
                  <w:vMerge w:val="continue"/>
                  <w:vAlign w:val="center"/>
                </w:tcPr>
                <w:p w14:paraId="03618370">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p>
              </w:tc>
            </w:tr>
            <w:tr w14:paraId="2A479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4" w:type="dxa"/>
                  <w:vMerge w:val="continue"/>
                  <w:vAlign w:val="center"/>
                </w:tcPr>
                <w:p w14:paraId="0C9703C7">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p>
              </w:tc>
              <w:tc>
                <w:tcPr>
                  <w:tcW w:w="2056" w:type="dxa"/>
                  <w:vAlign w:val="center"/>
                </w:tcPr>
                <w:p w14:paraId="13249B63">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1小时平均</w:t>
                  </w:r>
                </w:p>
              </w:tc>
              <w:tc>
                <w:tcPr>
                  <w:tcW w:w="2280" w:type="dxa"/>
                  <w:vAlign w:val="center"/>
                </w:tcPr>
                <w:p w14:paraId="0F5B5094">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2</w:t>
                  </w: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50</w:t>
                  </w:r>
                </w:p>
              </w:tc>
              <w:tc>
                <w:tcPr>
                  <w:tcW w:w="2391" w:type="dxa"/>
                  <w:vMerge w:val="continue"/>
                  <w:vAlign w:val="center"/>
                </w:tcPr>
                <w:p w14:paraId="02F5B8BA">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14:textFill>
                        <w14:solidFill>
                          <w14:schemeClr w14:val="tx1"/>
                        </w14:solidFill>
                      </w14:textFill>
                    </w:rPr>
                  </w:pPr>
                </w:p>
              </w:tc>
            </w:tr>
            <w:tr w14:paraId="7617F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4" w:type="dxa"/>
                  <w:vAlign w:val="center"/>
                </w:tcPr>
                <w:p w14:paraId="72F41814">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非甲烷总烃</w:t>
                  </w:r>
                </w:p>
              </w:tc>
              <w:tc>
                <w:tcPr>
                  <w:tcW w:w="2056" w:type="dxa"/>
                  <w:vAlign w:val="center"/>
                </w:tcPr>
                <w:p w14:paraId="2276EDE5">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1小时平均</w:t>
                  </w:r>
                </w:p>
              </w:tc>
              <w:tc>
                <w:tcPr>
                  <w:tcW w:w="2280" w:type="dxa"/>
                  <w:vAlign w:val="center"/>
                </w:tcPr>
                <w:p w14:paraId="1DC65527">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2mg/m</w:t>
                  </w:r>
                  <w:r>
                    <w:rPr>
                      <w:rFonts w:hint="default" w:ascii="Times New Roman" w:hAnsi="Times New Roman" w:cs="Times New Roman" w:eastAsiaTheme="minorEastAsia"/>
                      <w:bCs/>
                      <w:color w:val="000000" w:themeColor="text1"/>
                      <w:sz w:val="21"/>
                      <w:szCs w:val="21"/>
                      <w:vertAlign w:val="superscript"/>
                      <w:lang w:val="en-US" w:eastAsia="zh-CN"/>
                      <w14:textFill>
                        <w14:solidFill>
                          <w14:schemeClr w14:val="tx1"/>
                        </w14:solidFill>
                      </w14:textFill>
                    </w:rPr>
                    <w:t>3</w:t>
                  </w:r>
                </w:p>
              </w:tc>
              <w:tc>
                <w:tcPr>
                  <w:tcW w:w="2391" w:type="dxa"/>
                  <w:vAlign w:val="center"/>
                </w:tcPr>
                <w:p w14:paraId="315C2A05">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《大气污染物综合排放标准详解》P244</w:t>
                  </w:r>
                </w:p>
              </w:tc>
            </w:tr>
          </w:tbl>
          <w:p w14:paraId="7708E197">
            <w:pPr>
              <w:pageBreakBefore w:val="0"/>
              <w:kinsoku/>
              <w:overflowPunct/>
              <w:topLinePunct w:val="0"/>
              <w:bidi w:val="0"/>
              <w:spacing w:line="360" w:lineRule="auto"/>
              <w:ind w:left="0" w:leftChars="0" w:right="0"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（2）区域达标判断</w:t>
            </w:r>
          </w:p>
          <w:p w14:paraId="10D31DA9">
            <w:pPr>
              <w:keepNext w:val="0"/>
              <w:keepLines w:val="0"/>
              <w:pageBreakBefore w:val="0"/>
              <w:widowControl w:val="0"/>
              <w:kinsoku/>
              <w:wordWrap w:val="0"/>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本项目位于</w:t>
            </w:r>
            <w:r>
              <w:rPr>
                <w:rFonts w:hint="default" w:ascii="Times New Roman" w:hAnsi="Times New Roman" w:eastAsia="宋体" w:cs="Times New Roman"/>
                <w:color w:val="000000" w:themeColor="text1"/>
                <w:sz w:val="24"/>
                <w:lang w:val="en-US" w:eastAsia="zh-CN"/>
                <w14:textFill>
                  <w14:solidFill>
                    <w14:schemeClr w14:val="tx1"/>
                  </w14:solidFill>
                </w14:textFill>
              </w:rPr>
              <w:t>玉溪市红塔区研和街道可官社区可官一组</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根据玉溪市生态环境局红塔分局发布《玉溪市红塔区生态环境状况公报（2023 年度）》（http://www.hongta.gov.cn/htqzfxxgk/hjjtjxx/20241022/1562797.html），“</w:t>
            </w:r>
            <w:r>
              <w:rPr>
                <w:rFonts w:hint="default" w:ascii="Times New Roman" w:hAnsi="Times New Roman" w:cs="Times New Roman"/>
                <w:b/>
                <w:bCs/>
                <w:color w:val="000000" w:themeColor="text1"/>
                <w:sz w:val="24"/>
                <w:lang w:eastAsia="zh-CN"/>
                <w14:textFill>
                  <w14:solidFill>
                    <w14:schemeClr w14:val="tx1"/>
                  </w14:solidFill>
                </w14:textFill>
              </w:rPr>
              <w:t>研和片区环境空气质量：</w:t>
            </w:r>
            <w:r>
              <w:rPr>
                <w:rFonts w:hint="default" w:ascii="Times New Roman" w:hAnsi="Times New Roman" w:cs="Times New Roman"/>
                <w:color w:val="000000" w:themeColor="text1"/>
                <w:sz w:val="24"/>
                <w:lang w:eastAsia="zh-CN"/>
                <w14:textFill>
                  <w14:solidFill>
                    <w14:schemeClr w14:val="tx1"/>
                  </w14:solidFill>
                </w14:textFill>
              </w:rPr>
              <w:t>按空气质量指数（AQI）评价，2023年度研和片区环境空气有效监测天数360天，优良天数355天，占全年天数的98.61%，</w:t>
            </w:r>
            <w:r>
              <w:rPr>
                <w:rFonts w:hint="default" w:ascii="Times New Roman" w:hAnsi="Times New Roman" w:eastAsia="宋体" w:cs="Times New Roman"/>
                <w:color w:val="000000" w:themeColor="text1"/>
                <w:sz w:val="24"/>
                <w:lang w:val="en-US" w:eastAsia="zh-CN"/>
                <w14:textFill>
                  <w14:solidFill>
                    <w14:schemeClr w14:val="tx1"/>
                  </w14:solidFill>
                </w14:textFill>
              </w:rPr>
              <w:t>“环境空气质量一级241天，占监测天数的66.94%；二级114天，占监测天数的31.67%。其中：</w:t>
            </w:r>
            <w:r>
              <w:rPr>
                <w:rFonts w:hint="default" w:ascii="Times New Roman" w:hAnsi="Times New Roman" w:eastAsia="宋体" w:cs="Times New Roman"/>
                <w:b/>
                <w:bCs/>
                <w:color w:val="000000" w:themeColor="text1"/>
                <w:sz w:val="24"/>
                <w:lang w:val="en-US" w:eastAsia="zh-CN"/>
                <w14:textFill>
                  <w14:solidFill>
                    <w14:schemeClr w14:val="tx1"/>
                  </w14:solidFill>
                </w14:textFill>
              </w:rPr>
              <w:t>二氧化硫</w:t>
            </w:r>
            <w:r>
              <w:rPr>
                <w:rFonts w:hint="default" w:ascii="Times New Roman" w:hAnsi="Times New Roman" w:eastAsia="宋体" w:cs="Times New Roman"/>
                <w:color w:val="000000" w:themeColor="text1"/>
                <w:sz w:val="24"/>
                <w:lang w:val="en-US" w:eastAsia="zh-CN"/>
                <w14:textFill>
                  <w14:solidFill>
                    <w14:schemeClr w14:val="tx1"/>
                  </w14:solidFill>
                </w14:textFill>
              </w:rPr>
              <w:t>达一级标准360天，达二级标准0天，未出现超标；</w:t>
            </w:r>
            <w:r>
              <w:rPr>
                <w:rFonts w:hint="default" w:ascii="Times New Roman" w:hAnsi="Times New Roman" w:eastAsia="宋体" w:cs="Times New Roman"/>
                <w:b/>
                <w:bCs/>
                <w:color w:val="000000" w:themeColor="text1"/>
                <w:sz w:val="24"/>
                <w:lang w:val="en-US" w:eastAsia="zh-CN"/>
                <w14:textFill>
                  <w14:solidFill>
                    <w14:schemeClr w14:val="tx1"/>
                  </w14:solidFill>
                </w14:textFill>
              </w:rPr>
              <w:t>二氧化氮</w:t>
            </w:r>
            <w:r>
              <w:rPr>
                <w:rFonts w:hint="default" w:ascii="Times New Roman" w:hAnsi="Times New Roman" w:eastAsia="宋体" w:cs="Times New Roman"/>
                <w:color w:val="000000" w:themeColor="text1"/>
                <w:sz w:val="24"/>
                <w:lang w:val="en-US" w:eastAsia="zh-CN"/>
                <w14:textFill>
                  <w14:solidFill>
                    <w14:schemeClr w14:val="tx1"/>
                  </w14:solidFill>
                </w14:textFill>
              </w:rPr>
              <w:t>达</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lang w:val="en-US" w:eastAsia="zh-CN"/>
                <w14:textFill>
                  <w14:solidFill>
                    <w14:schemeClr w14:val="tx1"/>
                  </w14:solidFill>
                </w14:textFill>
              </w:rPr>
              <w:t>级标准360天，达二级标准0天，未出现超标；</w:t>
            </w:r>
            <w:r>
              <w:rPr>
                <w:rFonts w:hint="default" w:ascii="Times New Roman" w:hAnsi="Times New Roman" w:eastAsia="宋体" w:cs="Times New Roman"/>
                <w:b/>
                <w:bCs/>
                <w:color w:val="000000" w:themeColor="text1"/>
                <w:sz w:val="24"/>
                <w:lang w:val="en-US" w:eastAsia="zh-CN"/>
                <w14:textFill>
                  <w14:solidFill>
                    <w14:schemeClr w14:val="tx1"/>
                  </w14:solidFill>
                </w14:textFill>
              </w:rPr>
              <w:t>可吸入颗粒物</w:t>
            </w:r>
            <w:r>
              <w:rPr>
                <w:rFonts w:hint="default" w:ascii="Times New Roman" w:hAnsi="Times New Roman" w:eastAsia="宋体" w:cs="Times New Roman"/>
                <w:color w:val="000000" w:themeColor="text1"/>
                <w:sz w:val="24"/>
                <w:lang w:val="en-US" w:eastAsia="zh-CN"/>
                <w14:textFill>
                  <w14:solidFill>
                    <w14:schemeClr w14:val="tx1"/>
                  </w14:solidFill>
                </w14:textFill>
              </w:rPr>
              <w:t>达一级标准300天，达二级标准60天，未出现超标；</w:t>
            </w:r>
            <w:r>
              <w:rPr>
                <w:rFonts w:hint="default" w:ascii="Times New Roman" w:hAnsi="Times New Roman" w:eastAsia="宋体" w:cs="Times New Roman"/>
                <w:b/>
                <w:bCs/>
                <w:color w:val="000000" w:themeColor="text1"/>
                <w:sz w:val="24"/>
                <w:lang w:val="en-US" w:eastAsia="zh-CN"/>
                <w14:textFill>
                  <w14:solidFill>
                    <w14:schemeClr w14:val="tx1"/>
                  </w14:solidFill>
                </w14:textFill>
              </w:rPr>
              <w:t>一氧化碳</w:t>
            </w:r>
            <w:r>
              <w:rPr>
                <w:rFonts w:hint="default" w:ascii="Times New Roman" w:hAnsi="Times New Roman" w:eastAsia="宋体" w:cs="Times New Roman"/>
                <w:color w:val="000000" w:themeColor="text1"/>
                <w:sz w:val="24"/>
                <w:lang w:val="en-US" w:eastAsia="zh-CN"/>
                <w14:textFill>
                  <w14:solidFill>
                    <w14:schemeClr w14:val="tx1"/>
                  </w14:solidFill>
                </w14:textFill>
              </w:rPr>
              <w:t>达一级标准360天，达二级标准0天，未出现超标；</w:t>
            </w:r>
            <w:r>
              <w:rPr>
                <w:rFonts w:hint="default" w:ascii="Times New Roman" w:hAnsi="Times New Roman" w:eastAsia="宋体" w:cs="Times New Roman"/>
                <w:b/>
                <w:bCs/>
                <w:color w:val="000000" w:themeColor="text1"/>
                <w:sz w:val="24"/>
                <w:lang w:val="en-US" w:eastAsia="zh-CN"/>
                <w14:textFill>
                  <w14:solidFill>
                    <w14:schemeClr w14:val="tx1"/>
                  </w14:solidFill>
                </w14:textFill>
              </w:rPr>
              <w:t>臭氧</w:t>
            </w:r>
            <w:r>
              <w:rPr>
                <w:rFonts w:hint="default" w:ascii="Times New Roman" w:hAnsi="Times New Roman" w:eastAsia="宋体" w:cs="Times New Roman"/>
                <w:color w:val="000000" w:themeColor="text1"/>
                <w:sz w:val="24"/>
                <w:lang w:val="en-US" w:eastAsia="zh-CN"/>
                <w14:textFill>
                  <w14:solidFill>
                    <w14:schemeClr w14:val="tx1"/>
                  </w14:solidFill>
                </w14:textFill>
              </w:rPr>
              <w:t>达一级标准310天，达二级标准48天，超标2天；</w:t>
            </w:r>
            <w:r>
              <w:rPr>
                <w:rFonts w:hint="default" w:ascii="Times New Roman" w:hAnsi="Times New Roman" w:eastAsia="宋体" w:cs="Times New Roman"/>
                <w:b/>
                <w:bCs/>
                <w:color w:val="000000" w:themeColor="text1"/>
                <w:sz w:val="24"/>
                <w:lang w:val="en-US" w:eastAsia="zh-CN"/>
                <w14:textFill>
                  <w14:solidFill>
                    <w14:schemeClr w14:val="tx1"/>
                  </w14:solidFill>
                </w14:textFill>
              </w:rPr>
              <w:t>细颗粒物</w:t>
            </w:r>
            <w:r>
              <w:rPr>
                <w:rFonts w:hint="default" w:ascii="Times New Roman" w:hAnsi="Times New Roman" w:eastAsia="宋体" w:cs="Times New Roman"/>
                <w:color w:val="000000" w:themeColor="text1"/>
                <w:sz w:val="24"/>
                <w:lang w:val="en-US" w:eastAsia="zh-CN"/>
                <w14:textFill>
                  <w14:solidFill>
                    <w14:schemeClr w14:val="tx1"/>
                  </w14:solidFill>
                </w14:textFill>
              </w:rPr>
              <w:t>达一级标准286天，达二级标准71天，超标3天。”</w:t>
            </w:r>
          </w:p>
          <w:p w14:paraId="6B696009">
            <w:pPr>
              <w:keepNext w:val="0"/>
              <w:keepLines w:val="0"/>
              <w:pageBreakBefore w:val="0"/>
              <w:widowControl w:val="0"/>
              <w:kinsoku/>
              <w:wordWrap w:val="0"/>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故本次判定</w:t>
            </w:r>
            <w:r>
              <w:rPr>
                <w:rFonts w:hint="default" w:ascii="Times New Roman" w:hAnsi="Times New Roman" w:cs="Times New Roman"/>
                <w:color w:val="000000" w:themeColor="text1"/>
                <w:kern w:val="0"/>
                <w:sz w:val="24"/>
                <w14:textFill>
                  <w14:solidFill>
                    <w14:schemeClr w14:val="tx1"/>
                  </w14:solidFill>
                </w14:textFill>
              </w:rPr>
              <w:t>所在区域</w:t>
            </w:r>
            <w:r>
              <w:rPr>
                <w:rFonts w:hint="default" w:ascii="Times New Roman" w:hAnsi="Times New Roman" w:cs="Times New Roman"/>
                <w:color w:val="000000" w:themeColor="text1"/>
                <w:kern w:val="0"/>
                <w:sz w:val="24"/>
                <w:lang w:eastAsia="zh-CN"/>
                <w14:textFill>
                  <w14:solidFill>
                    <w14:schemeClr w14:val="tx1"/>
                  </w14:solidFill>
                </w14:textFill>
              </w:rPr>
              <w:t>为</w:t>
            </w:r>
            <w:r>
              <w:rPr>
                <w:rFonts w:hint="default" w:ascii="Times New Roman" w:hAnsi="Times New Roman" w:cs="Times New Roman"/>
                <w:color w:val="000000" w:themeColor="text1"/>
                <w:kern w:val="0"/>
                <w:sz w:val="24"/>
                <w14:textFill>
                  <w14:solidFill>
                    <w14:schemeClr w14:val="tx1"/>
                  </w14:solidFill>
                </w14:textFill>
              </w:rPr>
              <w:t>环境空气质量达标区</w:t>
            </w:r>
            <w:r>
              <w:rPr>
                <w:rFonts w:hint="default" w:ascii="Times New Roman" w:hAnsi="Times New Roman" w:cs="Times New Roman"/>
                <w:color w:val="000000" w:themeColor="text1"/>
                <w:kern w:val="0"/>
                <w:sz w:val="24"/>
                <w:lang w:eastAsia="zh-CN"/>
                <w14:textFill>
                  <w14:solidFill>
                    <w14:schemeClr w14:val="tx1"/>
                  </w14:solidFill>
                </w14:textFill>
              </w:rPr>
              <w:t>。</w:t>
            </w:r>
          </w:p>
          <w:p w14:paraId="6D86B482">
            <w:pPr>
              <w:pageBreakBefore w:val="0"/>
              <w:kinsoku/>
              <w:overflowPunct/>
              <w:topLinePunct w:val="0"/>
              <w:bidi w:val="0"/>
              <w:adjustRightInd w:val="0"/>
              <w:snapToGrid w:val="0"/>
              <w:spacing w:line="356" w:lineRule="auto"/>
              <w:ind w:left="0" w:leftChars="0" w:right="0"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2、特征因子环境质量现状</w:t>
            </w:r>
          </w:p>
          <w:p w14:paraId="28E29230">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本次参考</w:t>
            </w:r>
            <w:r>
              <w:rPr>
                <w:rFonts w:hint="default" w:ascii="Times New Roman" w:hAnsi="Times New Roman" w:cs="Times New Roman"/>
                <w:color w:val="000000" w:themeColor="text1"/>
                <w:sz w:val="24"/>
                <w:szCs w:val="24"/>
                <w14:textFill>
                  <w14:solidFill>
                    <w14:schemeClr w14:val="tx1"/>
                  </w14:solidFill>
                </w14:textFill>
              </w:rPr>
              <w:t>生态环境部环境工程评估中心</w:t>
            </w:r>
            <w:r>
              <w:rPr>
                <w:rFonts w:hint="default" w:ascii="Times New Roman" w:hAnsi="Times New Roman" w:cs="Times New Roman"/>
                <w:color w:val="000000" w:themeColor="text1"/>
                <w:sz w:val="24"/>
                <w:szCs w:val="24"/>
                <w:lang w:val="en-US" w:eastAsia="zh-CN"/>
                <w14:textFill>
                  <w14:solidFill>
                    <w14:schemeClr w14:val="tx1"/>
                  </w14:solidFill>
                </w14:textFill>
              </w:rPr>
              <w:t>2021年10月20日</w:t>
            </w:r>
            <w:r>
              <w:rPr>
                <w:rFonts w:hint="default" w:ascii="Times New Roman" w:hAnsi="Times New Roman" w:cs="Times New Roman"/>
                <w:color w:val="000000" w:themeColor="text1"/>
                <w:sz w:val="24"/>
                <w:szCs w:val="24"/>
                <w:lang w:eastAsia="zh-CN"/>
                <w14:textFill>
                  <w14:solidFill>
                    <w14:schemeClr w14:val="tx1"/>
                  </w14:solidFill>
                </w14:textFill>
              </w:rPr>
              <w:t>发布的“</w:t>
            </w:r>
            <w:r>
              <w:rPr>
                <w:rFonts w:hint="default" w:ascii="Times New Roman" w:hAnsi="Times New Roman" w:cs="Times New Roman"/>
                <w:color w:val="000000" w:themeColor="text1"/>
                <w:sz w:val="24"/>
                <w:szCs w:val="24"/>
                <w14:textFill>
                  <w14:solidFill>
                    <w14:schemeClr w14:val="tx1"/>
                  </w14:solidFill>
                </w14:textFill>
              </w:rPr>
              <w:t>《建设项目环境影响报告表》内容、格式及编制技术指南常见问题解答</w:t>
            </w:r>
            <w:r>
              <w:rPr>
                <w:rFonts w:hint="default" w:ascii="Times New Roman" w:hAnsi="Times New Roman" w:cs="Times New Roman"/>
                <w:color w:val="000000" w:themeColor="text1"/>
                <w:sz w:val="24"/>
                <w:szCs w:val="24"/>
                <w:lang w:eastAsia="zh-CN"/>
                <w14:textFill>
                  <w14:solidFill>
                    <w14:schemeClr w14:val="tx1"/>
                  </w14:solidFill>
                </w14:textFill>
              </w:rPr>
              <w:t>”中“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技术指南中提到排放国家、地方环境空气质量标准中有标准限值要求的特征污染物，其中环境空气质量标准指《环境空气质量标准》（GB3095</w:t>
            </w:r>
            <w:r>
              <w:rPr>
                <w:rFonts w:hint="default" w:ascii="Times New Roman" w:hAnsi="Times New Roman" w:cs="Times New Roman"/>
                <w:color w:val="000000" w:themeColor="text1"/>
                <w:sz w:val="24"/>
                <w:szCs w:val="24"/>
                <w:lang w:val="en-US" w:eastAsia="zh-CN"/>
                <w14:textFill>
                  <w14:solidFill>
                    <w14:schemeClr w14:val="tx1"/>
                  </w14:solidFill>
                </w14:textFill>
              </w:rPr>
              <w:t>-2012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）和地方的环境空气质量标准，不包括《环境影响评价技术导则 大气环境》（HJ2.2-2018）附录D、《工业企业设计卫生标准》（TJ36-97）、《前苏联居住区标准》（CH245-71）、《环境影响评价技术导则 制药建设项目》（HJ611-2011）、《大气污染物综合排放标准详解》等导则或参考资料。排放的特征污染物需要在国家、地方环境空气质量标准中有限值要求才涉及现状监测，且优先引用现有监测数据。</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项目运营期特征污染物为颗粒物、非甲烷总烃，非甲烷总烃</w:t>
            </w:r>
            <w:r>
              <w:rPr>
                <w:rFonts w:hint="default" w:ascii="Times New Roman" w:hAnsi="Times New Roman" w:cs="Times New Roman"/>
                <w:color w:val="000000" w:themeColor="text1"/>
                <w:sz w:val="24"/>
                <w:szCs w:val="24"/>
                <w:lang w:val="en-US" w:eastAsia="zh-CN"/>
                <w14:textFill>
                  <w14:solidFill>
                    <w14:schemeClr w14:val="tx1"/>
                  </w14:solidFill>
                </w14:textFill>
              </w:rPr>
              <w:t>不属于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《环境空气质量标准》（GB3095</w:t>
            </w:r>
            <w:r>
              <w:rPr>
                <w:rFonts w:hint="default" w:ascii="Times New Roman" w:hAnsi="Times New Roman" w:cs="Times New Roman"/>
                <w:color w:val="000000" w:themeColor="text1"/>
                <w:sz w:val="24"/>
                <w:szCs w:val="24"/>
                <w:lang w:val="en-US" w:eastAsia="zh-CN"/>
                <w14:textFill>
                  <w14:solidFill>
                    <w14:schemeClr w14:val="tx1"/>
                  </w14:solidFill>
                </w14:textFill>
              </w:rPr>
              <w:t>-2012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），故可</w:t>
            </w:r>
            <w:r>
              <w:rPr>
                <w:rFonts w:hint="default" w:ascii="Times New Roman" w:hAnsi="Times New Roman" w:cs="Times New Roman"/>
                <w:color w:val="000000" w:themeColor="text1"/>
                <w:sz w:val="24"/>
                <w:szCs w:val="24"/>
                <w:lang w:val="en-US" w:eastAsia="zh-CN"/>
                <w14:textFill>
                  <w14:solidFill>
                    <w14:schemeClr w14:val="tx1"/>
                  </w14:solidFill>
                </w14:textFill>
              </w:rPr>
              <w:t>不纳入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现状监测</w:t>
            </w:r>
            <w:r>
              <w:rPr>
                <w:rFonts w:hint="default" w:ascii="Times New Roman" w:hAnsi="Times New Roman" w:cs="Times New Roman"/>
                <w:color w:val="000000" w:themeColor="text1"/>
                <w:sz w:val="24"/>
                <w:szCs w:val="24"/>
                <w:lang w:val="en-US" w:eastAsia="zh-CN"/>
                <w14:textFill>
                  <w14:solidFill>
                    <w14:schemeClr w14:val="tx1"/>
                  </w14:solidFill>
                </w14:textFill>
              </w:rPr>
              <w:t>范围。</w:t>
            </w:r>
          </w:p>
          <w:p w14:paraId="7B517998">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本次为了解项目的特征因子环境质量现状，故本次评价引用了2025年3月25日~28日《华裔智能高端门窗玻璃建设项目</w:t>
            </w:r>
            <w:r>
              <w:rPr>
                <w:rFonts w:hint="default" w:ascii="Times New Roman" w:hAnsi="Times New Roman" w:cs="Times New Roman"/>
                <w:color w:val="000000" w:themeColor="text1"/>
                <w:kern w:val="0"/>
                <w:sz w:val="24"/>
                <w:lang w:val="en-US" w:eastAsia="zh-CN"/>
                <w14:textFill>
                  <w14:solidFill>
                    <w14:schemeClr w14:val="tx1"/>
                  </w14:solidFill>
                </w14:textFill>
              </w:rPr>
              <w:t>环境影响评价报告表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》中委托</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玉溪华恒环境科技有限公司的</w:t>
            </w:r>
            <w:r>
              <w:rPr>
                <w:rFonts w:hint="default" w:ascii="Times New Roman" w:hAnsi="Times New Roman" w:cs="Times New Roman"/>
                <w:color w:val="000000" w:themeColor="text1"/>
                <w:kern w:val="0"/>
                <w:sz w:val="24"/>
                <w:lang w:val="en-US" w:eastAsia="zh-CN"/>
                <w14:textFill>
                  <w14:solidFill>
                    <w14:schemeClr w14:val="tx1"/>
                  </w14:solidFill>
                </w14:textFill>
              </w:rPr>
              <w:t>TSP和非甲烷总烃的现状监测数据，该监测点位位于本项目东北侧约2.6km处，该点位位于本项目下风向，</w:t>
            </w:r>
            <w:r>
              <w:rPr>
                <w:rFonts w:hint="default" w:ascii="Times New Roman" w:hAnsi="Times New Roman" w:cs="Times New Roman"/>
                <w:color w:val="000000" w:themeColor="text1"/>
                <w:sz w:val="24"/>
                <w:szCs w:val="24"/>
                <w:lang w:eastAsia="zh-CN"/>
                <w14:textFill>
                  <w14:solidFill>
                    <w14:schemeClr w14:val="tx1"/>
                  </w14:solidFill>
                </w14:textFill>
              </w:rPr>
              <w:t>该监测点</w:t>
            </w:r>
            <w:r>
              <w:rPr>
                <w:rFonts w:hint="default" w:ascii="Times New Roman" w:hAnsi="Times New Roman" w:cs="Times New Roman"/>
                <w:color w:val="000000" w:themeColor="text1"/>
                <w:sz w:val="24"/>
                <w:szCs w:val="24"/>
                <w14:textFill>
                  <w14:solidFill>
                    <w14:schemeClr w14:val="tx1"/>
                  </w14:solidFill>
                </w14:textFill>
              </w:rPr>
              <w:t>位于项目5km范围内，监测时间为近3年数据，因此监测数据为有效数据。</w:t>
            </w:r>
            <w:r>
              <w:rPr>
                <w:rFonts w:hint="eastAsia" w:cs="Times New Roman"/>
                <w:color w:val="000000" w:themeColor="text1"/>
                <w:sz w:val="24"/>
                <w:szCs w:val="24"/>
                <w:lang w:eastAsia="zh-CN"/>
                <w14:textFill>
                  <w14:solidFill>
                    <w14:schemeClr w14:val="tx1"/>
                  </w14:solidFill>
                </w14:textFill>
              </w:rPr>
              <w:t>该点位以</w:t>
            </w:r>
            <w:r>
              <w:rPr>
                <w:rFonts w:hint="eastAsia" w:cs="Times New Roman"/>
                <w:color w:val="000000" w:themeColor="text1"/>
                <w:sz w:val="24"/>
                <w:szCs w:val="24"/>
                <w:lang w:val="en-US" w:eastAsia="zh-CN"/>
                <w14:textFill>
                  <w14:solidFill>
                    <w14:schemeClr w14:val="tx1"/>
                  </w14:solidFill>
                </w14:textFill>
              </w:rPr>
              <w:t>S1表示。</w:t>
            </w:r>
          </w:p>
          <w:p w14:paraId="117D9F2C">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本次评价引用2025年8月5日~7日云南清源环境科技有限公司《玉溪众塑塑业有限公司年产300吨塑料制品</w:t>
            </w:r>
            <w:r>
              <w:rPr>
                <w:rFonts w:hint="eastAsia" w:ascii="Times New Roman" w:hAnsi="Times New Roman" w:eastAsia="宋体" w:cs="Times New Roman"/>
                <w:color w:val="000000" w:themeColor="text1"/>
                <w:sz w:val="24"/>
                <w:szCs w:val="24"/>
                <w14:textFill>
                  <w14:solidFill>
                    <w14:schemeClr w14:val="tx1"/>
                  </w14:solidFill>
                </w14:textFill>
              </w:rPr>
              <w:t>建设项目环境质量（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NO</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X</w:t>
            </w:r>
            <w:r>
              <w:rPr>
                <w:rFonts w:hint="eastAsia" w:ascii="Times New Roman" w:hAnsi="Times New Roman" w:eastAsia="宋体" w:cs="Times New Roman"/>
                <w:color w:val="000000" w:themeColor="text1"/>
                <w:sz w:val="24"/>
                <w:szCs w:val="24"/>
                <w14:textFill>
                  <w14:solidFill>
                    <w14:schemeClr w14:val="tx1"/>
                  </w14:solidFill>
                </w14:textFill>
              </w:rPr>
              <w:t>）现状监测</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》（清源检字[2025]08006号）检测报告中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NO</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X</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的</w:t>
            </w:r>
            <w:r>
              <w:rPr>
                <w:rFonts w:hint="default" w:ascii="Times New Roman" w:hAnsi="Times New Roman" w:cs="Times New Roman"/>
                <w:color w:val="000000" w:themeColor="text1"/>
                <w:kern w:val="0"/>
                <w:sz w:val="24"/>
                <w:lang w:val="en-US" w:eastAsia="zh-CN"/>
                <w14:textFill>
                  <w14:solidFill>
                    <w14:schemeClr w14:val="tx1"/>
                  </w14:solidFill>
                </w14:textFill>
              </w:rPr>
              <w:t>现状监测数据，该监测点位位于本项目东侧约</w:t>
            </w:r>
            <w:r>
              <w:rPr>
                <w:rFonts w:hint="eastAsia" w:ascii="Times New Roman" w:hAnsi="Times New Roman" w:cs="Times New Roman"/>
                <w:color w:val="000000" w:themeColor="text1"/>
                <w:kern w:val="0"/>
                <w:sz w:val="24"/>
                <w:lang w:val="en-US" w:eastAsia="zh-CN"/>
                <w14:textFill>
                  <w14:solidFill>
                    <w14:schemeClr w14:val="tx1"/>
                  </w14:solidFill>
                </w14:textFill>
              </w:rPr>
              <w:t>35</w:t>
            </w:r>
            <w:r>
              <w:rPr>
                <w:rFonts w:hint="default" w:ascii="Times New Roman" w:hAnsi="Times New Roman" w:cs="Times New Roman"/>
                <w:color w:val="000000" w:themeColor="text1"/>
                <w:kern w:val="0"/>
                <w:sz w:val="24"/>
                <w:lang w:val="en-US" w:eastAsia="zh-CN"/>
                <w14:textFill>
                  <w14:solidFill>
                    <w14:schemeClr w14:val="tx1"/>
                  </w14:solidFill>
                </w14:textFill>
              </w:rPr>
              <w:t>m处，该点位位于本项目下风向，</w:t>
            </w:r>
            <w:r>
              <w:rPr>
                <w:rFonts w:hint="default" w:ascii="Times New Roman" w:hAnsi="Times New Roman" w:cs="Times New Roman"/>
                <w:color w:val="000000" w:themeColor="text1"/>
                <w:sz w:val="24"/>
                <w:szCs w:val="24"/>
                <w:lang w:eastAsia="zh-CN"/>
                <w14:textFill>
                  <w14:solidFill>
                    <w14:schemeClr w14:val="tx1"/>
                  </w14:solidFill>
                </w14:textFill>
              </w:rPr>
              <w:t>该监测点</w:t>
            </w:r>
            <w:r>
              <w:rPr>
                <w:rFonts w:hint="default" w:ascii="Times New Roman" w:hAnsi="Times New Roman" w:cs="Times New Roman"/>
                <w:color w:val="000000" w:themeColor="text1"/>
                <w:sz w:val="24"/>
                <w:szCs w:val="24"/>
                <w14:textFill>
                  <w14:solidFill>
                    <w14:schemeClr w14:val="tx1"/>
                  </w14:solidFill>
                </w14:textFill>
              </w:rPr>
              <w:t>位于项目5km范围内，监测时间为近3年数据，因此监测数据为有效数据。</w:t>
            </w:r>
            <w:r>
              <w:rPr>
                <w:rFonts w:hint="eastAsia" w:cs="Times New Roman"/>
                <w:color w:val="000000" w:themeColor="text1"/>
                <w:sz w:val="24"/>
                <w:szCs w:val="24"/>
                <w:lang w:eastAsia="zh-CN"/>
                <w14:textFill>
                  <w14:solidFill>
                    <w14:schemeClr w14:val="tx1"/>
                  </w14:solidFill>
                </w14:textFill>
              </w:rPr>
              <w:t>该点位以</w:t>
            </w:r>
            <w:r>
              <w:rPr>
                <w:rFonts w:hint="eastAsia" w:cs="Times New Roman"/>
                <w:color w:val="000000" w:themeColor="text1"/>
                <w:sz w:val="24"/>
                <w:szCs w:val="24"/>
                <w:lang w:val="en-US" w:eastAsia="zh-CN"/>
                <w14:textFill>
                  <w14:solidFill>
                    <w14:schemeClr w14:val="tx1"/>
                  </w14:solidFill>
                </w14:textFill>
              </w:rPr>
              <w:t>S2表示。</w:t>
            </w:r>
          </w:p>
          <w:p w14:paraId="77684041">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具体监测结果如下表所示。</w:t>
            </w:r>
            <w:r>
              <w:rPr>
                <w:rFonts w:hint="default" w:ascii="Times New Roman" w:hAnsi="Times New Roman" w:cs="Times New Roman"/>
                <w:color w:val="000000" w:themeColor="text1"/>
                <w:sz w:val="24"/>
                <w:szCs w:val="24"/>
                <w:lang w:eastAsia="zh-CN"/>
                <w14:textFill>
                  <w14:solidFill>
                    <w14:schemeClr w14:val="tx1"/>
                  </w14:solidFill>
                </w14:textFill>
              </w:rPr>
              <w:t>引用监测点位图见图</w:t>
            </w:r>
            <w:r>
              <w:rPr>
                <w:rFonts w:hint="default" w:ascii="Times New Roman" w:hAnsi="Times New Roman" w:cs="Times New Roman"/>
                <w:color w:val="000000" w:themeColor="text1"/>
                <w:sz w:val="24"/>
                <w:szCs w:val="24"/>
                <w:lang w:val="en-US" w:eastAsia="zh-CN"/>
                <w14:textFill>
                  <w14:solidFill>
                    <w14:schemeClr w14:val="tx1"/>
                  </w14:solidFill>
                </w14:textFill>
              </w:rPr>
              <w:t>3-1，监测点位以S1</w:t>
            </w:r>
            <w:r>
              <w:rPr>
                <w:rFonts w:hint="eastAsia" w:cs="Times New Roman"/>
                <w:color w:val="000000" w:themeColor="text1"/>
                <w:sz w:val="24"/>
                <w:szCs w:val="24"/>
                <w:lang w:val="en-US" w:eastAsia="zh-CN"/>
                <w14:textFill>
                  <w14:solidFill>
                    <w14:schemeClr w14:val="tx1"/>
                  </w14:solidFill>
                </w14:textFill>
              </w:rPr>
              <w:t>、S2</w:t>
            </w:r>
            <w:r>
              <w:rPr>
                <w:rFonts w:hint="default" w:ascii="Times New Roman" w:hAnsi="Times New Roman" w:cs="Times New Roman"/>
                <w:color w:val="000000" w:themeColor="text1"/>
                <w:sz w:val="24"/>
                <w:szCs w:val="24"/>
                <w:lang w:val="en-US" w:eastAsia="zh-CN"/>
                <w14:textFill>
                  <w14:solidFill>
                    <w14:schemeClr w14:val="tx1"/>
                  </w14:solidFill>
                </w14:textFill>
              </w:rPr>
              <w:t>表示。</w:t>
            </w:r>
          </w:p>
          <w:p w14:paraId="648E4BA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表3-2 引用tsp检测结果一览表   单位：</w:t>
            </w:r>
            <w:r>
              <w:rPr>
                <w:rFonts w:hint="default" w:ascii="Times New Roman" w:hAnsi="Times New Roman" w:cs="Times New Roman"/>
                <w:b/>
                <w:bCs/>
                <w:color w:val="000000" w:themeColor="text1"/>
                <w:sz w:val="21"/>
                <w:szCs w:val="21"/>
                <w14:textFill>
                  <w14:solidFill>
                    <w14:schemeClr w14:val="tx1"/>
                  </w14:solidFill>
                </w14:textFill>
              </w:rPr>
              <w:t>μg/m³</w:t>
            </w:r>
          </w:p>
          <w:tbl>
            <w:tblPr>
              <w:tblStyle w:val="34"/>
              <w:tblW w:w="81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8"/>
              <w:gridCol w:w="2325"/>
              <w:gridCol w:w="1290"/>
              <w:gridCol w:w="1621"/>
              <w:gridCol w:w="1621"/>
            </w:tblGrid>
            <w:tr w14:paraId="0DECB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vAlign w:val="center"/>
                </w:tcPr>
                <w:p w14:paraId="53C04027">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
                      <w:bCs w:val="0"/>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eastAsia="zh-CN"/>
                      <w14:textFill>
                        <w14:solidFill>
                          <w14:schemeClr w14:val="tx1"/>
                        </w14:solidFill>
                      </w14:textFill>
                    </w:rPr>
                    <w:t>检测点位</w:t>
                  </w:r>
                </w:p>
              </w:tc>
              <w:tc>
                <w:tcPr>
                  <w:tcW w:w="2325" w:type="dxa"/>
                  <w:vAlign w:val="center"/>
                </w:tcPr>
                <w:p w14:paraId="4F4DBEA7">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
                      <w:bCs w:val="0"/>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eastAsia="zh-CN"/>
                      <w14:textFill>
                        <w14:solidFill>
                          <w14:schemeClr w14:val="tx1"/>
                        </w14:solidFill>
                      </w14:textFill>
                    </w:rPr>
                    <w:t>采样时间</w:t>
                  </w:r>
                </w:p>
              </w:tc>
              <w:tc>
                <w:tcPr>
                  <w:tcW w:w="1290" w:type="dxa"/>
                  <w:vAlign w:val="center"/>
                </w:tcPr>
                <w:p w14:paraId="7F951FCB">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TSP</w:t>
                  </w:r>
                </w:p>
              </w:tc>
              <w:tc>
                <w:tcPr>
                  <w:tcW w:w="1621" w:type="dxa"/>
                  <w:vAlign w:val="center"/>
                </w:tcPr>
                <w:p w14:paraId="3294E08C">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
                      <w:bCs w:val="0"/>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eastAsia="zh-CN"/>
                      <w14:textFill>
                        <w14:solidFill>
                          <w14:schemeClr w14:val="tx1"/>
                        </w14:solidFill>
                      </w14:textFill>
                    </w:rPr>
                    <w:t>标准值</w:t>
                  </w:r>
                </w:p>
              </w:tc>
              <w:tc>
                <w:tcPr>
                  <w:tcW w:w="1621" w:type="dxa"/>
                  <w:vAlign w:val="center"/>
                </w:tcPr>
                <w:p w14:paraId="455358D3">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
                      <w:bCs w:val="0"/>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eastAsia="zh-CN"/>
                      <w14:textFill>
                        <w14:solidFill>
                          <w14:schemeClr w14:val="tx1"/>
                        </w14:solidFill>
                      </w14:textFill>
                    </w:rPr>
                    <w:t>达标情况</w:t>
                  </w:r>
                </w:p>
              </w:tc>
            </w:tr>
            <w:tr w14:paraId="2AA9E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vMerge w:val="restart"/>
                  <w:vAlign w:val="center"/>
                </w:tcPr>
                <w:p w14:paraId="7AA19CE7">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cs="Times New Roman" w:eastAsiaTheme="minorEastAsia"/>
                      <w:bCs/>
                      <w:color w:val="000000" w:themeColor="text1"/>
                      <w:sz w:val="21"/>
                      <w:szCs w:val="21"/>
                      <w:lang w:val="en-US" w:eastAsia="zh-CN"/>
                      <w14:textFill>
                        <w14:solidFill>
                          <w14:schemeClr w14:val="tx1"/>
                        </w14:solidFill>
                      </w14:textFill>
                    </w:rPr>
                    <w:t>S1</w:t>
                  </w:r>
                </w:p>
              </w:tc>
              <w:tc>
                <w:tcPr>
                  <w:tcW w:w="2325" w:type="dxa"/>
                  <w:vAlign w:val="center"/>
                </w:tcPr>
                <w:p w14:paraId="5D231FA1">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2025.3.25~26</w:t>
                  </w:r>
                </w:p>
              </w:tc>
              <w:tc>
                <w:tcPr>
                  <w:tcW w:w="1290" w:type="dxa"/>
                  <w:vAlign w:val="center"/>
                </w:tcPr>
                <w:p w14:paraId="164340A1">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80</w:t>
                  </w:r>
                </w:p>
              </w:tc>
              <w:tc>
                <w:tcPr>
                  <w:tcW w:w="1621" w:type="dxa"/>
                  <w:vAlign w:val="center"/>
                </w:tcPr>
                <w:p w14:paraId="25F2ACCC">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300</w:t>
                  </w:r>
                </w:p>
              </w:tc>
              <w:tc>
                <w:tcPr>
                  <w:tcW w:w="1621" w:type="dxa"/>
                  <w:vAlign w:val="center"/>
                </w:tcPr>
                <w:p w14:paraId="1391E83D">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t>达标</w:t>
                  </w:r>
                </w:p>
              </w:tc>
            </w:tr>
            <w:tr w14:paraId="23DC1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vMerge w:val="continue"/>
                  <w:vAlign w:val="center"/>
                </w:tcPr>
                <w:p w14:paraId="00CB4B91">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p>
              </w:tc>
              <w:tc>
                <w:tcPr>
                  <w:tcW w:w="2325" w:type="dxa"/>
                  <w:vAlign w:val="center"/>
                </w:tcPr>
                <w:p w14:paraId="574239BE">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2025.3.26~27</w:t>
                  </w:r>
                </w:p>
              </w:tc>
              <w:tc>
                <w:tcPr>
                  <w:tcW w:w="1290" w:type="dxa"/>
                  <w:vAlign w:val="center"/>
                </w:tcPr>
                <w:p w14:paraId="4F70AA09">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70</w:t>
                  </w:r>
                </w:p>
              </w:tc>
              <w:tc>
                <w:tcPr>
                  <w:tcW w:w="1621" w:type="dxa"/>
                  <w:vAlign w:val="center"/>
                </w:tcPr>
                <w:p w14:paraId="39732351">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300</w:t>
                  </w:r>
                </w:p>
              </w:tc>
              <w:tc>
                <w:tcPr>
                  <w:tcW w:w="1621" w:type="dxa"/>
                  <w:vAlign w:val="center"/>
                </w:tcPr>
                <w:p w14:paraId="09CC1E5C">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t>达标</w:t>
                  </w:r>
                </w:p>
              </w:tc>
            </w:tr>
            <w:tr w14:paraId="0D2B7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vMerge w:val="continue"/>
                  <w:vAlign w:val="center"/>
                </w:tcPr>
                <w:p w14:paraId="718EE1EB">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p>
              </w:tc>
              <w:tc>
                <w:tcPr>
                  <w:tcW w:w="2325" w:type="dxa"/>
                  <w:vAlign w:val="center"/>
                </w:tcPr>
                <w:p w14:paraId="0BBF3C7E">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2025.3.27~28</w:t>
                  </w:r>
                </w:p>
              </w:tc>
              <w:tc>
                <w:tcPr>
                  <w:tcW w:w="1290" w:type="dxa"/>
                  <w:vAlign w:val="center"/>
                </w:tcPr>
                <w:p w14:paraId="47D0E8C8">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75</w:t>
                  </w:r>
                </w:p>
              </w:tc>
              <w:tc>
                <w:tcPr>
                  <w:tcW w:w="1621" w:type="dxa"/>
                  <w:vAlign w:val="center"/>
                </w:tcPr>
                <w:p w14:paraId="57A5AEEC">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300</w:t>
                  </w:r>
                </w:p>
              </w:tc>
              <w:tc>
                <w:tcPr>
                  <w:tcW w:w="1621" w:type="dxa"/>
                  <w:vAlign w:val="center"/>
                </w:tcPr>
                <w:p w14:paraId="08F9AABD">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t>达标</w:t>
                  </w:r>
                </w:p>
              </w:tc>
            </w:tr>
          </w:tbl>
          <w:p w14:paraId="60E1D59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表3-3 引用非甲烷总烃检测结果一览表  单位：mg/m</w:t>
            </w:r>
            <w:r>
              <w:rPr>
                <w:rFonts w:hint="default"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3</w:t>
            </w:r>
          </w:p>
          <w:tbl>
            <w:tblPr>
              <w:tblStyle w:val="34"/>
              <w:tblW w:w="81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8"/>
              <w:gridCol w:w="1327"/>
              <w:gridCol w:w="1328"/>
              <w:gridCol w:w="1260"/>
              <w:gridCol w:w="1321"/>
              <w:gridCol w:w="1621"/>
            </w:tblGrid>
            <w:tr w14:paraId="59C59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vAlign w:val="center"/>
                </w:tcPr>
                <w:p w14:paraId="0F91E756">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
                      <w:bCs w:val="0"/>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eastAsia="zh-CN"/>
                      <w14:textFill>
                        <w14:solidFill>
                          <w14:schemeClr w14:val="tx1"/>
                        </w14:solidFill>
                      </w14:textFill>
                    </w:rPr>
                    <w:t>检测点位</w:t>
                  </w:r>
                </w:p>
              </w:tc>
              <w:tc>
                <w:tcPr>
                  <w:tcW w:w="2655" w:type="dxa"/>
                  <w:gridSpan w:val="2"/>
                  <w:vAlign w:val="center"/>
                </w:tcPr>
                <w:p w14:paraId="4FFE28EC">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
                      <w:bCs w:val="0"/>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eastAsia="zh-CN"/>
                      <w14:textFill>
                        <w14:solidFill>
                          <w14:schemeClr w14:val="tx1"/>
                        </w14:solidFill>
                      </w14:textFill>
                    </w:rPr>
                    <w:t>采样时间</w:t>
                  </w:r>
                </w:p>
              </w:tc>
              <w:tc>
                <w:tcPr>
                  <w:tcW w:w="1260" w:type="dxa"/>
                  <w:vAlign w:val="center"/>
                </w:tcPr>
                <w:p w14:paraId="18CEE696">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非甲烷总烃</w:t>
                  </w:r>
                </w:p>
              </w:tc>
              <w:tc>
                <w:tcPr>
                  <w:tcW w:w="1321" w:type="dxa"/>
                  <w:vAlign w:val="center"/>
                </w:tcPr>
                <w:p w14:paraId="54E280E8">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
                      <w:bCs w:val="0"/>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eastAsia="zh-CN"/>
                      <w14:textFill>
                        <w14:solidFill>
                          <w14:schemeClr w14:val="tx1"/>
                        </w14:solidFill>
                      </w14:textFill>
                    </w:rPr>
                    <w:t>标准值</w:t>
                  </w:r>
                </w:p>
              </w:tc>
              <w:tc>
                <w:tcPr>
                  <w:tcW w:w="1621" w:type="dxa"/>
                  <w:vAlign w:val="center"/>
                </w:tcPr>
                <w:p w14:paraId="3A81FB4D">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
                      <w:bCs w:val="0"/>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eastAsia="zh-CN"/>
                      <w14:textFill>
                        <w14:solidFill>
                          <w14:schemeClr w14:val="tx1"/>
                        </w14:solidFill>
                      </w14:textFill>
                    </w:rPr>
                    <w:t>达标情况</w:t>
                  </w:r>
                </w:p>
              </w:tc>
            </w:tr>
            <w:tr w14:paraId="2D617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vMerge w:val="restart"/>
                  <w:vAlign w:val="center"/>
                </w:tcPr>
                <w:p w14:paraId="1627EFD4">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cs="Times New Roman" w:eastAsiaTheme="minorEastAsia"/>
                      <w:bCs/>
                      <w:color w:val="000000" w:themeColor="text1"/>
                      <w:sz w:val="21"/>
                      <w:szCs w:val="21"/>
                      <w:lang w:val="en-US" w:eastAsia="zh-CN"/>
                      <w14:textFill>
                        <w14:solidFill>
                          <w14:schemeClr w14:val="tx1"/>
                        </w14:solidFill>
                      </w14:textFill>
                    </w:rPr>
                    <w:t>S1</w:t>
                  </w:r>
                </w:p>
              </w:tc>
              <w:tc>
                <w:tcPr>
                  <w:tcW w:w="1327" w:type="dxa"/>
                  <w:vMerge w:val="restart"/>
                  <w:vAlign w:val="center"/>
                </w:tcPr>
                <w:p w14:paraId="692CAAD5">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2025.3.25</w:t>
                  </w:r>
                </w:p>
              </w:tc>
              <w:tc>
                <w:tcPr>
                  <w:tcW w:w="1328" w:type="dxa"/>
                  <w:vAlign w:val="center"/>
                </w:tcPr>
                <w:p w14:paraId="152B60B5">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2:00</w:t>
                  </w:r>
                </w:p>
              </w:tc>
              <w:tc>
                <w:tcPr>
                  <w:tcW w:w="1260" w:type="dxa"/>
                  <w:vAlign w:val="center"/>
                </w:tcPr>
                <w:p w14:paraId="6EC8650F">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0.16</w:t>
                  </w:r>
                </w:p>
              </w:tc>
              <w:tc>
                <w:tcPr>
                  <w:tcW w:w="1321" w:type="dxa"/>
                  <w:vAlign w:val="center"/>
                </w:tcPr>
                <w:p w14:paraId="5F9A54AD">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2</w:t>
                  </w:r>
                </w:p>
              </w:tc>
              <w:tc>
                <w:tcPr>
                  <w:tcW w:w="1621" w:type="dxa"/>
                  <w:vAlign w:val="center"/>
                </w:tcPr>
                <w:p w14:paraId="797AA524">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t>达标</w:t>
                  </w:r>
                </w:p>
              </w:tc>
            </w:tr>
            <w:tr w14:paraId="7EF1E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vMerge w:val="continue"/>
                  <w:vAlign w:val="center"/>
                </w:tcPr>
                <w:p w14:paraId="239C385B">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p>
              </w:tc>
              <w:tc>
                <w:tcPr>
                  <w:tcW w:w="1327" w:type="dxa"/>
                  <w:vMerge w:val="continue"/>
                  <w:vAlign w:val="center"/>
                </w:tcPr>
                <w:p w14:paraId="61884E91">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p>
              </w:tc>
              <w:tc>
                <w:tcPr>
                  <w:tcW w:w="1328" w:type="dxa"/>
                  <w:vAlign w:val="center"/>
                </w:tcPr>
                <w:p w14:paraId="7DDE1E75">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8:00</w:t>
                  </w:r>
                </w:p>
              </w:tc>
              <w:tc>
                <w:tcPr>
                  <w:tcW w:w="1260" w:type="dxa"/>
                  <w:vAlign w:val="center"/>
                </w:tcPr>
                <w:p w14:paraId="6AC104AE">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0.17</w:t>
                  </w:r>
                </w:p>
              </w:tc>
              <w:tc>
                <w:tcPr>
                  <w:tcW w:w="1321" w:type="dxa"/>
                  <w:vAlign w:val="center"/>
                </w:tcPr>
                <w:p w14:paraId="4148FA3E">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2</w:t>
                  </w:r>
                </w:p>
              </w:tc>
              <w:tc>
                <w:tcPr>
                  <w:tcW w:w="1621" w:type="dxa"/>
                  <w:vAlign w:val="center"/>
                </w:tcPr>
                <w:p w14:paraId="22F05209">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t>达标</w:t>
                  </w:r>
                </w:p>
              </w:tc>
            </w:tr>
            <w:tr w14:paraId="28C3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vMerge w:val="continue"/>
                  <w:vAlign w:val="center"/>
                </w:tcPr>
                <w:p w14:paraId="4973714B">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p>
              </w:tc>
              <w:tc>
                <w:tcPr>
                  <w:tcW w:w="1327" w:type="dxa"/>
                  <w:vMerge w:val="continue"/>
                  <w:vAlign w:val="center"/>
                </w:tcPr>
                <w:p w14:paraId="4F5B9357">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p>
              </w:tc>
              <w:tc>
                <w:tcPr>
                  <w:tcW w:w="1328" w:type="dxa"/>
                  <w:vAlign w:val="center"/>
                </w:tcPr>
                <w:p w14:paraId="31757F1D">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14:00</w:t>
                  </w:r>
                </w:p>
              </w:tc>
              <w:tc>
                <w:tcPr>
                  <w:tcW w:w="1260" w:type="dxa"/>
                  <w:vAlign w:val="center"/>
                </w:tcPr>
                <w:p w14:paraId="6A0D4407">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0.17</w:t>
                  </w:r>
                </w:p>
              </w:tc>
              <w:tc>
                <w:tcPr>
                  <w:tcW w:w="1321" w:type="dxa"/>
                  <w:vAlign w:val="center"/>
                </w:tcPr>
                <w:p w14:paraId="75BCE262">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2</w:t>
                  </w:r>
                </w:p>
              </w:tc>
              <w:tc>
                <w:tcPr>
                  <w:tcW w:w="1621" w:type="dxa"/>
                  <w:vAlign w:val="center"/>
                </w:tcPr>
                <w:p w14:paraId="5A8BEF0A">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t>达标</w:t>
                  </w:r>
                </w:p>
              </w:tc>
            </w:tr>
            <w:tr w14:paraId="37A5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vMerge w:val="continue"/>
                  <w:vAlign w:val="center"/>
                </w:tcPr>
                <w:p w14:paraId="3CE6535D">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p>
              </w:tc>
              <w:tc>
                <w:tcPr>
                  <w:tcW w:w="1327" w:type="dxa"/>
                  <w:vMerge w:val="continue"/>
                  <w:vAlign w:val="center"/>
                </w:tcPr>
                <w:p w14:paraId="18695B50">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p>
              </w:tc>
              <w:tc>
                <w:tcPr>
                  <w:tcW w:w="1328" w:type="dxa"/>
                  <w:vAlign w:val="center"/>
                </w:tcPr>
                <w:p w14:paraId="6F511A56">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20:00</w:t>
                  </w:r>
                </w:p>
              </w:tc>
              <w:tc>
                <w:tcPr>
                  <w:tcW w:w="1260" w:type="dxa"/>
                  <w:vAlign w:val="center"/>
                </w:tcPr>
                <w:p w14:paraId="43C52B15">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0.14</w:t>
                  </w:r>
                </w:p>
              </w:tc>
              <w:tc>
                <w:tcPr>
                  <w:tcW w:w="1321" w:type="dxa"/>
                  <w:vAlign w:val="center"/>
                </w:tcPr>
                <w:p w14:paraId="1F42DF17">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2</w:t>
                  </w:r>
                </w:p>
              </w:tc>
              <w:tc>
                <w:tcPr>
                  <w:tcW w:w="1621" w:type="dxa"/>
                  <w:vAlign w:val="center"/>
                </w:tcPr>
                <w:p w14:paraId="28FCA88A">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t>达标</w:t>
                  </w:r>
                </w:p>
              </w:tc>
            </w:tr>
            <w:tr w14:paraId="169B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48" w:type="dxa"/>
                  <w:vMerge w:val="continue"/>
                  <w:vAlign w:val="center"/>
                </w:tcPr>
                <w:p w14:paraId="5E7D54C0">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p>
              </w:tc>
              <w:tc>
                <w:tcPr>
                  <w:tcW w:w="1327" w:type="dxa"/>
                  <w:vMerge w:val="restart"/>
                  <w:vAlign w:val="center"/>
                </w:tcPr>
                <w:p w14:paraId="07F3E110">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2025.3.26</w:t>
                  </w:r>
                </w:p>
              </w:tc>
              <w:tc>
                <w:tcPr>
                  <w:tcW w:w="1328" w:type="dxa"/>
                  <w:vAlign w:val="center"/>
                </w:tcPr>
                <w:p w14:paraId="16613232">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2:00</w:t>
                  </w:r>
                </w:p>
              </w:tc>
              <w:tc>
                <w:tcPr>
                  <w:tcW w:w="1260" w:type="dxa"/>
                  <w:vAlign w:val="center"/>
                </w:tcPr>
                <w:p w14:paraId="77109A3E">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0.13</w:t>
                  </w:r>
                </w:p>
              </w:tc>
              <w:tc>
                <w:tcPr>
                  <w:tcW w:w="1321" w:type="dxa"/>
                  <w:vAlign w:val="center"/>
                </w:tcPr>
                <w:p w14:paraId="1332FCA7">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2</w:t>
                  </w:r>
                </w:p>
              </w:tc>
              <w:tc>
                <w:tcPr>
                  <w:tcW w:w="1621" w:type="dxa"/>
                  <w:vAlign w:val="center"/>
                </w:tcPr>
                <w:p w14:paraId="3E51A5FA">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t>达标</w:t>
                  </w:r>
                </w:p>
              </w:tc>
            </w:tr>
            <w:tr w14:paraId="049A7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vMerge w:val="continue"/>
                  <w:vAlign w:val="center"/>
                </w:tcPr>
                <w:p w14:paraId="077AAE6D">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p>
              </w:tc>
              <w:tc>
                <w:tcPr>
                  <w:tcW w:w="1327" w:type="dxa"/>
                  <w:vMerge w:val="continue"/>
                  <w:vAlign w:val="center"/>
                </w:tcPr>
                <w:p w14:paraId="5EC3E30F">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p>
              </w:tc>
              <w:tc>
                <w:tcPr>
                  <w:tcW w:w="1328" w:type="dxa"/>
                  <w:vAlign w:val="center"/>
                </w:tcPr>
                <w:p w14:paraId="2991CB9A">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8:00</w:t>
                  </w:r>
                </w:p>
              </w:tc>
              <w:tc>
                <w:tcPr>
                  <w:tcW w:w="1260" w:type="dxa"/>
                  <w:vAlign w:val="center"/>
                </w:tcPr>
                <w:p w14:paraId="1D50D9D7">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0.16</w:t>
                  </w:r>
                </w:p>
              </w:tc>
              <w:tc>
                <w:tcPr>
                  <w:tcW w:w="1321" w:type="dxa"/>
                  <w:vAlign w:val="center"/>
                </w:tcPr>
                <w:p w14:paraId="0E797752">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2</w:t>
                  </w:r>
                </w:p>
              </w:tc>
              <w:tc>
                <w:tcPr>
                  <w:tcW w:w="1621" w:type="dxa"/>
                  <w:vAlign w:val="center"/>
                </w:tcPr>
                <w:p w14:paraId="0FA26412">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t>达标</w:t>
                  </w:r>
                </w:p>
              </w:tc>
            </w:tr>
            <w:tr w14:paraId="4A5CF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8" w:type="dxa"/>
                  <w:vMerge w:val="continue"/>
                  <w:vAlign w:val="center"/>
                </w:tcPr>
                <w:p w14:paraId="676E640F">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p>
              </w:tc>
              <w:tc>
                <w:tcPr>
                  <w:tcW w:w="1327" w:type="dxa"/>
                  <w:vMerge w:val="continue"/>
                  <w:vAlign w:val="center"/>
                </w:tcPr>
                <w:p w14:paraId="260581B2">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p>
              </w:tc>
              <w:tc>
                <w:tcPr>
                  <w:tcW w:w="1328" w:type="dxa"/>
                  <w:vAlign w:val="center"/>
                </w:tcPr>
                <w:p w14:paraId="593E35DF">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14:00</w:t>
                  </w:r>
                </w:p>
              </w:tc>
              <w:tc>
                <w:tcPr>
                  <w:tcW w:w="1260" w:type="dxa"/>
                  <w:vAlign w:val="center"/>
                </w:tcPr>
                <w:p w14:paraId="752ADDC1">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0.17</w:t>
                  </w:r>
                </w:p>
              </w:tc>
              <w:tc>
                <w:tcPr>
                  <w:tcW w:w="1321" w:type="dxa"/>
                  <w:vAlign w:val="center"/>
                </w:tcPr>
                <w:p w14:paraId="448EEE1E">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2</w:t>
                  </w:r>
                </w:p>
              </w:tc>
              <w:tc>
                <w:tcPr>
                  <w:tcW w:w="1621" w:type="dxa"/>
                  <w:vAlign w:val="center"/>
                </w:tcPr>
                <w:p w14:paraId="63F6C5C6">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t>达标</w:t>
                  </w:r>
                </w:p>
              </w:tc>
            </w:tr>
            <w:tr w14:paraId="26D53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8" w:type="dxa"/>
                  <w:vMerge w:val="continue"/>
                  <w:vAlign w:val="center"/>
                </w:tcPr>
                <w:p w14:paraId="36C2C2EB">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p>
              </w:tc>
              <w:tc>
                <w:tcPr>
                  <w:tcW w:w="1327" w:type="dxa"/>
                  <w:vMerge w:val="continue"/>
                  <w:vAlign w:val="center"/>
                </w:tcPr>
                <w:p w14:paraId="1D2D5B01">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p>
              </w:tc>
              <w:tc>
                <w:tcPr>
                  <w:tcW w:w="1328" w:type="dxa"/>
                  <w:vAlign w:val="center"/>
                </w:tcPr>
                <w:p w14:paraId="52F431F7">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20:00</w:t>
                  </w:r>
                </w:p>
              </w:tc>
              <w:tc>
                <w:tcPr>
                  <w:tcW w:w="1260" w:type="dxa"/>
                  <w:vAlign w:val="center"/>
                </w:tcPr>
                <w:p w14:paraId="25805378">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0.16</w:t>
                  </w:r>
                </w:p>
              </w:tc>
              <w:tc>
                <w:tcPr>
                  <w:tcW w:w="1321" w:type="dxa"/>
                  <w:vAlign w:val="center"/>
                </w:tcPr>
                <w:p w14:paraId="749635B0">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2</w:t>
                  </w:r>
                </w:p>
              </w:tc>
              <w:tc>
                <w:tcPr>
                  <w:tcW w:w="1621" w:type="dxa"/>
                  <w:vAlign w:val="center"/>
                </w:tcPr>
                <w:p w14:paraId="1B5EC893">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t>达标</w:t>
                  </w:r>
                </w:p>
              </w:tc>
            </w:tr>
            <w:tr w14:paraId="483DC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vMerge w:val="continue"/>
                  <w:vAlign w:val="center"/>
                </w:tcPr>
                <w:p w14:paraId="4965750C">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p>
              </w:tc>
              <w:tc>
                <w:tcPr>
                  <w:tcW w:w="1327" w:type="dxa"/>
                  <w:vMerge w:val="restart"/>
                  <w:vAlign w:val="center"/>
                </w:tcPr>
                <w:p w14:paraId="0F65F663">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2025.3.27</w:t>
                  </w:r>
                </w:p>
              </w:tc>
              <w:tc>
                <w:tcPr>
                  <w:tcW w:w="1328" w:type="dxa"/>
                  <w:vAlign w:val="center"/>
                </w:tcPr>
                <w:p w14:paraId="5088E142">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2:00</w:t>
                  </w:r>
                </w:p>
              </w:tc>
              <w:tc>
                <w:tcPr>
                  <w:tcW w:w="1260" w:type="dxa"/>
                  <w:vAlign w:val="center"/>
                </w:tcPr>
                <w:p w14:paraId="5A121286">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0.11</w:t>
                  </w:r>
                </w:p>
              </w:tc>
              <w:tc>
                <w:tcPr>
                  <w:tcW w:w="1321" w:type="dxa"/>
                  <w:vAlign w:val="center"/>
                </w:tcPr>
                <w:p w14:paraId="682C66CE">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2</w:t>
                  </w:r>
                </w:p>
              </w:tc>
              <w:tc>
                <w:tcPr>
                  <w:tcW w:w="1621" w:type="dxa"/>
                  <w:vAlign w:val="center"/>
                </w:tcPr>
                <w:p w14:paraId="0E14A902">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t>达标</w:t>
                  </w:r>
                </w:p>
              </w:tc>
            </w:tr>
            <w:tr w14:paraId="352E4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vMerge w:val="continue"/>
                  <w:vAlign w:val="center"/>
                </w:tcPr>
                <w:p w14:paraId="7E7FAE79">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p>
              </w:tc>
              <w:tc>
                <w:tcPr>
                  <w:tcW w:w="1327" w:type="dxa"/>
                  <w:vMerge w:val="continue"/>
                  <w:vAlign w:val="center"/>
                </w:tcPr>
                <w:p w14:paraId="35CC29A0">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p>
              </w:tc>
              <w:tc>
                <w:tcPr>
                  <w:tcW w:w="1328" w:type="dxa"/>
                  <w:vAlign w:val="center"/>
                </w:tcPr>
                <w:p w14:paraId="23CBC04F">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8:00</w:t>
                  </w:r>
                </w:p>
              </w:tc>
              <w:tc>
                <w:tcPr>
                  <w:tcW w:w="1260" w:type="dxa"/>
                  <w:vAlign w:val="center"/>
                </w:tcPr>
                <w:p w14:paraId="3787B45D">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0.13</w:t>
                  </w:r>
                </w:p>
              </w:tc>
              <w:tc>
                <w:tcPr>
                  <w:tcW w:w="1321" w:type="dxa"/>
                  <w:vAlign w:val="center"/>
                </w:tcPr>
                <w:p w14:paraId="2EDB5899">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2</w:t>
                  </w:r>
                </w:p>
              </w:tc>
              <w:tc>
                <w:tcPr>
                  <w:tcW w:w="1621" w:type="dxa"/>
                  <w:vAlign w:val="center"/>
                </w:tcPr>
                <w:p w14:paraId="60D319C4">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t>达标</w:t>
                  </w:r>
                </w:p>
              </w:tc>
            </w:tr>
            <w:tr w14:paraId="590E8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vMerge w:val="continue"/>
                  <w:vAlign w:val="center"/>
                </w:tcPr>
                <w:p w14:paraId="503FE24C">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p>
              </w:tc>
              <w:tc>
                <w:tcPr>
                  <w:tcW w:w="1327" w:type="dxa"/>
                  <w:vMerge w:val="continue"/>
                  <w:vAlign w:val="center"/>
                </w:tcPr>
                <w:p w14:paraId="1DF78ED3">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p>
              </w:tc>
              <w:tc>
                <w:tcPr>
                  <w:tcW w:w="1328" w:type="dxa"/>
                  <w:vAlign w:val="center"/>
                </w:tcPr>
                <w:p w14:paraId="7786CF85">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14:00</w:t>
                  </w:r>
                </w:p>
              </w:tc>
              <w:tc>
                <w:tcPr>
                  <w:tcW w:w="1260" w:type="dxa"/>
                  <w:vAlign w:val="center"/>
                </w:tcPr>
                <w:p w14:paraId="1DAA82CC">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0.17</w:t>
                  </w:r>
                </w:p>
              </w:tc>
              <w:tc>
                <w:tcPr>
                  <w:tcW w:w="1321" w:type="dxa"/>
                  <w:vAlign w:val="center"/>
                </w:tcPr>
                <w:p w14:paraId="3D6DE87C">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2</w:t>
                  </w:r>
                </w:p>
              </w:tc>
              <w:tc>
                <w:tcPr>
                  <w:tcW w:w="1621" w:type="dxa"/>
                  <w:vAlign w:val="center"/>
                </w:tcPr>
                <w:p w14:paraId="5411F83E">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t>达标</w:t>
                  </w:r>
                </w:p>
              </w:tc>
            </w:tr>
            <w:tr w14:paraId="21199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vMerge w:val="continue"/>
                  <w:vAlign w:val="center"/>
                </w:tcPr>
                <w:p w14:paraId="31F6E6A2">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p>
              </w:tc>
              <w:tc>
                <w:tcPr>
                  <w:tcW w:w="1327" w:type="dxa"/>
                  <w:vMerge w:val="continue"/>
                  <w:vAlign w:val="center"/>
                </w:tcPr>
                <w:p w14:paraId="0688D658">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p>
              </w:tc>
              <w:tc>
                <w:tcPr>
                  <w:tcW w:w="1328" w:type="dxa"/>
                  <w:vAlign w:val="center"/>
                </w:tcPr>
                <w:p w14:paraId="29AB36D9">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20:00</w:t>
                  </w:r>
                </w:p>
              </w:tc>
              <w:tc>
                <w:tcPr>
                  <w:tcW w:w="1260" w:type="dxa"/>
                  <w:vAlign w:val="center"/>
                </w:tcPr>
                <w:p w14:paraId="16DD4566">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0.14</w:t>
                  </w:r>
                </w:p>
              </w:tc>
              <w:tc>
                <w:tcPr>
                  <w:tcW w:w="1321" w:type="dxa"/>
                  <w:vAlign w:val="center"/>
                </w:tcPr>
                <w:p w14:paraId="1D972920">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2</w:t>
                  </w:r>
                </w:p>
              </w:tc>
              <w:tc>
                <w:tcPr>
                  <w:tcW w:w="1621" w:type="dxa"/>
                  <w:vAlign w:val="center"/>
                </w:tcPr>
                <w:p w14:paraId="0302465C">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t>达标</w:t>
                  </w:r>
                </w:p>
              </w:tc>
            </w:tr>
          </w:tbl>
          <w:p w14:paraId="440EF021">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表3-4 引用NO</w:t>
            </w:r>
            <w:r>
              <w:rPr>
                <w:rFonts w:hint="eastAsia" w:ascii="Times New Roman" w:hAnsi="Times New Roman" w:eastAsia="宋体" w:cs="Times New Roman"/>
                <w:b/>
                <w:bCs/>
                <w:color w:val="000000" w:themeColor="text1"/>
                <w:sz w:val="21"/>
                <w:szCs w:val="21"/>
                <w:vertAlign w:val="subscript"/>
                <w:lang w:val="en-US" w:eastAsia="zh-CN"/>
                <w14:textFill>
                  <w14:solidFill>
                    <w14:schemeClr w14:val="tx1"/>
                  </w14:solidFill>
                </w14:textFill>
              </w:rPr>
              <w:t>X</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检测结果一览表</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单位：mg/m</w:t>
            </w:r>
            <w:r>
              <w:rPr>
                <w:rFonts w:hint="default"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3</w:t>
            </w:r>
          </w:p>
          <w:tbl>
            <w:tblPr>
              <w:tblStyle w:val="34"/>
              <w:tblW w:w="810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13"/>
              <w:gridCol w:w="2220"/>
              <w:gridCol w:w="1313"/>
              <w:gridCol w:w="1139"/>
              <w:gridCol w:w="965"/>
              <w:gridCol w:w="951"/>
            </w:tblGrid>
            <w:tr w14:paraId="3FCED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1676" w:type="dxa"/>
                  <w:tcBorders>
                    <w:tl2br w:val="nil"/>
                    <w:tr2bl w:val="nil"/>
                  </w:tcBorders>
                  <w:vAlign w:val="center"/>
                </w:tcPr>
                <w:p w14:paraId="45D289BD">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检测</w:t>
                  </w: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点位</w:t>
                  </w:r>
                </w:p>
              </w:tc>
              <w:tc>
                <w:tcPr>
                  <w:tcW w:w="1937" w:type="dxa"/>
                  <w:tcBorders>
                    <w:tl2br w:val="nil"/>
                    <w:tr2bl w:val="nil"/>
                  </w:tcBorders>
                  <w:vAlign w:val="center"/>
                </w:tcPr>
                <w:p w14:paraId="5D30CDCA">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采样时间</w:t>
                  </w:r>
                </w:p>
              </w:tc>
              <w:tc>
                <w:tcPr>
                  <w:tcW w:w="1390" w:type="dxa"/>
                  <w:tcBorders>
                    <w:tl2br w:val="nil"/>
                    <w:tr2bl w:val="nil"/>
                  </w:tcBorders>
                  <w:vAlign w:val="center"/>
                </w:tcPr>
                <w:p w14:paraId="79192F2E">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采样时段</w:t>
                  </w:r>
                </w:p>
              </w:tc>
              <w:tc>
                <w:tcPr>
                  <w:tcW w:w="1036" w:type="dxa"/>
                  <w:tcBorders>
                    <w:tl2br w:val="nil"/>
                    <w:tr2bl w:val="nil"/>
                  </w:tcBorders>
                  <w:vAlign w:val="center"/>
                </w:tcPr>
                <w:p w14:paraId="07673B8D">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氮氧化物（μg/m³）</w:t>
                  </w:r>
                </w:p>
              </w:tc>
              <w:tc>
                <w:tcPr>
                  <w:tcW w:w="1031" w:type="dxa"/>
                  <w:tcBorders>
                    <w:tl2br w:val="nil"/>
                    <w:tr2bl w:val="nil"/>
                  </w:tcBorders>
                  <w:vAlign w:val="center"/>
                </w:tcPr>
                <w:p w14:paraId="094A28CD">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标准值</w:t>
                  </w:r>
                </w:p>
              </w:tc>
              <w:tc>
                <w:tcPr>
                  <w:tcW w:w="1031" w:type="dxa"/>
                  <w:tcBorders>
                    <w:tl2br w:val="nil"/>
                    <w:tr2bl w:val="nil"/>
                  </w:tcBorders>
                  <w:vAlign w:val="center"/>
                </w:tcPr>
                <w:p w14:paraId="2C6E7EAD">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达标情况</w:t>
                  </w:r>
                </w:p>
              </w:tc>
            </w:tr>
            <w:tr w14:paraId="6F463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676" w:type="dxa"/>
                  <w:vMerge w:val="restart"/>
                  <w:tcBorders>
                    <w:tl2br w:val="nil"/>
                    <w:tr2bl w:val="nil"/>
                  </w:tcBorders>
                  <w:vAlign w:val="center"/>
                </w:tcPr>
                <w:p w14:paraId="5A43EBB9">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S2</w:t>
                  </w:r>
                </w:p>
              </w:tc>
              <w:tc>
                <w:tcPr>
                  <w:tcW w:w="1937" w:type="dxa"/>
                  <w:tcBorders>
                    <w:tl2br w:val="nil"/>
                    <w:tr2bl w:val="nil"/>
                  </w:tcBorders>
                  <w:vAlign w:val="center"/>
                </w:tcPr>
                <w:p w14:paraId="436CD247">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2025.08.05~2025.08.06</w:t>
                  </w:r>
                </w:p>
              </w:tc>
              <w:tc>
                <w:tcPr>
                  <w:tcW w:w="1390" w:type="dxa"/>
                  <w:tcBorders>
                    <w:tl2br w:val="nil"/>
                    <w:tr2bl w:val="nil"/>
                  </w:tcBorders>
                  <w:vAlign w:val="center"/>
                </w:tcPr>
                <w:p w14:paraId="3C6509A6">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07:00~次日07:00</w:t>
                  </w:r>
                </w:p>
              </w:tc>
              <w:tc>
                <w:tcPr>
                  <w:tcW w:w="1036" w:type="dxa"/>
                  <w:tcBorders>
                    <w:tl2br w:val="nil"/>
                    <w:tr2bl w:val="nil"/>
                  </w:tcBorders>
                  <w:vAlign w:val="center"/>
                </w:tcPr>
                <w:p w14:paraId="1484F2E0">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57</w:t>
                  </w:r>
                </w:p>
              </w:tc>
              <w:tc>
                <w:tcPr>
                  <w:tcW w:w="1031" w:type="dxa"/>
                  <w:tcBorders>
                    <w:tl2br w:val="nil"/>
                    <w:tr2bl w:val="nil"/>
                  </w:tcBorders>
                  <w:vAlign w:val="center"/>
                </w:tcPr>
                <w:p w14:paraId="04C5F5EE">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100</w:t>
                  </w:r>
                </w:p>
              </w:tc>
              <w:tc>
                <w:tcPr>
                  <w:tcW w:w="1031" w:type="dxa"/>
                  <w:tcBorders>
                    <w:tl2br w:val="nil"/>
                    <w:tr2bl w:val="nil"/>
                  </w:tcBorders>
                  <w:vAlign w:val="center"/>
                </w:tcPr>
                <w:p w14:paraId="25B85F19">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达标</w:t>
                  </w:r>
                </w:p>
              </w:tc>
            </w:tr>
            <w:tr w14:paraId="3DB50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676" w:type="dxa"/>
                  <w:vMerge w:val="continue"/>
                  <w:tcBorders>
                    <w:tl2br w:val="nil"/>
                    <w:tr2bl w:val="nil"/>
                  </w:tcBorders>
                  <w:vAlign w:val="center"/>
                </w:tcPr>
                <w:p w14:paraId="3E4BBC24">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pPr>
                </w:p>
              </w:tc>
              <w:tc>
                <w:tcPr>
                  <w:tcW w:w="1937" w:type="dxa"/>
                  <w:tcBorders>
                    <w:tl2br w:val="nil"/>
                    <w:tr2bl w:val="nil"/>
                  </w:tcBorders>
                  <w:vAlign w:val="center"/>
                </w:tcPr>
                <w:p w14:paraId="5C3BCFD3">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2025.08.06~2025.08.07</w:t>
                  </w:r>
                </w:p>
              </w:tc>
              <w:tc>
                <w:tcPr>
                  <w:tcW w:w="1390" w:type="dxa"/>
                  <w:tcBorders>
                    <w:tl2br w:val="nil"/>
                    <w:tr2bl w:val="nil"/>
                  </w:tcBorders>
                  <w:vAlign w:val="center"/>
                </w:tcPr>
                <w:p w14:paraId="178EDAD2">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07:01~次日07:01</w:t>
                  </w:r>
                </w:p>
              </w:tc>
              <w:tc>
                <w:tcPr>
                  <w:tcW w:w="1036" w:type="dxa"/>
                  <w:tcBorders>
                    <w:tl2br w:val="nil"/>
                    <w:tr2bl w:val="nil"/>
                  </w:tcBorders>
                  <w:vAlign w:val="center"/>
                </w:tcPr>
                <w:p w14:paraId="72F52799">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67</w:t>
                  </w:r>
                </w:p>
              </w:tc>
              <w:tc>
                <w:tcPr>
                  <w:tcW w:w="1031" w:type="dxa"/>
                  <w:tcBorders>
                    <w:tl2br w:val="nil"/>
                    <w:tr2bl w:val="nil"/>
                  </w:tcBorders>
                  <w:vAlign w:val="center"/>
                </w:tcPr>
                <w:p w14:paraId="211FE2D3">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100</w:t>
                  </w:r>
                </w:p>
              </w:tc>
              <w:tc>
                <w:tcPr>
                  <w:tcW w:w="1031" w:type="dxa"/>
                  <w:tcBorders>
                    <w:tl2br w:val="nil"/>
                    <w:tr2bl w:val="nil"/>
                  </w:tcBorders>
                  <w:vAlign w:val="center"/>
                </w:tcPr>
                <w:p w14:paraId="48B63A4A">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达标</w:t>
                  </w:r>
                </w:p>
              </w:tc>
            </w:tr>
            <w:tr w14:paraId="221A0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676" w:type="dxa"/>
                  <w:vMerge w:val="continue"/>
                  <w:tcBorders>
                    <w:tl2br w:val="nil"/>
                    <w:tr2bl w:val="nil"/>
                  </w:tcBorders>
                  <w:vAlign w:val="center"/>
                </w:tcPr>
                <w:p w14:paraId="7BFEE4D3">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pPr>
                </w:p>
              </w:tc>
              <w:tc>
                <w:tcPr>
                  <w:tcW w:w="1937" w:type="dxa"/>
                  <w:tcBorders>
                    <w:tl2br w:val="nil"/>
                    <w:tr2bl w:val="nil"/>
                  </w:tcBorders>
                  <w:vAlign w:val="center"/>
                </w:tcPr>
                <w:p w14:paraId="3DB46D69">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2025.08.07~2025.08.08</w:t>
                  </w:r>
                </w:p>
              </w:tc>
              <w:tc>
                <w:tcPr>
                  <w:tcW w:w="1390" w:type="dxa"/>
                  <w:tcBorders>
                    <w:tl2br w:val="nil"/>
                    <w:tr2bl w:val="nil"/>
                  </w:tcBorders>
                  <w:vAlign w:val="center"/>
                </w:tcPr>
                <w:p w14:paraId="41C2A579">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07:02~次日07:02</w:t>
                  </w:r>
                </w:p>
              </w:tc>
              <w:tc>
                <w:tcPr>
                  <w:tcW w:w="1036" w:type="dxa"/>
                  <w:tcBorders>
                    <w:tl2br w:val="nil"/>
                    <w:tr2bl w:val="nil"/>
                  </w:tcBorders>
                  <w:vAlign w:val="center"/>
                </w:tcPr>
                <w:p w14:paraId="34326CCD">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65</w:t>
                  </w:r>
                </w:p>
              </w:tc>
              <w:tc>
                <w:tcPr>
                  <w:tcW w:w="1031" w:type="dxa"/>
                  <w:tcBorders>
                    <w:tl2br w:val="nil"/>
                    <w:tr2bl w:val="nil"/>
                  </w:tcBorders>
                  <w:vAlign w:val="center"/>
                </w:tcPr>
                <w:p w14:paraId="748DBC32">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100</w:t>
                  </w:r>
                </w:p>
              </w:tc>
              <w:tc>
                <w:tcPr>
                  <w:tcW w:w="1031" w:type="dxa"/>
                  <w:tcBorders>
                    <w:tl2br w:val="nil"/>
                    <w:tr2bl w:val="nil"/>
                  </w:tcBorders>
                  <w:vAlign w:val="center"/>
                </w:tcPr>
                <w:p w14:paraId="6F08CF45">
                  <w:pPr>
                    <w:pStyle w:val="96"/>
                    <w:keepNext w:val="0"/>
                    <w:keepLines w:val="0"/>
                    <w:pageBreakBefore w:val="0"/>
                    <w:widowControl w:val="0"/>
                    <w:tabs>
                      <w:tab w:val="left" w:pos="3780"/>
                    </w:tabs>
                    <w:kinsoku/>
                    <w:wordWrap/>
                    <w:overflowPunct/>
                    <w:topLinePunct w:val="0"/>
                    <w:autoSpaceDE/>
                    <w:autoSpaceDN/>
                    <w:bidi w:val="0"/>
                    <w:adjustRightInd/>
                    <w:snapToGrid/>
                    <w:spacing w:before="0" w:after="0" w:line="240" w:lineRule="auto"/>
                    <w:ind w:left="0" w:leftChars="0" w:right="0" w:firstLine="0"/>
                    <w:jc w:val="center"/>
                    <w:textAlignment w:val="auto"/>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达标</w:t>
                  </w:r>
                </w:p>
              </w:tc>
            </w:tr>
          </w:tbl>
          <w:p w14:paraId="56E16BE8">
            <w:pPr>
              <w:pageBreakBefore w:val="0"/>
              <w:kinsoku/>
              <w:overflowPunct/>
              <w:topLinePunct w:val="0"/>
              <w:bidi w:val="0"/>
              <w:spacing w:line="360" w:lineRule="auto"/>
              <w:ind w:left="0" w:leftChars="0" w:right="0"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根据监测数据表明，项目区特征污染物 TSP</w:t>
            </w:r>
            <w:r>
              <w:rPr>
                <w:rFonts w:hint="eastAsia"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NO</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X</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符合《环境空气质量标准》（GB3095-2012）二级标准，非甲烷总烃能达《大气污染物综合排放标准详解》P244标准限值。</w:t>
            </w:r>
            <w:r>
              <w:rPr>
                <w:rFonts w:hint="default" w:ascii="Times New Roman" w:hAnsi="Times New Roman" w:cs="Times New Roman"/>
                <w:color w:val="000000" w:themeColor="text1"/>
                <w:kern w:val="0"/>
                <w:sz w:val="24"/>
                <w14:textFill>
                  <w14:solidFill>
                    <w14:schemeClr w14:val="tx1"/>
                  </w14:solidFill>
                </w14:textFill>
              </w:rPr>
              <w:t>项目区环境空气质量满足功能区要求。</w:t>
            </w:r>
          </w:p>
          <w:p w14:paraId="6325DA57">
            <w:pPr>
              <w:pageBreakBefore w:val="0"/>
              <w:kinsoku/>
              <w:overflowPunct/>
              <w:topLinePunct w:val="0"/>
              <w:bidi w:val="0"/>
              <w:spacing w:line="360" w:lineRule="auto"/>
              <w:ind w:left="0" w:leftChars="0" w:right="0" w:firstLine="480" w:firstLineChars="200"/>
              <w:rPr>
                <w:rFonts w:hint="default" w:ascii="Times New Roman" w:hAnsi="Times New Roman" w:cs="Times New Roman"/>
                <w:color w:val="000000" w:themeColor="text1"/>
                <w:kern w:val="0"/>
                <w:sz w:val="24"/>
                <w14:textFill>
                  <w14:solidFill>
                    <w14:schemeClr w14:val="tx1"/>
                  </w14:solidFill>
                </w14:textFill>
              </w:rPr>
            </w:pPr>
          </w:p>
          <w:p w14:paraId="6C92FF60">
            <w:pPr>
              <w:pageBreakBefore w:val="0"/>
              <w:kinsoku/>
              <w:overflowPunct/>
              <w:topLinePunct w:val="0"/>
              <w:bidi w:val="0"/>
              <w:spacing w:line="360" w:lineRule="auto"/>
              <w:ind w:left="0" w:leftChars="0" w:right="0" w:firstLine="480" w:firstLineChars="200"/>
              <w:rPr>
                <w:rFonts w:hint="default" w:ascii="Times New Roman" w:hAnsi="Times New Roman" w:cs="Times New Roman"/>
                <w:color w:val="000000" w:themeColor="text1"/>
                <w:kern w:val="0"/>
                <w:sz w:val="24"/>
                <w14:textFill>
                  <w14:solidFill>
                    <w14:schemeClr w14:val="tx1"/>
                  </w14:solidFill>
                </w14:textFill>
              </w:rPr>
            </w:pPr>
          </w:p>
          <w:p w14:paraId="1A523E72">
            <w:pPr>
              <w:pageBreakBefore w:val="0"/>
              <w:kinsoku/>
              <w:overflowPunct/>
              <w:topLinePunct w:val="0"/>
              <w:bidi w:val="0"/>
              <w:spacing w:line="360" w:lineRule="auto"/>
              <w:ind w:left="0" w:leftChars="0" w:right="0" w:firstLine="480" w:firstLineChars="200"/>
              <w:rPr>
                <w:rFonts w:hint="default" w:ascii="Times New Roman" w:hAnsi="Times New Roman" w:cs="Times New Roman"/>
                <w:color w:val="000000" w:themeColor="text1"/>
                <w:kern w:val="0"/>
                <w:sz w:val="24"/>
                <w14:textFill>
                  <w14:solidFill>
                    <w14:schemeClr w14:val="tx1"/>
                  </w14:solidFill>
                </w14:textFill>
              </w:rPr>
            </w:pPr>
          </w:p>
          <w:p w14:paraId="49A2749A">
            <w:pPr>
              <w:pageBreakBefore w:val="0"/>
              <w:kinsoku/>
              <w:overflowPunct/>
              <w:topLinePunct w:val="0"/>
              <w:bidi w:val="0"/>
              <w:spacing w:line="360" w:lineRule="auto"/>
              <w:ind w:left="0" w:leftChars="0" w:right="0" w:firstLine="480" w:firstLineChars="200"/>
              <w:rPr>
                <w:rFonts w:hint="default" w:ascii="Times New Roman" w:hAnsi="Times New Roman" w:cs="Times New Roman"/>
                <w:color w:val="000000" w:themeColor="text1"/>
                <w:kern w:val="0"/>
                <w:sz w:val="24"/>
                <w14:textFill>
                  <w14:solidFill>
                    <w14:schemeClr w14:val="tx1"/>
                  </w14:solidFill>
                </w14:textFill>
              </w:rPr>
            </w:pPr>
          </w:p>
          <w:p w14:paraId="25C3011C">
            <w:pPr>
              <w:pageBreakBefore w:val="0"/>
              <w:kinsoku/>
              <w:overflowPunct/>
              <w:topLinePunct w:val="0"/>
              <w:bidi w:val="0"/>
              <w:spacing w:line="360" w:lineRule="auto"/>
              <w:ind w:right="0"/>
              <w:rPr>
                <w:rFonts w:hint="eastAsia" w:ascii="Times New Roman" w:hAnsi="Times New Roman" w:eastAsia="宋体" w:cs="Times New Roman"/>
                <w:color w:val="000000" w:themeColor="text1"/>
                <w:kern w:val="0"/>
                <w:sz w:val="24"/>
                <w:lang w:val="en-US" w:eastAsia="zh-CN"/>
                <w14:textFill>
                  <w14:solidFill>
                    <w14:schemeClr w14:val="tx1"/>
                  </w14:solidFill>
                </w14:textFill>
              </w:rPr>
            </w:pPr>
          </w:p>
          <w:p w14:paraId="7DF15A87">
            <w:pPr>
              <w:pStyle w:val="19"/>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b/>
                <w:bCs/>
                <w:color w:val="000000" w:themeColor="text1"/>
                <w14:textFill>
                  <w14:solidFill>
                    <w14:schemeClr w14:val="tx1"/>
                  </w14:solidFill>
                </w14:textFill>
              </w:rPr>
            </w:pPr>
            <w:r>
              <w:rPr>
                <w:sz w:val="21"/>
              </w:rPr>
              <mc:AlternateContent>
                <mc:Choice Requires="wps">
                  <w:drawing>
                    <wp:anchor distT="0" distB="0" distL="114300" distR="114300" simplePos="0" relativeHeight="251666432" behindDoc="0" locked="0" layoutInCell="1" allowOverlap="1">
                      <wp:simplePos x="0" y="0"/>
                      <wp:positionH relativeFrom="column">
                        <wp:posOffset>283845</wp:posOffset>
                      </wp:positionH>
                      <wp:positionV relativeFrom="paragraph">
                        <wp:posOffset>1772920</wp:posOffset>
                      </wp:positionV>
                      <wp:extent cx="1000125" cy="390525"/>
                      <wp:effectExtent l="6350" t="6350" r="22225" b="822325"/>
                      <wp:wrapNone/>
                      <wp:docPr id="3" name="矩形标注 3"/>
                      <wp:cNvGraphicFramePr/>
                      <a:graphic xmlns:a="http://schemas.openxmlformats.org/drawingml/2006/main">
                        <a:graphicData uri="http://schemas.microsoft.com/office/word/2010/wordprocessingShape">
                          <wps:wsp>
                            <wps:cNvSpPr/>
                            <wps:spPr>
                              <a:xfrm>
                                <a:off x="1427480" y="3313430"/>
                                <a:ext cx="1000125" cy="390525"/>
                              </a:xfrm>
                              <a:prstGeom prst="wedgeRectCallout">
                                <a:avLst>
                                  <a:gd name="adj1" fmla="val -26571"/>
                                  <a:gd name="adj2" fmla="val 255691"/>
                                </a:avLst>
                              </a:prstGeom>
                              <a:solidFill>
                                <a:schemeClr val="bg1"/>
                              </a:solidFill>
                              <a:ln w="127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02B4D9A">
                                  <w:pPr>
                                    <w:jc w:val="center"/>
                                    <w:rPr>
                                      <w:rFonts w:hint="eastAsia" w:eastAsia="宋体"/>
                                      <w:b/>
                                      <w:bCs/>
                                      <w:color w:val="FF0000"/>
                                      <w:lang w:eastAsia="zh-CN"/>
                                    </w:rPr>
                                  </w:pPr>
                                  <w:r>
                                    <w:rPr>
                                      <w:rFonts w:hint="eastAsia"/>
                                      <w:b/>
                                      <w:bCs/>
                                      <w:color w:val="FF0000"/>
                                      <w:lang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2.35pt;margin-top:139.6pt;height:30.75pt;width:78.75pt;z-index:251666432;v-text-anchor:middle;mso-width-relative:page;mso-height-relative:page;" fillcolor="#FFFFFF [3212]" filled="t" stroked="t" coordsize="21600,21600" o:gfxdata="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Amz4ztoAAAAKAQAADwAAAAAAAAABACAAAAAiAAAA&#10;ZHJzL2Rvd25yZXYueG1sUEsBAhQAFAAAAAgAh07iQKWue+WwAgAAWQUAAA4AAAAAAAAAAQAgAAAA&#10;KQEAAGRycy9lMm9Eb2MueG1sUEsFBgAAAAAGAAYAWQEAAEsGAAAAAA==&#10;" adj="5061,66029">
                      <v:fill on="t" focussize="0,0"/>
                      <v:stroke weight="1pt" color="#FF0000 [2404]" joinstyle="round"/>
                      <v:imagedata o:title=""/>
                      <o:lock v:ext="edit" aspectratio="f"/>
                      <v:textbox>
                        <w:txbxContent>
                          <w:p w14:paraId="702B4D9A">
                            <w:pPr>
                              <w:jc w:val="center"/>
                              <w:rPr>
                                <w:rFonts w:hint="eastAsia" w:eastAsia="宋体"/>
                                <w:b/>
                                <w:bCs/>
                                <w:color w:val="FF0000"/>
                                <w:lang w:eastAsia="zh-CN"/>
                              </w:rPr>
                            </w:pPr>
                            <w:r>
                              <w:rPr>
                                <w:rFonts w:hint="eastAsia"/>
                                <w:b/>
                                <w:bCs/>
                                <w:color w:val="FF0000"/>
                                <w:lang w:eastAsia="zh-CN"/>
                              </w:rPr>
                              <w:t>项目所在地</w:t>
                            </w:r>
                          </w:p>
                        </w:txbxContent>
                      </v:textbox>
                    </v:shape>
                  </w:pict>
                </mc:Fallback>
              </mc:AlternateContent>
            </w:r>
            <w:r>
              <w:drawing>
                <wp:inline distT="0" distB="0" distL="114300" distR="114300">
                  <wp:extent cx="4949825" cy="3524885"/>
                  <wp:effectExtent l="22225" t="22225" r="38100" b="3429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22"/>
                          <a:stretch>
                            <a:fillRect/>
                          </a:stretch>
                        </pic:blipFill>
                        <pic:spPr>
                          <a:xfrm>
                            <a:off x="0" y="0"/>
                            <a:ext cx="4949825" cy="3524885"/>
                          </a:xfrm>
                          <a:prstGeom prst="rect">
                            <a:avLst/>
                          </a:prstGeom>
                          <a:noFill/>
                          <a:ln w="22225">
                            <a:solidFill>
                              <a:schemeClr val="tx1"/>
                            </a:solidFill>
                          </a:ln>
                        </pic:spPr>
                      </pic:pic>
                    </a:graphicData>
                  </a:graphic>
                </wp:inline>
              </w:drawing>
            </w:r>
          </w:p>
          <w:p w14:paraId="5A359773">
            <w:pPr>
              <w:pStyle w:val="19"/>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图</w:t>
            </w:r>
            <w:r>
              <w:rPr>
                <w:rFonts w:hint="default" w:ascii="Times New Roman" w:hAnsi="Times New Roman" w:cs="Times New Roman"/>
                <w:b/>
                <w:bCs/>
                <w:color w:val="000000" w:themeColor="text1"/>
                <w:lang w:val="en-US" w:eastAsia="zh-CN"/>
                <w14:textFill>
                  <w14:solidFill>
                    <w14:schemeClr w14:val="tx1"/>
                  </w14:solidFill>
                </w14:textFill>
              </w:rPr>
              <w:t>3-1引用监测点位图</w:t>
            </w:r>
          </w:p>
          <w:p w14:paraId="7CA50189">
            <w:pPr>
              <w:pStyle w:val="19"/>
              <w:pageBreakBefore w:val="0"/>
              <w:kinsoku/>
              <w:overflowPunct/>
              <w:topLinePunct w:val="0"/>
              <w:bidi w:val="0"/>
              <w:adjustRightInd w:val="0"/>
              <w:snapToGrid w:val="0"/>
              <w:spacing w:line="348" w:lineRule="auto"/>
              <w:ind w:left="0" w:leftChars="0" w:right="0"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2、地表水环境质量现状</w:t>
            </w:r>
          </w:p>
          <w:p w14:paraId="75D61ADA">
            <w:pPr>
              <w:pageBreakBefore w:val="0"/>
              <w:kinsoku/>
              <w:overflowPunct/>
              <w:topLinePunct w:val="0"/>
              <w:bidi w:val="0"/>
              <w:spacing w:line="360" w:lineRule="auto"/>
              <w:ind w:left="0" w:leftChars="0"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根据项目区域水系图可知，</w:t>
            </w:r>
            <w:r>
              <w:rPr>
                <w:rFonts w:hint="default" w:ascii="Times New Roman" w:hAnsi="Times New Roman" w:cs="Times New Roman"/>
                <w:color w:val="000000" w:themeColor="text1"/>
                <w:kern w:val="0"/>
                <w:sz w:val="24"/>
                <w:lang w:val="zh-CN"/>
                <w14:textFill>
                  <w14:solidFill>
                    <w14:schemeClr w14:val="tx1"/>
                  </w14:solidFill>
                </w14:textFill>
              </w:rPr>
              <w:t>本项目距离最近的地表水体</w:t>
            </w:r>
            <w:r>
              <w:rPr>
                <w:rFonts w:hint="default" w:ascii="Times New Roman" w:hAnsi="Times New Roman" w:cs="Times New Roman"/>
                <w:color w:val="000000" w:themeColor="text1"/>
                <w:sz w:val="24"/>
                <w14:textFill>
                  <w14:solidFill>
                    <w14:schemeClr w14:val="tx1"/>
                  </w14:solidFill>
                </w14:textFill>
              </w:rPr>
              <w:t>为项目区</w:t>
            </w:r>
            <w:r>
              <w:rPr>
                <w:rFonts w:hint="default" w:ascii="Times New Roman" w:hAnsi="Times New Roman" w:cs="Times New Roman"/>
                <w:color w:val="000000" w:themeColor="text1"/>
                <w:sz w:val="24"/>
                <w:lang w:eastAsia="zh-CN"/>
                <w14:textFill>
                  <w14:solidFill>
                    <w14:schemeClr w14:val="tx1"/>
                  </w14:solidFill>
                </w14:textFill>
              </w:rPr>
              <w:t>南侧约</w:t>
            </w:r>
            <w:r>
              <w:rPr>
                <w:rFonts w:hint="default" w:ascii="Times New Roman" w:hAnsi="Times New Roman" w:cs="Times New Roman"/>
                <w:color w:val="000000" w:themeColor="text1"/>
                <w:sz w:val="24"/>
                <w:lang w:val="en-US" w:eastAsia="zh-CN"/>
                <w14:textFill>
                  <w14:solidFill>
                    <w14:schemeClr w14:val="tx1"/>
                  </w14:solidFill>
                </w14:textFill>
              </w:rPr>
              <w:t>220m处的东风大沟，东风大沟经干冲箐、歪者河</w:t>
            </w:r>
            <w:r>
              <w:rPr>
                <w:rFonts w:hint="default" w:ascii="Times New Roman" w:hAnsi="Times New Roman" w:cs="Times New Roman"/>
                <w:color w:val="000000" w:themeColor="text1"/>
                <w:kern w:val="0"/>
                <w:sz w:val="24"/>
                <w:lang w:val="en-US" w:eastAsia="zh-CN"/>
                <w14:textFill>
                  <w14:solidFill>
                    <w14:schemeClr w14:val="tx1"/>
                  </w14:solidFill>
                </w14:textFill>
              </w:rPr>
              <w:t>、大沙河、石邑小河</w:t>
            </w:r>
            <w:r>
              <w:rPr>
                <w:rFonts w:hint="default" w:ascii="Times New Roman" w:hAnsi="Times New Roman" w:cs="Times New Roman"/>
                <w:color w:val="000000" w:themeColor="text1"/>
                <w:sz w:val="24"/>
                <w:lang w:val="en-US" w:eastAsia="zh-CN"/>
                <w14:textFill>
                  <w14:solidFill>
                    <w14:schemeClr w14:val="tx1"/>
                  </w14:solidFill>
                </w14:textFill>
              </w:rPr>
              <w:t>，最终于峨山小街由义村附近汇入峨山大河，即曲江</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曲江</w:t>
            </w:r>
            <w:r>
              <w:rPr>
                <w:rFonts w:hint="default" w:ascii="Times New Roman" w:hAnsi="Times New Roman" w:cs="Times New Roman"/>
                <w:color w:val="000000" w:themeColor="text1"/>
                <w:sz w:val="24"/>
                <w14:textFill>
                  <w14:solidFill>
                    <w14:schemeClr w14:val="tx1"/>
                  </w14:solidFill>
                </w14:textFill>
              </w:rPr>
              <w:t>属于珠江流域，</w:t>
            </w:r>
            <w:r>
              <w:rPr>
                <w:rFonts w:hint="default" w:ascii="Times New Roman" w:hAnsi="Times New Roman" w:cs="Times New Roman"/>
                <w:color w:val="000000" w:themeColor="text1"/>
                <w:kern w:val="0"/>
                <w:sz w:val="24"/>
                <w14:textFill>
                  <w14:solidFill>
                    <w14:schemeClr w14:val="tx1"/>
                  </w14:solidFill>
                </w14:textFill>
              </w:rPr>
              <w:t>根据《云南省水功能区划》（2014 年修订），涉及水功能区为“曲江红塔-峨山工业、农业用水区”，2030年水质考核目标为Ⅲ类，执行《地表水环境质量标准》（GB3838-2002）Ⅲ类水质标准。</w:t>
            </w:r>
          </w:p>
          <w:p w14:paraId="4E01A51A">
            <w:pPr>
              <w:keepNext w:val="0"/>
              <w:keepLines w:val="0"/>
              <w:pageBreakBefore w:val="0"/>
              <w:widowControl w:val="0"/>
              <w:kinsoku/>
              <w:wordWrap w:val="0"/>
              <w:overflowPunct/>
              <w:topLinePunct w:val="0"/>
              <w:autoSpaceDE/>
              <w:autoSpaceDN/>
              <w:bidi w:val="0"/>
              <w:adjustRightInd w:val="0"/>
              <w:snapToGrid w:val="0"/>
              <w:spacing w:line="348" w:lineRule="auto"/>
              <w:ind w:left="0" w:leftChars="0" w:right="0" w:firstLine="480" w:firstLineChars="200"/>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根据</w:t>
            </w:r>
            <w:r>
              <w:rPr>
                <w:rFonts w:hint="default"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2023年玉溪市生态环境状况公报</w:t>
            </w:r>
            <w:r>
              <w:rPr>
                <w:rFonts w:hint="default"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2023年</w:t>
            </w:r>
            <w:r>
              <w:rPr>
                <w:rFonts w:hint="default" w:ascii="Times New Roman" w:hAnsi="Times New Roman" w:cs="Times New Roman"/>
                <w:color w:val="000000" w:themeColor="text1"/>
                <w:kern w:val="0"/>
                <w:sz w:val="24"/>
                <w:lang w:eastAsia="zh-CN"/>
                <w14:textFill>
                  <w14:solidFill>
                    <w14:schemeClr w14:val="tx1"/>
                  </w14:solidFill>
                </w14:textFill>
              </w:rPr>
              <w:t>峨山大河</w:t>
            </w:r>
            <w:r>
              <w:rPr>
                <w:rFonts w:hint="default" w:ascii="Times New Roman" w:hAnsi="Times New Roman" w:cs="Times New Roman"/>
                <w:color w:val="000000" w:themeColor="text1"/>
                <w:kern w:val="0"/>
                <w:sz w:val="24"/>
                <w14:textFill>
                  <w14:solidFill>
                    <w14:schemeClr w14:val="tx1"/>
                  </w14:solidFill>
                </w14:textFill>
              </w:rPr>
              <w:t>永昌桥国控断面水质为Ⅲ类，</w:t>
            </w:r>
            <w:r>
              <w:rPr>
                <w:rFonts w:hint="default" w:ascii="Times New Roman" w:hAnsi="Times New Roman" w:cs="Times New Roman"/>
                <w:color w:val="000000" w:themeColor="text1"/>
                <w:kern w:val="0"/>
                <w:sz w:val="24"/>
                <w:lang w:eastAsia="zh-CN"/>
                <w14:textFill>
                  <w14:solidFill>
                    <w14:schemeClr w14:val="tx1"/>
                  </w14:solidFill>
                </w14:textFill>
              </w:rPr>
              <w:t>峨山大河</w:t>
            </w:r>
            <w:r>
              <w:rPr>
                <w:rFonts w:hint="default" w:ascii="Times New Roman" w:hAnsi="Times New Roman" w:cs="Times New Roman"/>
                <w:color w:val="000000" w:themeColor="text1"/>
                <w:kern w:val="0"/>
                <w:sz w:val="24"/>
                <w14:textFill>
                  <w14:solidFill>
                    <w14:schemeClr w14:val="tx1"/>
                  </w14:solidFill>
                </w14:textFill>
              </w:rPr>
              <w:t>满足《地表水环境质量标准》（GB3838-2002）中Ⅲ类标准，水质能达到功能区划要求。</w:t>
            </w:r>
          </w:p>
          <w:p w14:paraId="034E5C50">
            <w:pPr>
              <w:pStyle w:val="19"/>
              <w:pageBreakBefore w:val="0"/>
              <w:kinsoku/>
              <w:overflowPunct/>
              <w:topLinePunct w:val="0"/>
              <w:bidi w:val="0"/>
              <w:adjustRightInd w:val="0"/>
              <w:snapToGrid w:val="0"/>
              <w:spacing w:line="346" w:lineRule="auto"/>
              <w:ind w:left="0" w:leftChars="0" w:right="0"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3、声环境质量现状</w:t>
            </w:r>
          </w:p>
          <w:p w14:paraId="1D6DCCEF">
            <w:pPr>
              <w:pStyle w:val="83"/>
              <w:pageBreakBefore w:val="0"/>
              <w:kinsoku/>
              <w:overflowPunct/>
              <w:topLinePunct w:val="0"/>
              <w:bidi w:val="0"/>
              <w:snapToGrid w:val="0"/>
              <w:spacing w:line="346" w:lineRule="auto"/>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项目位于</w:t>
            </w:r>
            <w:r>
              <w:rPr>
                <w:rFonts w:hint="default" w:ascii="Times New Roman" w:hAnsi="Times New Roman" w:eastAsia="宋体" w:cs="Times New Roman"/>
                <w:color w:val="000000" w:themeColor="text1"/>
                <w:sz w:val="24"/>
                <w:lang w:val="en-US" w:eastAsia="zh-CN"/>
                <w14:textFill>
                  <w14:solidFill>
                    <w14:schemeClr w14:val="tx1"/>
                  </w14:solidFill>
                </w14:textFill>
              </w:rPr>
              <w:t>玉溪市红塔区研和街道可官社区可官一组</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属于</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云南红塔产业园区研和片区地块</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三，</w:t>
            </w:r>
            <w:r>
              <w:rPr>
                <w:rFonts w:hint="default" w:ascii="Times New Roman" w:hAnsi="Times New Roman" w:cs="Times New Roman"/>
                <w:color w:val="000000" w:themeColor="text1"/>
                <w14:textFill>
                  <w14:solidFill>
                    <w14:schemeClr w14:val="tx1"/>
                  </w14:solidFill>
                </w14:textFill>
              </w:rPr>
              <w:t>项目所在区域属于</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类声环境功能区，执行《声环境质量标准》（GB3096-2008）</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类标准。</w:t>
            </w:r>
          </w:p>
          <w:p w14:paraId="6DF117E4">
            <w:pPr>
              <w:pageBreakBefore w:val="0"/>
              <w:kinsoku/>
              <w:overflowPunct/>
              <w:topLinePunct w:val="0"/>
              <w:bidi w:val="0"/>
              <w:ind w:left="0" w:leftChars="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表3-5 声环境质量标准  单位：dB(A)</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73"/>
              <w:gridCol w:w="2315"/>
              <w:gridCol w:w="2315"/>
            </w:tblGrid>
            <w:tr w14:paraId="06AA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42" w:type="pct"/>
                  <w:vAlign w:val="center"/>
                </w:tcPr>
                <w:p w14:paraId="54A558C7">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声环功能区类别</w:t>
                  </w:r>
                </w:p>
              </w:tc>
              <w:tc>
                <w:tcPr>
                  <w:tcW w:w="1428" w:type="pct"/>
                  <w:vAlign w:val="center"/>
                </w:tcPr>
                <w:p w14:paraId="6D5CFC96">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昼间</w:t>
                  </w:r>
                </w:p>
              </w:tc>
              <w:tc>
                <w:tcPr>
                  <w:tcW w:w="1428" w:type="pct"/>
                  <w:vAlign w:val="center"/>
                </w:tcPr>
                <w:p w14:paraId="767E956E">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夜间</w:t>
                  </w:r>
                </w:p>
              </w:tc>
            </w:tr>
            <w:tr w14:paraId="06550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42" w:type="pct"/>
                  <w:vAlign w:val="center"/>
                </w:tcPr>
                <w:p w14:paraId="2E0418A0">
                  <w:pPr>
                    <w:pageBreakBefore w:val="0"/>
                    <w:kinsoku/>
                    <w:overflowPunct/>
                    <w:topLinePunct w:val="0"/>
                    <w:bidi w:val="0"/>
                    <w:ind w:left="0" w:leftChars="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3类标准</w:t>
                  </w:r>
                </w:p>
              </w:tc>
              <w:tc>
                <w:tcPr>
                  <w:tcW w:w="1428" w:type="pct"/>
                  <w:vAlign w:val="center"/>
                </w:tcPr>
                <w:p w14:paraId="64813304">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65</w:t>
                  </w:r>
                </w:p>
              </w:tc>
              <w:tc>
                <w:tcPr>
                  <w:tcW w:w="1428" w:type="pct"/>
                  <w:vAlign w:val="center"/>
                </w:tcPr>
                <w:p w14:paraId="41A8B7E7">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55</w:t>
                  </w:r>
                </w:p>
              </w:tc>
            </w:tr>
          </w:tbl>
          <w:p w14:paraId="7D64B004">
            <w:pPr>
              <w:pStyle w:val="83"/>
              <w:pageBreakBefore w:val="0"/>
              <w:kinsoku/>
              <w:overflowPunct/>
              <w:topLinePunct w:val="0"/>
              <w:bidi w:val="0"/>
              <w:snapToGrid w:val="0"/>
              <w:spacing w:line="346" w:lineRule="auto"/>
              <w:ind w:left="0" w:leftChars="0" w:right="0"/>
              <w:rPr>
                <w:rFonts w:hint="default" w:ascii="Times New Roman" w:hAnsi="Times New Roman" w:eastAsia="宋体" w:cs="Times New Roman"/>
                <w:color w:val="000000" w:themeColor="text1"/>
                <w:kern w:val="0"/>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据现场踏勘，</w:t>
            </w:r>
            <w:r>
              <w:rPr>
                <w:rFonts w:hint="default" w:ascii="Times New Roman" w:hAnsi="Times New Roman" w:cs="Times New Roman"/>
                <w:color w:val="000000" w:themeColor="text1"/>
                <w:kern w:val="0"/>
                <w14:textFill>
                  <w14:solidFill>
                    <w14:schemeClr w14:val="tx1"/>
                  </w14:solidFill>
                </w14:textFill>
              </w:rPr>
              <w:t>项目</w:t>
            </w:r>
            <w:r>
              <w:rPr>
                <w:rFonts w:hint="default" w:ascii="Times New Roman" w:hAnsi="Times New Roman" w:cs="Times New Roman"/>
                <w:color w:val="000000" w:themeColor="text1"/>
                <w:kern w:val="0"/>
                <w:lang w:eastAsia="zh-CN"/>
                <w14:textFill>
                  <w14:solidFill>
                    <w14:schemeClr w14:val="tx1"/>
                  </w14:solidFill>
                </w14:textFill>
              </w:rPr>
              <w:t>区外北侧为山体，西侧、东侧为现有厂房，周边多为工况企业，</w:t>
            </w:r>
            <w:r>
              <w:rPr>
                <w:rFonts w:hint="default" w:ascii="Times New Roman" w:hAnsi="Times New Roman" w:cs="Times New Roman"/>
                <w:color w:val="000000" w:themeColor="text1"/>
                <w14:textFill>
                  <w14:solidFill>
                    <w14:schemeClr w14:val="tx1"/>
                  </w14:solidFill>
                </w14:textFill>
              </w:rPr>
              <w:t>区域声环境</w:t>
            </w:r>
            <w:r>
              <w:rPr>
                <w:rFonts w:hint="default" w:ascii="Times New Roman" w:hAnsi="Times New Roman" w:cs="Times New Roman"/>
                <w:color w:val="000000" w:themeColor="text1"/>
                <w:lang w:eastAsia="zh-CN"/>
                <w14:textFill>
                  <w14:solidFill>
                    <w14:schemeClr w14:val="tx1"/>
                  </w14:solidFill>
                </w14:textFill>
              </w:rPr>
              <w:t>质量一般。</w:t>
            </w:r>
          </w:p>
          <w:p w14:paraId="44306A32">
            <w:pPr>
              <w:pStyle w:val="143"/>
              <w:pageBreakBefore w:val="0"/>
              <w:tabs>
                <w:tab w:val="left" w:pos="4830"/>
              </w:tabs>
              <w:kinsoku/>
              <w:overflowPunct/>
              <w:topLinePunct w:val="0"/>
              <w:bidi w:val="0"/>
              <w:spacing w:line="360" w:lineRule="auto"/>
              <w:ind w:left="0" w:leftChars="0" w:right="0"/>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建设项目环境影响评价报告表编制技术指南（污染影响类）（试行）》中区域环境质量现状声环境：厂界周边50m范围内存在声环境保护目标的建设项目，应监测保护目标声环境质量现状并评价达标情况。项目区厂界外周边50m范围内无声环境保护目标，故不做现状噪声监测</w:t>
            </w:r>
            <w:r>
              <w:rPr>
                <w:rFonts w:hint="default" w:ascii="Times New Roman" w:hAnsi="Times New Roman" w:cs="Times New Roman"/>
                <w:color w:val="000000" w:themeColor="text1"/>
                <w:kern w:val="0"/>
                <w14:textFill>
                  <w14:solidFill>
                    <w14:schemeClr w14:val="tx1"/>
                  </w14:solidFill>
                </w14:textFill>
              </w:rPr>
              <w:t>。</w:t>
            </w:r>
          </w:p>
          <w:p w14:paraId="02A6791B">
            <w:pPr>
              <w:pStyle w:val="19"/>
              <w:pageBreakBefore w:val="0"/>
              <w:kinsoku/>
              <w:overflowPunct/>
              <w:topLinePunct w:val="0"/>
              <w:bidi w:val="0"/>
              <w:adjustRightInd w:val="0"/>
              <w:snapToGrid w:val="0"/>
              <w:spacing w:line="346" w:lineRule="auto"/>
              <w:ind w:left="0" w:leftChars="0" w:right="0"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4、生态环境质量现状</w:t>
            </w:r>
          </w:p>
          <w:p w14:paraId="25577048">
            <w:pPr>
              <w:pageBreakBefore w:val="0"/>
              <w:kinsoku/>
              <w:overflowPunct/>
              <w:topLinePunct w:val="0"/>
              <w:bidi w:val="0"/>
              <w:snapToGrid w:val="0"/>
              <w:spacing w:line="346" w:lineRule="auto"/>
              <w:ind w:left="0" w:leftChars="0" w:right="0" w:firstLine="480" w:firstLineChars="200"/>
              <w:rPr>
                <w:rFonts w:hint="default" w:ascii="Times New Roman" w:hAnsi="Times New Roman" w:cs="Times New Roman"/>
                <w:color w:val="000000" w:themeColor="text1"/>
                <w:sz w:val="24"/>
                <w:lang w:val="zh-CN"/>
                <w14:textFill>
                  <w14:solidFill>
                    <w14:schemeClr w14:val="tx1"/>
                  </w14:solidFill>
                </w14:textFill>
              </w:rPr>
            </w:pPr>
            <w:r>
              <w:rPr>
                <w:rStyle w:val="46"/>
                <w:rFonts w:hint="default" w:ascii="Times New Roman" w:hAnsi="Times New Roman" w:cs="Times New Roman"/>
                <w:color w:val="000000" w:themeColor="text1"/>
                <w:lang w:val="zh-CN"/>
                <w14:textFill>
                  <w14:solidFill>
                    <w14:schemeClr w14:val="tx1"/>
                  </w14:solidFill>
                </w14:textFill>
              </w:rPr>
              <w:t>项目位于</w:t>
            </w:r>
            <w:r>
              <w:rPr>
                <w:rFonts w:hint="default" w:ascii="Times New Roman" w:hAnsi="Times New Roman" w:eastAsia="宋体" w:cs="Times New Roman"/>
                <w:color w:val="000000" w:themeColor="text1"/>
                <w:sz w:val="24"/>
                <w:lang w:val="en-US" w:eastAsia="zh-CN"/>
                <w14:textFill>
                  <w14:solidFill>
                    <w14:schemeClr w14:val="tx1"/>
                  </w14:solidFill>
                </w14:textFill>
              </w:rPr>
              <w:t>玉溪市红塔区研和街道可官社区可官一组</w:t>
            </w:r>
            <w:r>
              <w:rPr>
                <w:rStyle w:val="46"/>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sz w:val="24"/>
                <w:lang w:val="zh-CN"/>
                <w14:textFill>
                  <w14:solidFill>
                    <w14:schemeClr w14:val="tx1"/>
                  </w14:solidFill>
                </w14:textFill>
              </w:rPr>
              <w:t>项</w:t>
            </w:r>
            <w:r>
              <w:rPr>
                <w:rFonts w:hint="default" w:ascii="Times New Roman" w:hAnsi="Times New Roman" w:cs="Times New Roman"/>
                <w:b w:val="0"/>
                <w:bCs w:val="0"/>
                <w:color w:val="000000" w:themeColor="text1"/>
                <w:sz w:val="24"/>
                <w:lang w:val="zh-CN"/>
                <w14:textFill>
                  <w14:solidFill>
                    <w14:schemeClr w14:val="tx1"/>
                  </w14:solidFill>
                </w14:textFill>
              </w:rPr>
              <w:t>目</w:t>
            </w:r>
            <w:r>
              <w:rPr>
                <w:rFonts w:hint="default" w:ascii="Times New Roman" w:hAnsi="Times New Roman" w:cs="Times New Roman"/>
                <w:b w:val="0"/>
                <w:bCs w:val="0"/>
                <w:color w:val="000000" w:themeColor="text1"/>
                <w:sz w:val="24"/>
                <w14:textFill>
                  <w14:solidFill>
                    <w14:schemeClr w14:val="tx1"/>
                  </w14:solidFill>
                </w14:textFill>
              </w:rPr>
              <w:t>厂址</w:t>
            </w:r>
            <w:r>
              <w:rPr>
                <w:rFonts w:hint="default" w:ascii="Times New Roman" w:hAnsi="Times New Roman" w:cs="Times New Roman"/>
                <w:b w:val="0"/>
                <w:bCs w:val="0"/>
                <w:color w:val="000000" w:themeColor="text1"/>
                <w:sz w:val="24"/>
                <w:lang w:eastAsia="zh-CN"/>
                <w14:textFill>
                  <w14:solidFill>
                    <w14:schemeClr w14:val="tx1"/>
                  </w14:solidFill>
                </w14:textFill>
              </w:rPr>
              <w:t>范围内</w:t>
            </w:r>
            <w:r>
              <w:rPr>
                <w:rFonts w:hint="default" w:ascii="Times New Roman" w:hAnsi="Times New Roman" w:cs="Times New Roman"/>
                <w:color w:val="000000" w:themeColor="text1"/>
                <w:sz w:val="24"/>
                <w:lang w:val="zh-CN"/>
                <w14:textFill>
                  <w14:solidFill>
                    <w14:schemeClr w14:val="tx1"/>
                  </w14:solidFill>
                </w14:textFill>
              </w:rPr>
              <w:t>由于受人为活动的开发和破坏，地表植被已无原生植被，主要为人工种植的绿化植物</w:t>
            </w:r>
            <w:r>
              <w:rPr>
                <w:rFonts w:hint="default" w:ascii="Times New Roman" w:hAnsi="Times New Roman" w:cs="Times New Roman"/>
                <w:color w:val="000000" w:themeColor="text1"/>
                <w:sz w:val="24"/>
                <w14:textFill>
                  <w14:solidFill>
                    <w14:schemeClr w14:val="tx1"/>
                  </w14:solidFill>
                </w14:textFill>
              </w:rPr>
              <w:t>和</w:t>
            </w:r>
            <w:r>
              <w:rPr>
                <w:rFonts w:hint="default" w:ascii="Times New Roman" w:hAnsi="Times New Roman" w:cs="Times New Roman"/>
                <w:color w:val="000000" w:themeColor="text1"/>
                <w:sz w:val="24"/>
                <w:lang w:val="zh-CN"/>
                <w14:textFill>
                  <w14:solidFill>
                    <w14:schemeClr w14:val="tx1"/>
                  </w14:solidFill>
                </w14:textFill>
              </w:rPr>
              <w:t>低矮灌木，植物种类较少，生物结构单一，生态环境自我调节能力低。</w:t>
            </w:r>
          </w:p>
          <w:p w14:paraId="6CB31DC4">
            <w:pPr>
              <w:pageBreakBefore w:val="0"/>
              <w:kinsoku/>
              <w:overflowPunct/>
              <w:topLinePunct w:val="0"/>
              <w:bidi w:val="0"/>
              <w:snapToGrid w:val="0"/>
              <w:spacing w:line="346" w:lineRule="auto"/>
              <w:ind w:left="0" w:leftChars="0" w:right="0" w:firstLine="480" w:firstLineChars="200"/>
              <w:rPr>
                <w:rFonts w:hint="default" w:ascii="Times New Roman" w:hAnsi="Times New Roman" w:cs="Times New Roman"/>
                <w:b w:val="0"/>
                <w:bCs w:val="0"/>
                <w:color w:val="000000" w:themeColor="text1"/>
                <w:sz w:val="24"/>
                <w:lang w:val="zh-CN"/>
                <w14:textFill>
                  <w14:solidFill>
                    <w14:schemeClr w14:val="tx1"/>
                  </w14:solidFill>
                </w14:textFill>
              </w:rPr>
            </w:pPr>
            <w:r>
              <w:rPr>
                <w:rFonts w:hint="default" w:ascii="Times New Roman" w:hAnsi="Times New Roman" w:cs="Times New Roman"/>
                <w:b w:val="0"/>
                <w:bCs w:val="0"/>
                <w:color w:val="000000" w:themeColor="text1"/>
                <w:sz w:val="24"/>
                <w:lang w:val="zh-CN"/>
                <w14:textFill>
                  <w14:solidFill>
                    <w14:schemeClr w14:val="tx1"/>
                  </w14:solidFill>
                </w14:textFill>
              </w:rPr>
              <w:t>项目区外树种主要为</w:t>
            </w:r>
            <w:r>
              <w:rPr>
                <w:rFonts w:hint="eastAsia" w:cs="Times New Roman"/>
                <w:b w:val="0"/>
                <w:bCs w:val="0"/>
                <w:color w:val="000000" w:themeColor="text1"/>
                <w:sz w:val="24"/>
                <w:lang w:val="zh-CN"/>
                <w14:textFill>
                  <w14:solidFill>
                    <w14:schemeClr w14:val="tx1"/>
                  </w14:solidFill>
                </w14:textFill>
              </w:rPr>
              <w:t>杉木、柏树等</w:t>
            </w:r>
            <w:r>
              <w:rPr>
                <w:rFonts w:hint="default" w:ascii="Times New Roman" w:hAnsi="Times New Roman" w:cs="Times New Roman"/>
                <w:b w:val="0"/>
                <w:bCs w:val="0"/>
                <w:color w:val="000000" w:themeColor="text1"/>
                <w:sz w:val="24"/>
                <w:lang w:val="zh-CN"/>
                <w14:textFill>
                  <w14:solidFill>
                    <w14:schemeClr w14:val="tx1"/>
                  </w14:solidFill>
                </w14:textFill>
              </w:rPr>
              <w:t>当地常见乡土树种。项目周边调查范围内未涉及国家保护的珍贵野生动、植物。</w:t>
            </w:r>
          </w:p>
          <w:p w14:paraId="1C3B2203">
            <w:pPr>
              <w:pageBreakBefore w:val="0"/>
              <w:kinsoku/>
              <w:overflowPunct/>
              <w:topLinePunct w:val="0"/>
              <w:bidi w:val="0"/>
              <w:snapToGrid w:val="0"/>
              <w:spacing w:line="346" w:lineRule="auto"/>
              <w:ind w:left="0" w:leftChars="0" w:right="0"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评价范围</w:t>
            </w:r>
            <w:r>
              <w:rPr>
                <w:rFonts w:hint="default" w:ascii="Times New Roman" w:hAnsi="Times New Roman" w:cs="Times New Roman"/>
                <w:color w:val="000000" w:themeColor="text1"/>
                <w:sz w:val="24"/>
                <w:lang w:val="zh-CN"/>
                <w14:textFill>
                  <w14:solidFill>
                    <w14:schemeClr w14:val="tx1"/>
                  </w14:solidFill>
                </w14:textFill>
              </w:rPr>
              <w:t>内无自然保护区、风景名胜区、森林公园、历史文化遗迹等需要特殊保护的生态敏感目标，无国家珍稀濒危保护物种、国家重点保护野生植物和云南省级重点野生保护动物，也没有特有种类存在</w:t>
            </w:r>
            <w:r>
              <w:rPr>
                <w:rFonts w:hint="default" w:ascii="Times New Roman" w:hAnsi="Times New Roman" w:cs="Times New Roman"/>
                <w:color w:val="000000" w:themeColor="text1"/>
                <w:sz w:val="24"/>
                <w:lang w:eastAsia="zh-CN"/>
                <w14:textFill>
                  <w14:solidFill>
                    <w14:schemeClr w14:val="tx1"/>
                  </w14:solidFill>
                </w14:textFill>
              </w:rPr>
              <w:t>，生物多样性一般。</w:t>
            </w:r>
          </w:p>
          <w:p w14:paraId="6CA69716">
            <w:pPr>
              <w:pageBreakBefore w:val="0"/>
              <w:kinsoku/>
              <w:overflowPunct/>
              <w:topLinePunct w:val="0"/>
              <w:bidi w:val="0"/>
              <w:spacing w:line="360" w:lineRule="auto"/>
              <w:ind w:left="0" w:leftChars="0" w:right="0"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5、地下水、土壤环境</w:t>
            </w:r>
          </w:p>
          <w:p w14:paraId="10880CCD">
            <w:pPr>
              <w:pStyle w:val="19"/>
              <w:pageBreakBefore w:val="0"/>
              <w:kinsoku/>
              <w:overflowPunct/>
              <w:topLinePunct w:val="0"/>
              <w:bidi w:val="0"/>
              <w:adjustRightInd w:val="0"/>
              <w:snapToGrid w:val="0"/>
              <w:spacing w:line="346" w:lineRule="auto"/>
              <w:ind w:left="0" w:leftChars="0" w:right="0" w:firstLine="480" w:firstLineChars="200"/>
              <w:rPr>
                <w:rFonts w:hint="default" w:ascii="Times New Roman" w:hAnsi="Times New Roman" w:eastAsia="宋体" w:cs="Times New Roman"/>
                <w:color w:val="000000" w:themeColor="text1"/>
                <w:lang w:eastAsia="zh-CN"/>
                <w14:textFill>
                  <w14:solidFill>
                    <w14:schemeClr w14:val="tx1"/>
                  </w14:solidFill>
                </w14:textFill>
              </w:rPr>
            </w:pPr>
            <w:bookmarkStart w:id="11" w:name="_Toc14125"/>
            <w:r>
              <w:rPr>
                <w:rFonts w:hint="default" w:ascii="Times New Roman" w:hAnsi="Times New Roman" w:cs="Times New Roman"/>
                <w:color w:val="000000" w:themeColor="text1"/>
                <w:sz w:val="24"/>
                <w14:textFill>
                  <w14:solidFill>
                    <w14:schemeClr w14:val="tx1"/>
                  </w14:solidFill>
                </w14:textFill>
              </w:rPr>
              <w:t>本项目为</w:t>
            </w:r>
            <w:r>
              <w:rPr>
                <w:rFonts w:hint="eastAsia" w:ascii="Times New Roman" w:hAnsi="Times New Roman" w:cs="Times New Roman"/>
                <w:color w:val="000000" w:themeColor="text1"/>
                <w:sz w:val="24"/>
                <w:lang w:eastAsia="zh-CN"/>
                <w14:textFill>
                  <w14:solidFill>
                    <w14:schemeClr w14:val="tx1"/>
                  </w14:solidFill>
                </w14:textFill>
              </w:rPr>
              <w:t>液化石油气钢瓶</w:t>
            </w:r>
            <w:r>
              <w:rPr>
                <w:rFonts w:hint="default" w:ascii="Times New Roman" w:hAnsi="Times New Roman" w:cs="Times New Roman"/>
                <w:color w:val="000000" w:themeColor="text1"/>
                <w:sz w:val="24"/>
                <w:lang w:eastAsia="zh-CN"/>
                <w14:textFill>
                  <w14:solidFill>
                    <w14:schemeClr w14:val="tx1"/>
                  </w14:solidFill>
                </w14:textFill>
              </w:rPr>
              <w:t>检测</w:t>
            </w:r>
            <w:r>
              <w:rPr>
                <w:rFonts w:hint="default" w:ascii="Times New Roman" w:hAnsi="Times New Roman" w:cs="Times New Roman"/>
                <w:color w:val="000000" w:themeColor="text1"/>
                <w:sz w:val="24"/>
                <w14:textFill>
                  <w14:solidFill>
                    <w14:schemeClr w14:val="tx1"/>
                  </w14:solidFill>
                </w14:textFill>
              </w:rPr>
              <w:t>项目，</w:t>
            </w:r>
            <w:r>
              <w:rPr>
                <w:rFonts w:hint="default" w:ascii="Times New Roman" w:hAnsi="Times New Roman" w:cs="Times New Roman"/>
                <w:color w:val="000000" w:themeColor="text1"/>
                <w:sz w:val="24"/>
                <w:lang w:eastAsia="zh-CN"/>
                <w14:textFill>
                  <w14:solidFill>
                    <w14:schemeClr w14:val="tx1"/>
                  </w14:solidFill>
                </w14:textFill>
              </w:rPr>
              <w:t>本项目利用现有生产车间进行生产，根据现场踏勘，现有车间地面均已进行水泥硬化处理，地面平整。本项目生产过程中水压试验、气密试验用水循环使用不外排；</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喷淋塔定期补充新鲜水，循环使用，废液每年更换一次，废液经收集后暂存于危废暂存间，定期交由有危废资质的单位进行处置；</w:t>
            </w:r>
            <w:r>
              <w:rPr>
                <w:rFonts w:hint="default" w:ascii="Times New Roman" w:hAnsi="Times New Roman" w:cs="Times New Roman"/>
                <w:color w:val="000000" w:themeColor="text1"/>
                <w:sz w:val="24"/>
                <w:lang w:val="en-US" w:eastAsia="zh-CN"/>
                <w14:textFill>
                  <w14:solidFill>
                    <w14:schemeClr w14:val="tx1"/>
                  </w14:solidFill>
                </w14:textFill>
              </w:rPr>
              <w:t>本项目生活污水经化粪池收集后进入一体化生活污水处理设施，经处理达标后进入收集池，回用于绿化，不外排。</w:t>
            </w:r>
            <w:r>
              <w:rPr>
                <w:rFonts w:hint="default" w:ascii="Times New Roman" w:hAnsi="Times New Roman" w:cs="Times New Roman"/>
                <w:color w:val="000000" w:themeColor="text1"/>
                <w:sz w:val="24"/>
                <w:lang w:eastAsia="zh-CN"/>
                <w14:textFill>
                  <w14:solidFill>
                    <w14:schemeClr w14:val="tx1"/>
                  </w14:solidFill>
                </w14:textFill>
              </w:rPr>
              <w:t>项目在采取本环评提出的防渗措施后，对周边环境的影响不大</w:t>
            </w:r>
            <w:r>
              <w:rPr>
                <w:rFonts w:hint="default" w:ascii="Times New Roman" w:hAnsi="Times New Roman" w:cs="Times New Roman"/>
                <w:color w:val="000000" w:themeColor="text1"/>
                <w:sz w:val="24"/>
                <w14:textFill>
                  <w14:solidFill>
                    <w14:schemeClr w14:val="tx1"/>
                  </w14:solidFill>
                </w14:textFill>
              </w:rPr>
              <w:t>，可不开展环境质量现状调查</w:t>
            </w:r>
            <w:r>
              <w:rPr>
                <w:rFonts w:hint="default" w:ascii="Times New Roman" w:hAnsi="Times New Roman" w:cs="Times New Roman"/>
                <w:color w:val="000000" w:themeColor="text1"/>
                <w:sz w:val="24"/>
                <w:lang w:eastAsia="zh-CN"/>
                <w14:textFill>
                  <w14:solidFill>
                    <w14:schemeClr w14:val="tx1"/>
                  </w14:solidFill>
                </w14:textFill>
              </w:rPr>
              <w:t>。</w:t>
            </w:r>
            <w:bookmarkEnd w:id="11"/>
          </w:p>
        </w:tc>
      </w:tr>
      <w:tr w14:paraId="0B8528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740" w:type="dxa"/>
            <w:vAlign w:val="center"/>
          </w:tcPr>
          <w:p w14:paraId="05601864">
            <w:pPr>
              <w:pageBreakBefore w:val="0"/>
              <w:kinsoku/>
              <w:overflowPunct/>
              <w:topLinePunct w:val="0"/>
              <w:bidi w:val="0"/>
              <w:ind w:left="0" w:leftChars="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环境</w:t>
            </w:r>
          </w:p>
          <w:p w14:paraId="09BFD5F5">
            <w:pPr>
              <w:pageBreakBefore w:val="0"/>
              <w:kinsoku/>
              <w:overflowPunct/>
              <w:topLinePunct w:val="0"/>
              <w:bidi w:val="0"/>
              <w:ind w:left="0" w:leftChars="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保护</w:t>
            </w:r>
          </w:p>
          <w:p w14:paraId="62DEA638">
            <w:pPr>
              <w:pageBreakBefore w:val="0"/>
              <w:kinsoku/>
              <w:overflowPunct/>
              <w:topLinePunct w:val="0"/>
              <w:bidi w:val="0"/>
              <w:ind w:left="0" w:leftChars="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目标</w:t>
            </w:r>
          </w:p>
        </w:tc>
        <w:tc>
          <w:tcPr>
            <w:tcW w:w="8321" w:type="dxa"/>
            <w:vAlign w:val="center"/>
          </w:tcPr>
          <w:p w14:paraId="4D1EBB3E">
            <w:pPr>
              <w:pageBreakBefore w:val="0"/>
              <w:kinsoku/>
              <w:overflowPunct/>
              <w:topLinePunct w:val="0"/>
              <w:bidi w:val="0"/>
              <w:spacing w:line="360" w:lineRule="auto"/>
              <w:ind w:left="0" w:leftChars="0" w:right="0"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1、大气环境保护目标</w:t>
            </w:r>
          </w:p>
          <w:p w14:paraId="034603CF">
            <w:pPr>
              <w:pStyle w:val="89"/>
              <w:pageBreakBefore w:val="0"/>
              <w:kinsoku/>
              <w:overflowPunct/>
              <w:topLinePunct w:val="0"/>
              <w:bidi w:val="0"/>
              <w:spacing w:line="360" w:lineRule="auto"/>
              <w:ind w:left="0" w:leftChars="0" w:right="0" w:firstLine="480" w:firstLineChars="200"/>
              <w:rPr>
                <w:rFonts w:hint="default" w:ascii="Times New Roman" w:hAnsi="Times New Roman" w:cs="Times New Roman"/>
                <w:color w:val="000000" w:themeColor="text1"/>
                <w:sz w:val="24"/>
                <w:lang w:val="zh-CN"/>
                <w14:textFill>
                  <w14:solidFill>
                    <w14:schemeClr w14:val="tx1"/>
                  </w14:solidFill>
                </w14:textFill>
              </w:rPr>
            </w:pPr>
            <w:r>
              <w:rPr>
                <w:rFonts w:hint="default" w:ascii="Times New Roman" w:hAnsi="Times New Roman" w:cs="Times New Roman"/>
                <w:color w:val="000000" w:themeColor="text1"/>
                <w:sz w:val="24"/>
                <w:lang w:val="zh-CN"/>
                <w14:textFill>
                  <w14:solidFill>
                    <w14:schemeClr w14:val="tx1"/>
                  </w14:solidFill>
                </w14:textFill>
              </w:rPr>
              <w:t>项目厂界外500m范围内主要环境保护目标见下表。</w:t>
            </w:r>
          </w:p>
          <w:p w14:paraId="3A45D54E">
            <w:pPr>
              <w:pStyle w:val="31"/>
              <w:pageBreakBefore w:val="0"/>
              <w:kinsoku/>
              <w:overflowPunct/>
              <w:topLinePunct w:val="0"/>
              <w:bidi w:val="0"/>
              <w:snapToGrid/>
              <w:spacing w:after="0" w:line="240" w:lineRule="auto"/>
              <w:ind w:left="0" w:leftChars="0" w:right="0" w:firstLine="0" w:firstLineChars="0"/>
              <w:jc w:val="center"/>
              <w:rPr>
                <w:rFonts w:hint="default" w:ascii="Times New Roman" w:hAnsi="Times New Roman" w:cs="Times New Roman"/>
                <w:b/>
                <w:bCs/>
                <w:color w:val="000000" w:themeColor="text1"/>
                <w:sz w:val="21"/>
                <w:szCs w:val="18"/>
                <w14:textFill>
                  <w14:solidFill>
                    <w14:schemeClr w14:val="tx1"/>
                  </w14:solidFill>
                </w14:textFill>
              </w:rPr>
            </w:pPr>
          </w:p>
          <w:p w14:paraId="27D5A610">
            <w:pPr>
              <w:pStyle w:val="31"/>
              <w:pageBreakBefore w:val="0"/>
              <w:kinsoku/>
              <w:overflowPunct/>
              <w:topLinePunct w:val="0"/>
              <w:bidi w:val="0"/>
              <w:snapToGrid/>
              <w:spacing w:after="0" w:line="240" w:lineRule="auto"/>
              <w:ind w:left="0" w:leftChars="0" w:right="0" w:firstLine="0" w:firstLineChars="0"/>
              <w:jc w:val="center"/>
              <w:rPr>
                <w:rFonts w:hint="default" w:ascii="Times New Roman" w:hAnsi="Times New Roman" w:cs="Times New Roman"/>
                <w:b/>
                <w:bCs/>
                <w:color w:val="000000" w:themeColor="text1"/>
                <w:sz w:val="21"/>
                <w:szCs w:val="18"/>
                <w14:textFill>
                  <w14:solidFill>
                    <w14:schemeClr w14:val="tx1"/>
                  </w14:solidFill>
                </w14:textFill>
              </w:rPr>
            </w:pPr>
          </w:p>
          <w:p w14:paraId="438F2BAC">
            <w:pPr>
              <w:pStyle w:val="31"/>
              <w:pageBreakBefore w:val="0"/>
              <w:kinsoku/>
              <w:overflowPunct/>
              <w:topLinePunct w:val="0"/>
              <w:bidi w:val="0"/>
              <w:snapToGrid/>
              <w:spacing w:after="0" w:line="240" w:lineRule="auto"/>
              <w:ind w:left="0" w:leftChars="0" w:right="0" w:firstLine="0" w:firstLineChars="0"/>
              <w:jc w:val="center"/>
              <w:rPr>
                <w:rFonts w:hint="default" w:ascii="Times New Roman" w:hAnsi="Times New Roman" w:cs="Times New Roman"/>
                <w:b/>
                <w:bCs/>
                <w:color w:val="000000" w:themeColor="text1"/>
                <w:sz w:val="21"/>
                <w:szCs w:val="18"/>
                <w14:textFill>
                  <w14:solidFill>
                    <w14:schemeClr w14:val="tx1"/>
                  </w14:solidFill>
                </w14:textFill>
              </w:rPr>
            </w:pPr>
          </w:p>
          <w:p w14:paraId="52617C7C">
            <w:pPr>
              <w:pStyle w:val="31"/>
              <w:pageBreakBefore w:val="0"/>
              <w:kinsoku/>
              <w:overflowPunct/>
              <w:topLinePunct w:val="0"/>
              <w:bidi w:val="0"/>
              <w:snapToGrid/>
              <w:spacing w:after="0" w:line="240" w:lineRule="auto"/>
              <w:ind w:left="0" w:leftChars="0" w:right="0" w:firstLine="0" w:firstLineChars="0"/>
              <w:jc w:val="center"/>
              <w:rPr>
                <w:rFonts w:hint="default" w:ascii="Times New Roman" w:hAnsi="Times New Roman" w:cs="Times New Roman"/>
                <w:b/>
                <w:bCs/>
                <w:color w:val="000000" w:themeColor="text1"/>
                <w:sz w:val="21"/>
                <w:szCs w:val="18"/>
                <w14:textFill>
                  <w14:solidFill>
                    <w14:schemeClr w14:val="tx1"/>
                  </w14:solidFill>
                </w14:textFill>
              </w:rPr>
            </w:pPr>
          </w:p>
          <w:p w14:paraId="69E07B7E">
            <w:pPr>
              <w:pStyle w:val="31"/>
              <w:pageBreakBefore w:val="0"/>
              <w:kinsoku/>
              <w:overflowPunct/>
              <w:topLinePunct w:val="0"/>
              <w:bidi w:val="0"/>
              <w:snapToGrid/>
              <w:spacing w:after="0" w:line="240" w:lineRule="auto"/>
              <w:ind w:left="0" w:leftChars="0" w:right="0" w:firstLine="0" w:firstLineChars="0"/>
              <w:jc w:val="center"/>
              <w:rPr>
                <w:rFonts w:hint="default" w:ascii="Times New Roman" w:hAnsi="Times New Roman" w:cs="Times New Roman"/>
                <w:b/>
                <w:bCs/>
                <w:color w:val="000000" w:themeColor="text1"/>
                <w:sz w:val="21"/>
                <w:szCs w:val="18"/>
                <w14:textFill>
                  <w14:solidFill>
                    <w14:schemeClr w14:val="tx1"/>
                  </w14:solidFill>
                </w14:textFill>
              </w:rPr>
            </w:pPr>
          </w:p>
          <w:p w14:paraId="2C0E161B">
            <w:pPr>
              <w:pStyle w:val="31"/>
              <w:pageBreakBefore w:val="0"/>
              <w:kinsoku/>
              <w:overflowPunct/>
              <w:topLinePunct w:val="0"/>
              <w:bidi w:val="0"/>
              <w:snapToGrid/>
              <w:spacing w:after="0" w:line="240" w:lineRule="auto"/>
              <w:ind w:left="0" w:leftChars="0" w:right="0" w:firstLine="0" w:firstLineChars="0"/>
              <w:jc w:val="center"/>
              <w:rPr>
                <w:rFonts w:hint="default" w:ascii="Times New Roman" w:hAnsi="Times New Roman" w:cs="Times New Roman"/>
                <w:b/>
                <w:bCs/>
                <w:color w:val="000000" w:themeColor="text1"/>
                <w:sz w:val="21"/>
                <w:szCs w:val="18"/>
                <w14:textFill>
                  <w14:solidFill>
                    <w14:schemeClr w14:val="tx1"/>
                  </w14:solidFill>
                </w14:textFill>
              </w:rPr>
            </w:pPr>
          </w:p>
          <w:p w14:paraId="524F4C67">
            <w:pPr>
              <w:pStyle w:val="31"/>
              <w:pageBreakBefore w:val="0"/>
              <w:kinsoku/>
              <w:overflowPunct/>
              <w:topLinePunct w:val="0"/>
              <w:bidi w:val="0"/>
              <w:snapToGrid/>
              <w:spacing w:after="0" w:line="240" w:lineRule="auto"/>
              <w:ind w:left="0" w:leftChars="0" w:right="0" w:firstLine="0" w:firstLineChars="0"/>
              <w:jc w:val="center"/>
              <w:rPr>
                <w:rFonts w:hint="default" w:ascii="Times New Roman" w:hAnsi="Times New Roman" w:cs="Times New Roman"/>
                <w:b/>
                <w:bCs/>
                <w:color w:val="000000" w:themeColor="text1"/>
                <w:sz w:val="21"/>
                <w:szCs w:val="18"/>
                <w14:textFill>
                  <w14:solidFill>
                    <w14:schemeClr w14:val="tx1"/>
                  </w14:solidFill>
                </w14:textFill>
              </w:rPr>
            </w:pPr>
          </w:p>
          <w:p w14:paraId="3E27F5FC">
            <w:pPr>
              <w:pStyle w:val="31"/>
              <w:pageBreakBefore w:val="0"/>
              <w:kinsoku/>
              <w:overflowPunct/>
              <w:topLinePunct w:val="0"/>
              <w:bidi w:val="0"/>
              <w:snapToGrid/>
              <w:spacing w:after="0" w:line="240" w:lineRule="auto"/>
              <w:ind w:left="0" w:leftChars="0" w:right="0" w:firstLine="0" w:firstLineChars="0"/>
              <w:jc w:val="center"/>
              <w:rPr>
                <w:rFonts w:hint="default" w:ascii="Times New Roman" w:hAnsi="Times New Roman" w:cs="Times New Roman"/>
                <w:b/>
                <w:bCs/>
                <w:color w:val="000000" w:themeColor="text1"/>
                <w:sz w:val="21"/>
                <w:szCs w:val="18"/>
                <w14:textFill>
                  <w14:solidFill>
                    <w14:schemeClr w14:val="tx1"/>
                  </w14:solidFill>
                </w14:textFill>
              </w:rPr>
            </w:pPr>
          </w:p>
          <w:p w14:paraId="5A31C9A7">
            <w:pPr>
              <w:pStyle w:val="31"/>
              <w:pageBreakBefore w:val="0"/>
              <w:kinsoku/>
              <w:overflowPunct/>
              <w:topLinePunct w:val="0"/>
              <w:bidi w:val="0"/>
              <w:snapToGrid/>
              <w:spacing w:after="0" w:line="240" w:lineRule="auto"/>
              <w:ind w:left="0" w:leftChars="0" w:right="0" w:firstLine="0" w:firstLineChars="0"/>
              <w:jc w:val="center"/>
              <w:rPr>
                <w:rFonts w:hint="default" w:ascii="Times New Roman" w:hAnsi="Times New Roman" w:cs="Times New Roman"/>
                <w:b/>
                <w:bCs/>
                <w:color w:val="000000" w:themeColor="text1"/>
                <w:sz w:val="21"/>
                <w:szCs w:val="18"/>
                <w14:textFill>
                  <w14:solidFill>
                    <w14:schemeClr w14:val="tx1"/>
                  </w14:solidFill>
                </w14:textFill>
              </w:rPr>
            </w:pPr>
            <w:r>
              <w:rPr>
                <w:rFonts w:hint="default" w:ascii="Times New Roman" w:hAnsi="Times New Roman" w:cs="Times New Roman"/>
                <w:b/>
                <w:bCs/>
                <w:color w:val="000000" w:themeColor="text1"/>
                <w:sz w:val="21"/>
                <w:szCs w:val="18"/>
                <w14:textFill>
                  <w14:solidFill>
                    <w14:schemeClr w14:val="tx1"/>
                  </w14:solidFill>
                </w14:textFill>
              </w:rPr>
              <w:t>表3-</w:t>
            </w:r>
            <w:r>
              <w:rPr>
                <w:rFonts w:hint="default" w:ascii="Times New Roman" w:hAnsi="Times New Roman" w:cs="Times New Roman"/>
                <w:b/>
                <w:bCs/>
                <w:color w:val="000000" w:themeColor="text1"/>
                <w:sz w:val="21"/>
                <w:szCs w:val="18"/>
                <w:lang w:val="en-US" w:eastAsia="zh-CN"/>
                <w14:textFill>
                  <w14:solidFill>
                    <w14:schemeClr w14:val="tx1"/>
                  </w14:solidFill>
                </w14:textFill>
              </w:rPr>
              <w:t>6</w:t>
            </w:r>
            <w:r>
              <w:rPr>
                <w:rFonts w:hint="default" w:ascii="Times New Roman" w:hAnsi="Times New Roman" w:cs="Times New Roman"/>
                <w:b/>
                <w:bCs/>
                <w:color w:val="000000" w:themeColor="text1"/>
                <w:sz w:val="21"/>
                <w:szCs w:val="18"/>
                <w14:textFill>
                  <w14:solidFill>
                    <w14:schemeClr w14:val="tx1"/>
                  </w14:solidFill>
                </w14:textFill>
              </w:rPr>
              <w:t xml:space="preserve">  大气环境保护目标一览表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3"/>
              <w:gridCol w:w="788"/>
              <w:gridCol w:w="1746"/>
              <w:gridCol w:w="610"/>
              <w:gridCol w:w="1023"/>
              <w:gridCol w:w="1838"/>
              <w:gridCol w:w="665"/>
              <w:gridCol w:w="829"/>
            </w:tblGrid>
            <w:tr w14:paraId="439D4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pct"/>
                  <w:vAlign w:val="center"/>
                </w:tcPr>
                <w:p w14:paraId="1CF68603">
                  <w:pPr>
                    <w:pStyle w:val="10"/>
                    <w:pageBreakBefore w:val="0"/>
                    <w:kinsoku/>
                    <w:overflowPunct/>
                    <w:topLinePunct w:val="0"/>
                    <w:bidi w:val="0"/>
                    <w:spacing w:line="240" w:lineRule="auto"/>
                    <w:ind w:left="0" w:leftChars="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环境</w:t>
                  </w:r>
                </w:p>
                <w:p w14:paraId="70C849D9">
                  <w:pPr>
                    <w:pStyle w:val="10"/>
                    <w:pageBreakBefore w:val="0"/>
                    <w:kinsoku/>
                    <w:overflowPunct/>
                    <w:topLinePunct w:val="0"/>
                    <w:bidi w:val="0"/>
                    <w:spacing w:line="240" w:lineRule="auto"/>
                    <w:ind w:left="0" w:leftChars="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要素</w:t>
                  </w:r>
                </w:p>
              </w:tc>
              <w:tc>
                <w:tcPr>
                  <w:tcW w:w="536" w:type="pct"/>
                  <w:vAlign w:val="center"/>
                </w:tcPr>
                <w:p w14:paraId="684A1C4A">
                  <w:pPr>
                    <w:pStyle w:val="10"/>
                    <w:pageBreakBefore w:val="0"/>
                    <w:kinsoku/>
                    <w:overflowPunct/>
                    <w:topLinePunct w:val="0"/>
                    <w:bidi w:val="0"/>
                    <w:spacing w:line="240" w:lineRule="auto"/>
                    <w:ind w:left="0" w:leftChars="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名称</w:t>
                  </w:r>
                </w:p>
              </w:tc>
              <w:tc>
                <w:tcPr>
                  <w:tcW w:w="1117" w:type="pct"/>
                  <w:vAlign w:val="center"/>
                </w:tcPr>
                <w:p w14:paraId="31A02353">
                  <w:pPr>
                    <w:pStyle w:val="10"/>
                    <w:pageBreakBefore w:val="0"/>
                    <w:kinsoku/>
                    <w:overflowPunct/>
                    <w:topLinePunct w:val="0"/>
                    <w:bidi w:val="0"/>
                    <w:spacing w:line="240" w:lineRule="auto"/>
                    <w:ind w:left="0" w:leftChars="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中心地理坐标</w:t>
                  </w:r>
                </w:p>
              </w:tc>
              <w:tc>
                <w:tcPr>
                  <w:tcW w:w="436" w:type="pct"/>
                  <w:vAlign w:val="center"/>
                </w:tcPr>
                <w:p w14:paraId="48AD7E8A">
                  <w:pPr>
                    <w:pStyle w:val="10"/>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保护对象</w:t>
                  </w:r>
                </w:p>
              </w:tc>
              <w:tc>
                <w:tcPr>
                  <w:tcW w:w="681" w:type="pct"/>
                  <w:vAlign w:val="center"/>
                </w:tcPr>
                <w:p w14:paraId="30987E85">
                  <w:pPr>
                    <w:pStyle w:val="10"/>
                    <w:pageBreakBefore w:val="0"/>
                    <w:kinsoku/>
                    <w:overflowPunct/>
                    <w:topLinePunct w:val="0"/>
                    <w:bidi w:val="0"/>
                    <w:spacing w:line="240" w:lineRule="auto"/>
                    <w:ind w:left="0" w:leftChars="0" w:right="0" w:firstLine="0" w:firstLineChars="0"/>
                    <w:jc w:val="center"/>
                    <w:rPr>
                      <w:rFonts w:hint="default" w:ascii="Times New Roman" w:hAnsi="Times New Roman"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保护内容</w:t>
                  </w:r>
                </w:p>
              </w:tc>
              <w:tc>
                <w:tcPr>
                  <w:tcW w:w="783" w:type="pct"/>
                  <w:vAlign w:val="center"/>
                </w:tcPr>
                <w:p w14:paraId="3D22CC1F">
                  <w:pPr>
                    <w:pStyle w:val="10"/>
                    <w:pageBreakBefore w:val="0"/>
                    <w:kinsoku/>
                    <w:overflowPunct/>
                    <w:topLinePunct w:val="0"/>
                    <w:bidi w:val="0"/>
                    <w:spacing w:line="240" w:lineRule="auto"/>
                    <w:ind w:left="0" w:leftChars="0" w:right="0" w:firstLine="0" w:firstLineChars="0"/>
                    <w:jc w:val="center"/>
                    <w:rPr>
                      <w:rFonts w:hint="default" w:ascii="Times New Roman" w:hAnsi="Times New Roman"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环境功能区</w:t>
                  </w:r>
                </w:p>
              </w:tc>
              <w:tc>
                <w:tcPr>
                  <w:tcW w:w="460" w:type="pct"/>
                  <w:vAlign w:val="center"/>
                </w:tcPr>
                <w:p w14:paraId="0F8F51ED">
                  <w:pPr>
                    <w:pStyle w:val="10"/>
                    <w:pageBreakBefore w:val="0"/>
                    <w:kinsoku/>
                    <w:overflowPunct/>
                    <w:topLinePunct w:val="0"/>
                    <w:bidi w:val="0"/>
                    <w:spacing w:line="240" w:lineRule="auto"/>
                    <w:ind w:left="0" w:leftChars="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相对厂址</w:t>
                  </w:r>
                  <w:r>
                    <w:rPr>
                      <w:rFonts w:hint="default" w:ascii="Times New Roman" w:hAnsi="Times New Roman" w:cs="Times New Roman"/>
                      <w:b/>
                      <w:bCs/>
                      <w:color w:val="000000" w:themeColor="text1"/>
                      <w:sz w:val="21"/>
                      <w:szCs w:val="21"/>
                      <w14:textFill>
                        <w14:solidFill>
                          <w14:schemeClr w14:val="tx1"/>
                        </w14:solidFill>
                      </w14:textFill>
                    </w:rPr>
                    <w:t>方位</w:t>
                  </w:r>
                </w:p>
              </w:tc>
              <w:tc>
                <w:tcPr>
                  <w:tcW w:w="561" w:type="pct"/>
                  <w:vAlign w:val="center"/>
                </w:tcPr>
                <w:p w14:paraId="6468E1CF">
                  <w:pPr>
                    <w:pStyle w:val="10"/>
                    <w:pageBreakBefore w:val="0"/>
                    <w:kinsoku/>
                    <w:overflowPunct/>
                    <w:topLinePunct w:val="0"/>
                    <w:bidi w:val="0"/>
                    <w:spacing w:line="240" w:lineRule="auto"/>
                    <w:ind w:left="0" w:leftChars="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相对厂界</w:t>
                  </w:r>
                  <w:r>
                    <w:rPr>
                      <w:rFonts w:hint="default" w:ascii="Times New Roman" w:hAnsi="Times New Roman" w:cs="Times New Roman"/>
                      <w:b/>
                      <w:bCs/>
                      <w:color w:val="000000" w:themeColor="text1"/>
                      <w:sz w:val="21"/>
                      <w:szCs w:val="21"/>
                      <w14:textFill>
                        <w14:solidFill>
                          <w14:schemeClr w14:val="tx1"/>
                        </w14:solidFill>
                      </w14:textFill>
                    </w:rPr>
                    <w:t>距离（m）</w:t>
                  </w:r>
                </w:p>
              </w:tc>
            </w:tr>
            <w:tr w14:paraId="52217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pct"/>
                  <w:vMerge w:val="restart"/>
                  <w:vAlign w:val="center"/>
                </w:tcPr>
                <w:p w14:paraId="0B27DF27">
                  <w:pPr>
                    <w:pStyle w:val="10"/>
                    <w:pageBreakBefore w:val="0"/>
                    <w:kinsoku/>
                    <w:overflowPunct/>
                    <w:topLinePunct w:val="0"/>
                    <w:bidi w:val="0"/>
                    <w:spacing w:line="240" w:lineRule="auto"/>
                    <w:ind w:left="0" w:leftChars="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大气环境</w:t>
                  </w:r>
                </w:p>
              </w:tc>
              <w:tc>
                <w:tcPr>
                  <w:tcW w:w="536" w:type="pct"/>
                  <w:vAlign w:val="center"/>
                </w:tcPr>
                <w:p w14:paraId="639EA41F">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定古村</w:t>
                  </w:r>
                </w:p>
              </w:tc>
              <w:tc>
                <w:tcPr>
                  <w:tcW w:w="1117" w:type="pct"/>
                  <w:vAlign w:val="center"/>
                </w:tcPr>
                <w:p w14:paraId="4859141E">
                  <w:pPr>
                    <w:pStyle w:val="10"/>
                    <w:pageBreakBefore w:val="0"/>
                    <w:kinsoku/>
                    <w:overflowPunct/>
                    <w:topLinePunct w:val="0"/>
                    <w:bidi w:val="0"/>
                    <w:spacing w:line="240" w:lineRule="auto"/>
                    <w:ind w:left="0" w:leftChars="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E：102°</w:t>
                  </w:r>
                  <w:r>
                    <w:rPr>
                      <w:rFonts w:hint="default" w:ascii="Times New Roman" w:hAnsi="Times New Roman" w:cs="Times New Roman"/>
                      <w:color w:val="000000" w:themeColor="text1"/>
                      <w:sz w:val="21"/>
                      <w:szCs w:val="21"/>
                      <w:lang w:val="en-US" w:eastAsia="zh-CN"/>
                      <w14:textFill>
                        <w14:solidFill>
                          <w14:schemeClr w14:val="tx1"/>
                        </w14:solidFill>
                      </w14:textFill>
                    </w:rPr>
                    <w:t>29</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21.09</w:t>
                  </w:r>
                  <w:r>
                    <w:rPr>
                      <w:rFonts w:hint="default" w:ascii="Times New Roman" w:hAnsi="Times New Roman" w:cs="Times New Roman"/>
                      <w:color w:val="000000" w:themeColor="text1"/>
                      <w:sz w:val="21"/>
                      <w:szCs w:val="21"/>
                      <w14:textFill>
                        <w14:solidFill>
                          <w14:schemeClr w14:val="tx1"/>
                        </w14:solidFill>
                      </w14:textFill>
                    </w:rPr>
                    <w:t>″，</w:t>
                  </w:r>
                </w:p>
                <w:p w14:paraId="2A0DC226">
                  <w:pPr>
                    <w:pStyle w:val="10"/>
                    <w:pageBreakBefore w:val="0"/>
                    <w:kinsoku/>
                    <w:overflowPunct/>
                    <w:topLinePunct w:val="0"/>
                    <w:bidi w:val="0"/>
                    <w:spacing w:line="240" w:lineRule="auto"/>
                    <w:ind w:left="0" w:leftChars="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N：24°1</w:t>
                  </w:r>
                  <w:r>
                    <w:rPr>
                      <w:rFonts w:hint="default" w:ascii="Times New Roman" w:hAnsi="Times New Roman"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51.36</w:t>
                  </w:r>
                  <w:r>
                    <w:rPr>
                      <w:rFonts w:hint="default" w:ascii="Times New Roman" w:hAnsi="Times New Roman" w:cs="Times New Roman"/>
                      <w:color w:val="000000" w:themeColor="text1"/>
                      <w:sz w:val="21"/>
                      <w:szCs w:val="21"/>
                      <w14:textFill>
                        <w14:solidFill>
                          <w14:schemeClr w14:val="tx1"/>
                        </w14:solidFill>
                      </w14:textFill>
                    </w:rPr>
                    <w:t>″</w:t>
                  </w:r>
                </w:p>
              </w:tc>
              <w:tc>
                <w:tcPr>
                  <w:tcW w:w="436" w:type="pct"/>
                  <w:vAlign w:val="center"/>
                </w:tcPr>
                <w:p w14:paraId="41BB5CBE">
                  <w:pPr>
                    <w:pStyle w:val="10"/>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居民</w:t>
                  </w:r>
                </w:p>
              </w:tc>
              <w:tc>
                <w:tcPr>
                  <w:tcW w:w="681" w:type="pct"/>
                  <w:vAlign w:val="center"/>
                </w:tcPr>
                <w:p w14:paraId="2CA3D44D">
                  <w:pPr>
                    <w:pStyle w:val="10"/>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约</w:t>
                  </w:r>
                  <w:r>
                    <w:rPr>
                      <w:rFonts w:hint="default" w:ascii="Times New Roman" w:hAnsi="Times New Roman" w:cs="Times New Roman"/>
                      <w:color w:val="000000" w:themeColor="text1"/>
                      <w:sz w:val="21"/>
                      <w:szCs w:val="21"/>
                      <w:lang w:val="en-US" w:eastAsia="zh-CN"/>
                      <w14:textFill>
                        <w14:solidFill>
                          <w14:schemeClr w14:val="tx1"/>
                        </w14:solidFill>
                      </w14:textFill>
                    </w:rPr>
                    <w:t>700人</w:t>
                  </w:r>
                </w:p>
              </w:tc>
              <w:tc>
                <w:tcPr>
                  <w:tcW w:w="783" w:type="pct"/>
                  <w:vMerge w:val="restart"/>
                  <w:vAlign w:val="center"/>
                </w:tcPr>
                <w:p w14:paraId="1D98350F">
                  <w:pPr>
                    <w:pStyle w:val="10"/>
                    <w:pageBreakBefore w:val="0"/>
                    <w:kinsoku/>
                    <w:overflowPunct/>
                    <w:topLinePunct w:val="0"/>
                    <w:bidi w:val="0"/>
                    <w:spacing w:line="240" w:lineRule="auto"/>
                    <w:ind w:left="0" w:leftChars="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《环境空气质量标准》（GB3095-2012）二类区</w:t>
                  </w:r>
                </w:p>
              </w:tc>
              <w:tc>
                <w:tcPr>
                  <w:tcW w:w="460" w:type="pct"/>
                  <w:vAlign w:val="center"/>
                </w:tcPr>
                <w:p w14:paraId="0FBE85B5">
                  <w:pPr>
                    <w:pageBreakBefore w:val="0"/>
                    <w:kinsoku/>
                    <w:overflowPunct/>
                    <w:topLinePunct w:val="0"/>
                    <w:bidi w:val="0"/>
                    <w:ind w:left="0" w:leftChars="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西南</w:t>
                  </w:r>
                </w:p>
              </w:tc>
              <w:tc>
                <w:tcPr>
                  <w:tcW w:w="561" w:type="pct"/>
                  <w:vAlign w:val="center"/>
                </w:tcPr>
                <w:p w14:paraId="234D6A16">
                  <w:pPr>
                    <w:pStyle w:val="10"/>
                    <w:pageBreakBefore w:val="0"/>
                    <w:kinsoku/>
                    <w:overflowPunct/>
                    <w:topLinePunct w:val="0"/>
                    <w:bidi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100</w:t>
                  </w:r>
                </w:p>
              </w:tc>
            </w:tr>
            <w:tr w14:paraId="29B97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pct"/>
                  <w:vMerge w:val="continue"/>
                  <w:vAlign w:val="center"/>
                </w:tcPr>
                <w:p w14:paraId="1683A8FE">
                  <w:pPr>
                    <w:pStyle w:val="10"/>
                    <w:pageBreakBefore w:val="0"/>
                    <w:kinsoku/>
                    <w:overflowPunct/>
                    <w:topLinePunct w:val="0"/>
                    <w:bidi w:val="0"/>
                    <w:spacing w:line="240" w:lineRule="auto"/>
                    <w:ind w:left="0" w:leftChars="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36" w:type="pct"/>
                  <w:vAlign w:val="center"/>
                </w:tcPr>
                <w:p w14:paraId="08A91ED9">
                  <w:pPr>
                    <w:pageBreakBefore w:val="0"/>
                    <w:kinsoku/>
                    <w:overflowPunct/>
                    <w:topLinePunct w:val="0"/>
                    <w:bidi w:val="0"/>
                    <w:ind w:left="0" w:leftChars="0" w:right="0"/>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南湖公园</w:t>
                  </w:r>
                </w:p>
              </w:tc>
              <w:tc>
                <w:tcPr>
                  <w:tcW w:w="1117" w:type="pct"/>
                  <w:vAlign w:val="center"/>
                </w:tcPr>
                <w:p w14:paraId="3F52BFF1">
                  <w:pPr>
                    <w:pStyle w:val="10"/>
                    <w:pageBreakBefore w:val="0"/>
                    <w:kinsoku/>
                    <w:overflowPunct/>
                    <w:topLinePunct w:val="0"/>
                    <w:bidi w:val="0"/>
                    <w:spacing w:line="240" w:lineRule="auto"/>
                    <w:ind w:left="0" w:leftChars="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E：102°</w:t>
                  </w:r>
                  <w:r>
                    <w:rPr>
                      <w:rFonts w:hint="default" w:ascii="Times New Roman" w:hAnsi="Times New Roman" w:cs="Times New Roman"/>
                      <w:color w:val="000000" w:themeColor="text1"/>
                      <w:sz w:val="21"/>
                      <w:szCs w:val="21"/>
                      <w:lang w:val="en-US" w:eastAsia="zh-CN"/>
                      <w14:textFill>
                        <w14:solidFill>
                          <w14:schemeClr w14:val="tx1"/>
                        </w14:solidFill>
                      </w14:textFill>
                    </w:rPr>
                    <w:t>29</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55.639</w:t>
                  </w:r>
                  <w:r>
                    <w:rPr>
                      <w:rFonts w:hint="default" w:ascii="Times New Roman" w:hAnsi="Times New Roman" w:cs="Times New Roman"/>
                      <w:color w:val="000000" w:themeColor="text1"/>
                      <w:sz w:val="21"/>
                      <w:szCs w:val="21"/>
                      <w14:textFill>
                        <w14:solidFill>
                          <w14:schemeClr w14:val="tx1"/>
                        </w14:solidFill>
                      </w14:textFill>
                    </w:rPr>
                    <w:t>″，</w:t>
                  </w:r>
                </w:p>
                <w:p w14:paraId="6BD175C9">
                  <w:pPr>
                    <w:pStyle w:val="10"/>
                    <w:pageBreakBefore w:val="0"/>
                    <w:kinsoku/>
                    <w:overflowPunct/>
                    <w:topLinePunct w:val="0"/>
                    <w:bidi w:val="0"/>
                    <w:spacing w:line="240" w:lineRule="auto"/>
                    <w:ind w:left="0" w:leftChars="0" w:right="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N：24°1</w:t>
                  </w:r>
                  <w:r>
                    <w:rPr>
                      <w:rFonts w:hint="default" w:ascii="Times New Roman" w:hAnsi="Times New Roman"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8.195</w:t>
                  </w:r>
                  <w:r>
                    <w:rPr>
                      <w:rFonts w:hint="default" w:ascii="Times New Roman" w:hAnsi="Times New Roman" w:cs="Times New Roman"/>
                      <w:color w:val="000000" w:themeColor="text1"/>
                      <w:sz w:val="21"/>
                      <w:szCs w:val="21"/>
                      <w14:textFill>
                        <w14:solidFill>
                          <w14:schemeClr w14:val="tx1"/>
                        </w14:solidFill>
                      </w14:textFill>
                    </w:rPr>
                    <w:t>″</w:t>
                  </w:r>
                </w:p>
              </w:tc>
              <w:tc>
                <w:tcPr>
                  <w:tcW w:w="436" w:type="pct"/>
                  <w:vAlign w:val="center"/>
                </w:tcPr>
                <w:p w14:paraId="2F643212">
                  <w:pPr>
                    <w:pStyle w:val="10"/>
                    <w:pageBreakBefore w:val="0"/>
                    <w:kinsoku/>
                    <w:overflowPunct/>
                    <w:topLinePunct w:val="0"/>
                    <w:bidi w:val="0"/>
                    <w:spacing w:line="240" w:lineRule="auto"/>
                    <w:ind w:left="0" w:leftChars="0" w:right="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人群</w:t>
                  </w:r>
                </w:p>
              </w:tc>
              <w:tc>
                <w:tcPr>
                  <w:tcW w:w="681" w:type="pct"/>
                  <w:vAlign w:val="center"/>
                </w:tcPr>
                <w:p w14:paraId="082603CD">
                  <w:pPr>
                    <w:pStyle w:val="10"/>
                    <w:pageBreakBefore w:val="0"/>
                    <w:kinsoku/>
                    <w:overflowPunct/>
                    <w:topLinePunct w:val="0"/>
                    <w:bidi w:val="0"/>
                    <w:spacing w:line="240" w:lineRule="auto"/>
                    <w:ind w:left="0" w:leftChars="0" w:right="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783" w:type="pct"/>
                  <w:vMerge w:val="continue"/>
                  <w:vAlign w:val="center"/>
                </w:tcPr>
                <w:p w14:paraId="65C15492">
                  <w:pPr>
                    <w:pStyle w:val="10"/>
                    <w:pageBreakBefore w:val="0"/>
                    <w:kinsoku/>
                    <w:overflowPunct/>
                    <w:topLinePunct w:val="0"/>
                    <w:bidi w:val="0"/>
                    <w:spacing w:line="240" w:lineRule="auto"/>
                    <w:ind w:left="0" w:leftChars="0" w:right="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p>
              </w:tc>
              <w:tc>
                <w:tcPr>
                  <w:tcW w:w="460" w:type="pct"/>
                  <w:vAlign w:val="center"/>
                </w:tcPr>
                <w:p w14:paraId="55D80C07">
                  <w:pPr>
                    <w:pageBreakBefore w:val="0"/>
                    <w:kinsoku/>
                    <w:overflowPunct/>
                    <w:topLinePunct w:val="0"/>
                    <w:bidi w:val="0"/>
                    <w:ind w:left="0" w:leftChars="0" w:right="0"/>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东</w:t>
                  </w:r>
                </w:p>
              </w:tc>
              <w:tc>
                <w:tcPr>
                  <w:tcW w:w="561" w:type="pct"/>
                  <w:vAlign w:val="center"/>
                </w:tcPr>
                <w:p w14:paraId="2980CE65">
                  <w:pPr>
                    <w:pStyle w:val="10"/>
                    <w:pageBreakBefore w:val="0"/>
                    <w:kinsoku/>
                    <w:overflowPunct/>
                    <w:topLinePunct w:val="0"/>
                    <w:bidi w:val="0"/>
                    <w:spacing w:line="240" w:lineRule="auto"/>
                    <w:ind w:left="0" w:leftChars="0" w:right="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410</w:t>
                  </w:r>
                </w:p>
              </w:tc>
            </w:tr>
          </w:tbl>
          <w:p w14:paraId="52A1F1E1">
            <w:pPr>
              <w:pageBreakBefore w:val="0"/>
              <w:kinsoku/>
              <w:overflowPunct/>
              <w:topLinePunct w:val="0"/>
              <w:bidi w:val="0"/>
              <w:spacing w:line="360" w:lineRule="auto"/>
              <w:ind w:left="0" w:leftChars="0" w:right="0"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2、声环境保护目标</w:t>
            </w:r>
          </w:p>
          <w:p w14:paraId="30B449E3">
            <w:pPr>
              <w:pStyle w:val="89"/>
              <w:pageBreakBefore w:val="0"/>
              <w:widowControl/>
              <w:kinsoku/>
              <w:overflowPunct/>
              <w:topLinePunct w:val="0"/>
              <w:bidi w:val="0"/>
              <w:spacing w:line="360" w:lineRule="auto"/>
              <w:ind w:left="0" w:leftChars="0" w:right="0" w:firstLine="480"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项目厂界外50m范围内无声环境保护目标。</w:t>
            </w:r>
          </w:p>
          <w:p w14:paraId="7549FD57">
            <w:pPr>
              <w:pageBreakBefore w:val="0"/>
              <w:kinsoku/>
              <w:overflowPunct/>
              <w:topLinePunct w:val="0"/>
              <w:bidi w:val="0"/>
              <w:spacing w:line="360" w:lineRule="auto"/>
              <w:ind w:left="0" w:leftChars="0" w:right="0" w:firstLine="482" w:firstLineChars="200"/>
              <w:rPr>
                <w:rFonts w:hint="default" w:ascii="Times New Roman" w:hAnsi="Times New Roman" w:eastAsia="宋体" w:cs="Times New Roman"/>
                <w:color w:val="000000" w:themeColor="text1"/>
                <w:kern w:val="0"/>
                <w:sz w:val="24"/>
                <w:lang w:eastAsia="zh-CN"/>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3、</w:t>
            </w:r>
            <w:r>
              <w:rPr>
                <w:rFonts w:hint="default" w:ascii="Times New Roman" w:hAnsi="Times New Roman" w:cs="Times New Roman"/>
                <w:b/>
                <w:color w:val="000000" w:themeColor="text1"/>
                <w:sz w:val="24"/>
                <w:lang w:eastAsia="zh-CN"/>
                <w14:textFill>
                  <w14:solidFill>
                    <w14:schemeClr w14:val="tx1"/>
                  </w14:solidFill>
                </w14:textFill>
              </w:rPr>
              <w:t>地表</w:t>
            </w:r>
            <w:r>
              <w:rPr>
                <w:rFonts w:hint="default" w:ascii="Times New Roman" w:hAnsi="Times New Roman" w:cs="Times New Roman"/>
                <w:b/>
                <w:color w:val="000000" w:themeColor="text1"/>
                <w:sz w:val="24"/>
                <w14:textFill>
                  <w14:solidFill>
                    <w14:schemeClr w14:val="tx1"/>
                  </w14:solidFill>
                </w14:textFill>
              </w:rPr>
              <w:t>水环境保护目标</w:t>
            </w:r>
          </w:p>
          <w:p w14:paraId="148C430C">
            <w:pPr>
              <w:pStyle w:val="89"/>
              <w:pageBreakBefore w:val="0"/>
              <w:widowControl/>
              <w:kinsoku/>
              <w:overflowPunct/>
              <w:topLinePunct w:val="0"/>
              <w:bidi w:val="0"/>
              <w:spacing w:line="360" w:lineRule="auto"/>
              <w:ind w:left="0" w:leftChars="0" w:right="0" w:firstLine="480" w:firstLineChars="20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kern w:val="0"/>
                <w:sz w:val="24"/>
                <w:lang w:val="zh-CN"/>
                <w14:textFill>
                  <w14:solidFill>
                    <w14:schemeClr w14:val="tx1"/>
                  </w14:solidFill>
                </w14:textFill>
              </w:rPr>
              <w:t>本项目距离最近的地表水体</w:t>
            </w:r>
            <w:r>
              <w:rPr>
                <w:rFonts w:hint="default" w:ascii="Times New Roman" w:hAnsi="Times New Roman" w:cs="Times New Roman"/>
                <w:color w:val="000000" w:themeColor="text1"/>
                <w:sz w:val="24"/>
                <w14:textFill>
                  <w14:solidFill>
                    <w14:schemeClr w14:val="tx1"/>
                  </w14:solidFill>
                </w14:textFill>
              </w:rPr>
              <w:t>为项目区</w:t>
            </w:r>
            <w:r>
              <w:rPr>
                <w:rFonts w:hint="default" w:ascii="Times New Roman" w:hAnsi="Times New Roman" w:cs="Times New Roman"/>
                <w:color w:val="000000" w:themeColor="text1"/>
                <w:sz w:val="24"/>
                <w:lang w:eastAsia="zh-CN"/>
                <w14:textFill>
                  <w14:solidFill>
                    <w14:schemeClr w14:val="tx1"/>
                  </w14:solidFill>
                </w14:textFill>
              </w:rPr>
              <w:t>南侧约</w:t>
            </w:r>
            <w:r>
              <w:rPr>
                <w:rFonts w:hint="default" w:ascii="Times New Roman" w:hAnsi="Times New Roman" w:cs="Times New Roman"/>
                <w:color w:val="000000" w:themeColor="text1"/>
                <w:sz w:val="24"/>
                <w:lang w:val="en-US" w:eastAsia="zh-CN"/>
                <w14:textFill>
                  <w14:solidFill>
                    <w14:schemeClr w14:val="tx1"/>
                  </w14:solidFill>
                </w14:textFill>
              </w:rPr>
              <w:t>220m处的东风大沟，东风大沟经干冲箐、歪者河</w:t>
            </w:r>
            <w:r>
              <w:rPr>
                <w:rFonts w:hint="default" w:ascii="Times New Roman" w:hAnsi="Times New Roman" w:cs="Times New Roman"/>
                <w:color w:val="000000" w:themeColor="text1"/>
                <w:kern w:val="0"/>
                <w:sz w:val="24"/>
                <w:lang w:val="en-US" w:eastAsia="zh-CN"/>
                <w14:textFill>
                  <w14:solidFill>
                    <w14:schemeClr w14:val="tx1"/>
                  </w14:solidFill>
                </w14:textFill>
              </w:rPr>
              <w:t>、大沙河、石邑小河</w:t>
            </w:r>
            <w:r>
              <w:rPr>
                <w:rFonts w:hint="default" w:ascii="Times New Roman" w:hAnsi="Times New Roman" w:cs="Times New Roman"/>
                <w:color w:val="000000" w:themeColor="text1"/>
                <w:sz w:val="24"/>
                <w:lang w:val="en-US" w:eastAsia="zh-CN"/>
                <w14:textFill>
                  <w14:solidFill>
                    <w14:schemeClr w14:val="tx1"/>
                  </w14:solidFill>
                </w14:textFill>
              </w:rPr>
              <w:t>，最终于峨山小街由义村附近汇入峨山大河，即曲江</w:t>
            </w:r>
            <w:r>
              <w:rPr>
                <w:rFonts w:hint="default" w:ascii="Times New Roman" w:hAnsi="Times New Roman" w:cs="Times New Roman"/>
                <w:color w:val="000000" w:themeColor="text1"/>
                <w:sz w:val="24"/>
                <w14:textFill>
                  <w14:solidFill>
                    <w14:schemeClr w14:val="tx1"/>
                  </w14:solidFill>
                </w14:textFill>
              </w:rPr>
              <w:t>。</w:t>
            </w:r>
          </w:p>
          <w:p w14:paraId="06BA1CDA">
            <w:pPr>
              <w:pStyle w:val="31"/>
              <w:pageBreakBefore w:val="0"/>
              <w:kinsoku/>
              <w:overflowPunct/>
              <w:topLinePunct w:val="0"/>
              <w:bidi w:val="0"/>
              <w:snapToGrid/>
              <w:spacing w:after="0" w:line="240" w:lineRule="auto"/>
              <w:ind w:left="0" w:leftChars="0" w:right="0" w:firstLine="0" w:firstLineChars="0"/>
              <w:jc w:val="center"/>
              <w:rPr>
                <w:rFonts w:hint="default" w:ascii="Times New Roman" w:hAnsi="Times New Roman" w:cs="Times New Roman"/>
                <w:b/>
                <w:bCs/>
                <w:color w:val="000000" w:themeColor="text1"/>
                <w:sz w:val="21"/>
                <w:szCs w:val="18"/>
                <w14:textFill>
                  <w14:solidFill>
                    <w14:schemeClr w14:val="tx1"/>
                  </w14:solidFill>
                </w14:textFill>
              </w:rPr>
            </w:pPr>
            <w:r>
              <w:rPr>
                <w:rFonts w:hint="default" w:ascii="Times New Roman" w:hAnsi="Times New Roman" w:cs="Times New Roman"/>
                <w:b/>
                <w:bCs/>
                <w:color w:val="000000" w:themeColor="text1"/>
                <w:sz w:val="21"/>
                <w:szCs w:val="18"/>
                <w14:textFill>
                  <w14:solidFill>
                    <w14:schemeClr w14:val="tx1"/>
                  </w14:solidFill>
                </w14:textFill>
              </w:rPr>
              <w:t>表3-</w:t>
            </w:r>
            <w:r>
              <w:rPr>
                <w:rFonts w:hint="default" w:ascii="Times New Roman" w:hAnsi="Times New Roman" w:cs="Times New Roman"/>
                <w:b/>
                <w:bCs/>
                <w:color w:val="000000" w:themeColor="text1"/>
                <w:sz w:val="21"/>
                <w:szCs w:val="18"/>
                <w:lang w:val="en-US" w:eastAsia="zh-CN"/>
                <w14:textFill>
                  <w14:solidFill>
                    <w14:schemeClr w14:val="tx1"/>
                  </w14:solidFill>
                </w14:textFill>
              </w:rPr>
              <w:t>7</w:t>
            </w:r>
            <w:r>
              <w:rPr>
                <w:rFonts w:hint="default" w:ascii="Times New Roman" w:hAnsi="Times New Roman" w:cs="Times New Roman"/>
                <w:b/>
                <w:bCs/>
                <w:color w:val="000000" w:themeColor="text1"/>
                <w:sz w:val="21"/>
                <w:szCs w:val="18"/>
                <w14:textFill>
                  <w14:solidFill>
                    <w14:schemeClr w14:val="tx1"/>
                  </w14:solidFill>
                </w14:textFill>
              </w:rPr>
              <w:t xml:space="preserve"> </w:t>
            </w:r>
            <w:r>
              <w:rPr>
                <w:rFonts w:hint="default" w:ascii="Times New Roman" w:hAnsi="Times New Roman" w:cs="Times New Roman"/>
                <w:b/>
                <w:bCs/>
                <w:color w:val="000000" w:themeColor="text1"/>
                <w:sz w:val="21"/>
                <w:szCs w:val="18"/>
                <w:lang w:eastAsia="zh-CN"/>
                <w14:textFill>
                  <w14:solidFill>
                    <w14:schemeClr w14:val="tx1"/>
                  </w14:solidFill>
                </w14:textFill>
              </w:rPr>
              <w:t>地表</w:t>
            </w:r>
            <w:r>
              <w:rPr>
                <w:rFonts w:hint="default" w:ascii="Times New Roman" w:hAnsi="Times New Roman" w:cs="Times New Roman"/>
                <w:b/>
                <w:bCs/>
                <w:color w:val="000000" w:themeColor="text1"/>
                <w:sz w:val="21"/>
                <w:szCs w:val="18"/>
                <w14:textFill>
                  <w14:solidFill>
                    <w14:schemeClr w14:val="tx1"/>
                  </w14:solidFill>
                </w14:textFill>
              </w:rPr>
              <w:t>水环境保护目标一览表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1081"/>
              <w:gridCol w:w="1213"/>
              <w:gridCol w:w="1148"/>
              <w:gridCol w:w="1031"/>
              <w:gridCol w:w="2789"/>
            </w:tblGrid>
            <w:tr w14:paraId="44B89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18" w:type="pct"/>
                  <w:noWrap w:val="0"/>
                  <w:vAlign w:val="center"/>
                </w:tcPr>
                <w:p w14:paraId="10FEF62B">
                  <w:pPr>
                    <w:pStyle w:val="10"/>
                    <w:spacing w:before="0" w:after="0"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环境</w:t>
                  </w:r>
                </w:p>
                <w:p w14:paraId="5AAA9D12">
                  <w:pPr>
                    <w:pStyle w:val="10"/>
                    <w:spacing w:before="0" w:after="0"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要素</w:t>
                  </w:r>
                </w:p>
              </w:tc>
              <w:tc>
                <w:tcPr>
                  <w:tcW w:w="667" w:type="pct"/>
                  <w:noWrap w:val="0"/>
                  <w:vAlign w:val="center"/>
                </w:tcPr>
                <w:p w14:paraId="59CAE52D">
                  <w:pPr>
                    <w:pStyle w:val="10"/>
                    <w:spacing w:before="0" w:after="0"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名称</w:t>
                  </w:r>
                </w:p>
              </w:tc>
              <w:tc>
                <w:tcPr>
                  <w:tcW w:w="748" w:type="pct"/>
                  <w:noWrap w:val="0"/>
                  <w:vAlign w:val="center"/>
                </w:tcPr>
                <w:p w14:paraId="5348A90A">
                  <w:pPr>
                    <w:pStyle w:val="10"/>
                    <w:spacing w:before="0" w:after="0"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方位</w:t>
                  </w:r>
                </w:p>
              </w:tc>
              <w:tc>
                <w:tcPr>
                  <w:tcW w:w="708" w:type="pct"/>
                  <w:noWrap w:val="0"/>
                  <w:vAlign w:val="center"/>
                </w:tcPr>
                <w:p w14:paraId="65DF5167">
                  <w:pPr>
                    <w:pStyle w:val="10"/>
                    <w:spacing w:before="0" w:after="0"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距离（m）</w:t>
                  </w:r>
                </w:p>
              </w:tc>
              <w:tc>
                <w:tcPr>
                  <w:tcW w:w="636" w:type="pct"/>
                  <w:noWrap w:val="0"/>
                  <w:vAlign w:val="center"/>
                </w:tcPr>
                <w:p w14:paraId="42F63F7C">
                  <w:pPr>
                    <w:pStyle w:val="10"/>
                    <w:spacing w:before="0" w:after="0"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功能</w:t>
                  </w:r>
                </w:p>
              </w:tc>
              <w:tc>
                <w:tcPr>
                  <w:tcW w:w="1720" w:type="pct"/>
                  <w:noWrap w:val="0"/>
                  <w:vAlign w:val="center"/>
                </w:tcPr>
                <w:p w14:paraId="31333DC8">
                  <w:pPr>
                    <w:pStyle w:val="10"/>
                    <w:spacing w:before="0" w:after="0"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功能要求</w:t>
                  </w:r>
                </w:p>
              </w:tc>
            </w:tr>
            <w:tr w14:paraId="4E747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518" w:type="pct"/>
                  <w:vMerge w:val="restart"/>
                  <w:noWrap w:val="0"/>
                  <w:vAlign w:val="center"/>
                </w:tcPr>
                <w:p w14:paraId="6EB82D67">
                  <w:pPr>
                    <w:pStyle w:val="10"/>
                    <w:spacing w:before="0" w:after="0"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水环境</w:t>
                  </w:r>
                </w:p>
              </w:tc>
              <w:tc>
                <w:tcPr>
                  <w:tcW w:w="667" w:type="pct"/>
                  <w:noWrap w:val="0"/>
                  <w:vAlign w:val="center"/>
                </w:tcPr>
                <w:p w14:paraId="3718BE88">
                  <w:pPr>
                    <w:pageBreakBefore w:val="0"/>
                    <w:kinsoku/>
                    <w:overflowPunct/>
                    <w:topLinePunct w:val="0"/>
                    <w:bidi w:val="0"/>
                    <w:ind w:left="0" w:leftChars="0" w:right="0" w:rightChars="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东风大沟</w:t>
                  </w:r>
                </w:p>
              </w:tc>
              <w:tc>
                <w:tcPr>
                  <w:tcW w:w="748" w:type="pct"/>
                  <w:noWrap w:val="0"/>
                  <w:vAlign w:val="center"/>
                </w:tcPr>
                <w:p w14:paraId="35F9E309">
                  <w:pPr>
                    <w:pageBreakBefore w:val="0"/>
                    <w:kinsoku/>
                    <w:overflowPunct/>
                    <w:topLinePunct w:val="0"/>
                    <w:bidi w:val="0"/>
                    <w:ind w:left="0" w:leftChars="0" w:right="0" w:rightChars="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西南</w:t>
                  </w:r>
                </w:p>
              </w:tc>
              <w:tc>
                <w:tcPr>
                  <w:tcW w:w="708" w:type="pct"/>
                  <w:noWrap w:val="0"/>
                  <w:vAlign w:val="center"/>
                </w:tcPr>
                <w:p w14:paraId="46C82EB8">
                  <w:pPr>
                    <w:pStyle w:val="10"/>
                    <w:pageBreakBefore w:val="0"/>
                    <w:kinsoku/>
                    <w:overflowPunct/>
                    <w:topLinePunct w:val="0"/>
                    <w:bidi w:val="0"/>
                    <w:spacing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约220</w:t>
                  </w:r>
                </w:p>
              </w:tc>
              <w:tc>
                <w:tcPr>
                  <w:tcW w:w="636" w:type="pct"/>
                  <w:noWrap w:val="0"/>
                  <w:vAlign w:val="center"/>
                </w:tcPr>
                <w:p w14:paraId="0960E6AA">
                  <w:pPr>
                    <w:pStyle w:val="10"/>
                    <w:pageBreakBefore w:val="0"/>
                    <w:kinsoku/>
                    <w:overflowPunct/>
                    <w:topLinePunct w:val="0"/>
                    <w:bidi w:val="0"/>
                    <w:spacing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河流</w:t>
                  </w:r>
                </w:p>
              </w:tc>
              <w:tc>
                <w:tcPr>
                  <w:tcW w:w="1720" w:type="pct"/>
                  <w:vMerge w:val="restart"/>
                  <w:noWrap w:val="0"/>
                  <w:vAlign w:val="center"/>
                </w:tcPr>
                <w:p w14:paraId="791CE28C">
                  <w:pPr>
                    <w:pStyle w:val="10"/>
                    <w:spacing w:before="0" w:after="0"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《地表水环境质量标准》（GB3838-2002）Ⅲ类标准</w:t>
                  </w:r>
                </w:p>
              </w:tc>
            </w:tr>
            <w:tr w14:paraId="68477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518" w:type="pct"/>
                  <w:vMerge w:val="continue"/>
                  <w:noWrap w:val="0"/>
                  <w:vAlign w:val="center"/>
                </w:tcPr>
                <w:p w14:paraId="5F608FE6">
                  <w:pPr>
                    <w:pStyle w:val="10"/>
                    <w:spacing w:before="0" w:after="0"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667" w:type="pct"/>
                  <w:noWrap w:val="0"/>
                  <w:vAlign w:val="center"/>
                </w:tcPr>
                <w:p w14:paraId="69F31B6F">
                  <w:pPr>
                    <w:pageBreakBefore w:val="0"/>
                    <w:kinsoku/>
                    <w:overflowPunct/>
                    <w:topLinePunct w:val="0"/>
                    <w:bidi w:val="0"/>
                    <w:ind w:left="0" w:leftChars="0" w:right="0" w:rightChars="0"/>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干冲箐</w:t>
                  </w:r>
                </w:p>
              </w:tc>
              <w:tc>
                <w:tcPr>
                  <w:tcW w:w="748" w:type="pct"/>
                  <w:noWrap w:val="0"/>
                  <w:vAlign w:val="center"/>
                </w:tcPr>
                <w:p w14:paraId="0FA98877">
                  <w:pPr>
                    <w:pageBreakBefore w:val="0"/>
                    <w:kinsoku/>
                    <w:overflowPunct/>
                    <w:topLinePunct w:val="0"/>
                    <w:bidi w:val="0"/>
                    <w:ind w:left="0" w:leftChars="0" w:right="0" w:rightChars="0"/>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西南</w:t>
                  </w:r>
                </w:p>
              </w:tc>
              <w:tc>
                <w:tcPr>
                  <w:tcW w:w="708" w:type="pct"/>
                  <w:noWrap w:val="0"/>
                  <w:vAlign w:val="center"/>
                </w:tcPr>
                <w:p w14:paraId="1E22D549">
                  <w:pPr>
                    <w:pStyle w:val="10"/>
                    <w:pageBreakBefore w:val="0"/>
                    <w:kinsoku/>
                    <w:overflowPunct/>
                    <w:topLinePunct w:val="0"/>
                    <w:bidi w:val="0"/>
                    <w:spacing w:line="240" w:lineRule="auto"/>
                    <w:ind w:left="0" w:leftChars="0" w:right="0" w:rightChars="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约1100</w:t>
                  </w:r>
                </w:p>
              </w:tc>
              <w:tc>
                <w:tcPr>
                  <w:tcW w:w="636" w:type="pct"/>
                  <w:noWrap w:val="0"/>
                  <w:vAlign w:val="center"/>
                </w:tcPr>
                <w:p w14:paraId="17E21F9C">
                  <w:pPr>
                    <w:pageBreakBefore w:val="0"/>
                    <w:kinsoku/>
                    <w:overflowPunct/>
                    <w:topLinePunct w:val="0"/>
                    <w:bidi w:val="0"/>
                    <w:spacing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河流</w:t>
                  </w:r>
                </w:p>
              </w:tc>
              <w:tc>
                <w:tcPr>
                  <w:tcW w:w="1720" w:type="pct"/>
                  <w:vMerge w:val="continue"/>
                  <w:noWrap w:val="0"/>
                  <w:vAlign w:val="center"/>
                </w:tcPr>
                <w:p w14:paraId="1DABFBE6">
                  <w:pPr>
                    <w:pStyle w:val="10"/>
                    <w:spacing w:before="0" w:after="0"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r>
            <w:tr w14:paraId="59C57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518" w:type="pct"/>
                  <w:vMerge w:val="continue"/>
                  <w:noWrap w:val="0"/>
                  <w:vAlign w:val="center"/>
                </w:tcPr>
                <w:p w14:paraId="2906FCD2">
                  <w:pPr>
                    <w:pStyle w:val="10"/>
                    <w:spacing w:before="0" w:after="0"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667" w:type="pct"/>
                  <w:noWrap w:val="0"/>
                  <w:vAlign w:val="center"/>
                </w:tcPr>
                <w:p w14:paraId="1E29E5FD">
                  <w:pPr>
                    <w:pageBreakBefore w:val="0"/>
                    <w:kinsoku/>
                    <w:overflowPunct/>
                    <w:topLinePunct w:val="0"/>
                    <w:bidi w:val="0"/>
                    <w:ind w:left="0" w:leftChars="0" w:right="0" w:rightChars="0"/>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歪者河</w:t>
                  </w:r>
                </w:p>
              </w:tc>
              <w:tc>
                <w:tcPr>
                  <w:tcW w:w="748" w:type="pct"/>
                  <w:noWrap w:val="0"/>
                  <w:vAlign w:val="center"/>
                </w:tcPr>
                <w:p w14:paraId="7D01F278">
                  <w:pPr>
                    <w:pageBreakBefore w:val="0"/>
                    <w:kinsoku/>
                    <w:overflowPunct/>
                    <w:topLinePunct w:val="0"/>
                    <w:bidi w:val="0"/>
                    <w:ind w:left="0" w:leftChars="0" w:right="0" w:rightChars="0"/>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东南</w:t>
                  </w:r>
                </w:p>
              </w:tc>
              <w:tc>
                <w:tcPr>
                  <w:tcW w:w="708" w:type="pct"/>
                  <w:noWrap w:val="0"/>
                  <w:vAlign w:val="center"/>
                </w:tcPr>
                <w:p w14:paraId="5E390528">
                  <w:pPr>
                    <w:pStyle w:val="10"/>
                    <w:pageBreakBefore w:val="0"/>
                    <w:kinsoku/>
                    <w:overflowPunct/>
                    <w:topLinePunct w:val="0"/>
                    <w:bidi w:val="0"/>
                    <w:spacing w:line="240" w:lineRule="auto"/>
                    <w:ind w:left="0" w:leftChars="0" w:right="0" w:rightChars="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约3900</w:t>
                  </w:r>
                </w:p>
              </w:tc>
              <w:tc>
                <w:tcPr>
                  <w:tcW w:w="636" w:type="pct"/>
                  <w:noWrap w:val="0"/>
                  <w:vAlign w:val="center"/>
                </w:tcPr>
                <w:p w14:paraId="2D57B108">
                  <w:pPr>
                    <w:pageBreakBefore w:val="0"/>
                    <w:kinsoku/>
                    <w:overflowPunct/>
                    <w:topLinePunct w:val="0"/>
                    <w:bidi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河流</w:t>
                  </w:r>
                </w:p>
              </w:tc>
              <w:tc>
                <w:tcPr>
                  <w:tcW w:w="1720" w:type="pct"/>
                  <w:vMerge w:val="continue"/>
                  <w:noWrap w:val="0"/>
                  <w:vAlign w:val="center"/>
                </w:tcPr>
                <w:p w14:paraId="3E1DC76C">
                  <w:pPr>
                    <w:pStyle w:val="10"/>
                    <w:spacing w:before="0" w:after="0"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r>
          </w:tbl>
          <w:p w14:paraId="2B51978E">
            <w:pPr>
              <w:pageBreakBefore w:val="0"/>
              <w:widowControl/>
              <w:kinsoku/>
              <w:overflowPunct/>
              <w:topLinePunct w:val="0"/>
              <w:bidi w:val="0"/>
              <w:spacing w:line="360" w:lineRule="auto"/>
              <w:ind w:left="0" w:leftChars="0" w:right="0" w:firstLine="482" w:firstLineChars="200"/>
              <w:rPr>
                <w:rFonts w:hint="default" w:ascii="Times New Roman" w:hAnsi="Times New Roman"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4、生态环境保护目标</w:t>
            </w:r>
          </w:p>
          <w:p w14:paraId="281E583B">
            <w:pPr>
              <w:pStyle w:val="44"/>
              <w:pageBreakBefore w:val="0"/>
              <w:kinsoku/>
              <w:overflowPunct/>
              <w:topLinePunct w:val="0"/>
              <w:bidi w:val="0"/>
              <w:ind w:left="0" w:leftChars="0" w:right="0" w:firstLine="48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本项目位于</w:t>
            </w:r>
            <w:r>
              <w:rPr>
                <w:rFonts w:hint="default" w:ascii="Times New Roman" w:hAnsi="Times New Roman" w:eastAsia="宋体" w:cs="Times New Roman"/>
                <w:color w:val="000000" w:themeColor="text1"/>
                <w:sz w:val="24"/>
                <w:lang w:val="en-US" w:eastAsia="zh-CN"/>
                <w14:textFill>
                  <w14:solidFill>
                    <w14:schemeClr w14:val="tx1"/>
                  </w14:solidFill>
                </w14:textFill>
              </w:rPr>
              <w:t>玉溪市红塔区研和街道可官社区可官一组</w:t>
            </w:r>
            <w:r>
              <w:rPr>
                <w:rFonts w:hint="default" w:ascii="Times New Roman" w:hAnsi="Times New Roman" w:cs="Times New Roman"/>
                <w:color w:val="000000" w:themeColor="text1"/>
                <w:sz w:val="24"/>
                <w:highlight w:val="none"/>
                <w:lang w:val="en-US" w:eastAsia="zh-CN"/>
                <w14:textFill>
                  <w14:solidFill>
                    <w14:schemeClr w14:val="tx1"/>
                  </w14:solidFill>
                </w14:textFill>
              </w:rPr>
              <w:t>，不涉及生态保护红线、不涉及基本农田、</w:t>
            </w:r>
            <w:r>
              <w:rPr>
                <w:rFonts w:hint="default" w:ascii="Times New Roman" w:hAnsi="Times New Roman" w:cs="Times New Roman"/>
                <w:color w:val="000000" w:themeColor="text1"/>
                <w:lang w:val="zh-CN"/>
                <w14:textFill>
                  <w14:solidFill>
                    <w14:schemeClr w14:val="tx1"/>
                  </w14:solidFill>
                </w14:textFill>
              </w:rPr>
              <w:t>不涉及《环境影响评价技术导则</w:t>
            </w: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lang w:val="zh-CN"/>
                <w14:textFill>
                  <w14:solidFill>
                    <w14:schemeClr w14:val="tx1"/>
                  </w14:solidFill>
                </w14:textFill>
              </w:rPr>
              <w:t>生态环境》（HJ19-20</w:t>
            </w:r>
            <w:r>
              <w:rPr>
                <w:rFonts w:hint="default" w:ascii="Times New Roman" w:hAnsi="Times New Roman" w:cs="Times New Roman"/>
                <w:color w:val="000000" w:themeColor="text1"/>
                <w:lang w:val="en-US" w:eastAsia="zh-CN"/>
                <w14:textFill>
                  <w14:solidFill>
                    <w14:schemeClr w14:val="tx1"/>
                  </w14:solidFill>
                </w14:textFill>
              </w:rPr>
              <w:t>22</w:t>
            </w:r>
            <w:r>
              <w:rPr>
                <w:rFonts w:hint="default" w:ascii="Times New Roman" w:hAnsi="Times New Roman" w:cs="Times New Roman"/>
                <w:color w:val="000000" w:themeColor="text1"/>
                <w:lang w:val="zh-CN"/>
                <w14:textFill>
                  <w14:solidFill>
                    <w14:schemeClr w14:val="tx1"/>
                  </w14:solidFill>
                </w14:textFill>
              </w:rPr>
              <w:t>）中的特殊生态敏感区、重要生态敏感区等生态环境保护目标。</w:t>
            </w:r>
          </w:p>
          <w:p w14:paraId="64022744">
            <w:pPr>
              <w:pageBreakBefore w:val="0"/>
              <w:widowControl/>
              <w:kinsoku/>
              <w:overflowPunct/>
              <w:topLinePunct w:val="0"/>
              <w:bidi w:val="0"/>
              <w:spacing w:line="360" w:lineRule="auto"/>
              <w:ind w:left="0" w:leftChars="0" w:right="0" w:firstLine="482" w:firstLineChars="200"/>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5、地下水</w:t>
            </w:r>
            <w:r>
              <w:rPr>
                <w:rFonts w:hint="default" w:ascii="Times New Roman" w:hAnsi="Times New Roman" w:cs="Times New Roman"/>
                <w:b/>
                <w:bCs/>
                <w:color w:val="000000" w:themeColor="text1"/>
                <w:sz w:val="24"/>
                <w:highlight w:val="none"/>
                <w:lang w:eastAsia="zh-CN"/>
                <w14:textFill>
                  <w14:solidFill>
                    <w14:schemeClr w14:val="tx1"/>
                  </w14:solidFill>
                </w14:textFill>
              </w:rPr>
              <w:t>环境</w:t>
            </w:r>
            <w:r>
              <w:rPr>
                <w:rFonts w:hint="default" w:ascii="Times New Roman" w:hAnsi="Times New Roman" w:cs="Times New Roman"/>
                <w:b/>
                <w:bCs/>
                <w:color w:val="000000" w:themeColor="text1"/>
                <w:sz w:val="24"/>
                <w:highlight w:val="none"/>
                <w14:textFill>
                  <w14:solidFill>
                    <w14:schemeClr w14:val="tx1"/>
                  </w14:solidFill>
                </w14:textFill>
              </w:rPr>
              <w:t>保护目标</w:t>
            </w:r>
          </w:p>
          <w:p w14:paraId="30260250">
            <w:pPr>
              <w:pStyle w:val="44"/>
              <w:pageBreakBefore w:val="0"/>
              <w:kinsoku/>
              <w:overflowPunct/>
              <w:topLinePunct w:val="0"/>
              <w:bidi w:val="0"/>
              <w:ind w:left="0" w:leftChars="0" w:right="0" w:firstLine="480"/>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本项目位于</w:t>
            </w:r>
            <w:r>
              <w:rPr>
                <w:rFonts w:hint="default" w:ascii="Times New Roman" w:hAnsi="Times New Roman" w:cs="Times New Roman"/>
                <w:color w:val="000000" w:themeColor="text1"/>
                <w:lang w:val="en-US" w:eastAsia="zh-CN"/>
                <w14:textFill>
                  <w14:solidFill>
                    <w14:schemeClr w14:val="tx1"/>
                  </w14:solidFill>
                </w14:textFill>
              </w:rPr>
              <w:t>玉溪市红塔区研和街道可官社区可官一组</w:t>
            </w:r>
            <w:r>
              <w:rPr>
                <w:rFonts w:hint="default" w:ascii="Times New Roman" w:hAnsi="Times New Roman" w:cs="Times New Roman"/>
                <w:color w:val="000000" w:themeColor="text1"/>
                <w:lang w:val="zh-CN"/>
                <w14:textFill>
                  <w14:solidFill>
                    <w14:schemeClr w14:val="tx1"/>
                  </w14:solidFill>
                </w14:textFill>
              </w:rPr>
              <w:t>，</w:t>
            </w:r>
            <w:r>
              <w:rPr>
                <w:rFonts w:hint="default" w:ascii="Times New Roman" w:hAnsi="Times New Roman" w:cs="Times New Roman"/>
                <w:color w:val="000000" w:themeColor="text1"/>
                <w:lang w:val="zh-CN" w:eastAsia="zh-CN"/>
                <w14:textFill>
                  <w14:solidFill>
                    <w14:schemeClr w14:val="tx1"/>
                  </w14:solidFill>
                </w14:textFill>
              </w:rPr>
              <w:t>根据《</w:t>
            </w:r>
            <w:r>
              <w:rPr>
                <w:rFonts w:hint="default" w:ascii="Times New Roman" w:hAnsi="Times New Roman" w:cs="Times New Roman"/>
                <w:color w:val="000000" w:themeColor="text1"/>
                <w:lang w:val="en-US" w:eastAsia="zh-CN"/>
                <w14:textFill>
                  <w14:solidFill>
                    <w14:schemeClr w14:val="tx1"/>
                  </w14:solidFill>
                </w14:textFill>
              </w:rPr>
              <w:t>建设项目环境影响报告表编制技术指南 （污染影响类）</w:t>
            </w:r>
            <w:r>
              <w:rPr>
                <w:rFonts w:hint="default" w:ascii="Times New Roman" w:hAnsi="Times New Roman" w:cs="Times New Roman"/>
                <w:color w:val="000000" w:themeColor="text1"/>
                <w:lang w:val="zh-CN"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明确厂界外 500 米范围内的地下水集中式饮用水水源和热水、矿泉水、温泉等特殊地下水资源。</w:t>
            </w:r>
            <w:r>
              <w:rPr>
                <w:rFonts w:hint="default" w:ascii="Times New Roman" w:hAnsi="Times New Roman" w:cs="Times New Roman"/>
                <w:color w:val="000000" w:themeColor="text1"/>
                <w:lang w:val="zh-CN" w:eastAsia="zh-CN"/>
                <w14:textFill>
                  <w14:solidFill>
                    <w14:schemeClr w14:val="tx1"/>
                  </w14:solidFill>
                </w14:textFill>
              </w:rPr>
              <w:t>”</w:t>
            </w:r>
          </w:p>
          <w:p w14:paraId="5ECB36AF">
            <w:pPr>
              <w:pageBreakBefore w:val="0"/>
              <w:widowControl/>
              <w:kinsoku/>
              <w:overflowPunct/>
              <w:topLinePunct w:val="0"/>
              <w:bidi w:val="0"/>
              <w:spacing w:line="360" w:lineRule="auto"/>
              <w:ind w:left="0" w:leftChars="0" w:right="0"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lang w:val="zh-CN"/>
                <w14:textFill>
                  <w14:solidFill>
                    <w14:schemeClr w14:val="tx1"/>
                  </w14:solidFill>
                </w14:textFill>
              </w:rPr>
              <w:t>根据水文地质图，本项目</w:t>
            </w:r>
            <w:r>
              <w:rPr>
                <w:rFonts w:hint="default" w:ascii="Times New Roman" w:hAnsi="Times New Roman" w:cs="Times New Roman"/>
                <w:color w:val="000000" w:themeColor="text1"/>
                <w:sz w:val="24"/>
                <w14:textFill>
                  <w14:solidFill>
                    <w14:schemeClr w14:val="tx1"/>
                  </w14:solidFill>
                </w14:textFill>
              </w:rPr>
              <w:t>厂界外</w:t>
            </w:r>
            <w:r>
              <w:rPr>
                <w:rFonts w:hint="default" w:ascii="Times New Roman" w:hAnsi="Times New Roman" w:cs="Times New Roman"/>
                <w:color w:val="000000" w:themeColor="text1"/>
                <w:sz w:val="24"/>
                <w:lang w:val="zh-CN"/>
                <w14:textFill>
                  <w14:solidFill>
                    <w14:schemeClr w14:val="tx1"/>
                  </w14:solidFill>
                </w14:textFill>
              </w:rPr>
              <w:t>500m范围内无地下水集中式饮用水水源和热水、矿泉水、温泉等特殊地下水资源。</w:t>
            </w:r>
          </w:p>
          <w:p w14:paraId="152B5040">
            <w:pPr>
              <w:pageBreakBefore w:val="0"/>
              <w:widowControl/>
              <w:kinsoku/>
              <w:overflowPunct/>
              <w:topLinePunct w:val="0"/>
              <w:bidi w:val="0"/>
              <w:spacing w:line="360" w:lineRule="auto"/>
              <w:ind w:left="0" w:leftChars="0"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根据水文地质图，本项目同一水文地质单元内涉及</w:t>
            </w:r>
            <w:r>
              <w:rPr>
                <w:rFonts w:hint="default" w:ascii="Times New Roman" w:hAnsi="Times New Roman" w:cs="Times New Roman"/>
                <w:color w:val="000000" w:themeColor="text1"/>
                <w:sz w:val="24"/>
                <w:highlight w:val="none"/>
                <w:lang w:val="en-US" w:eastAsia="zh-CN"/>
                <w14:textFill>
                  <w14:solidFill>
                    <w14:schemeClr w14:val="tx1"/>
                  </w14:solidFill>
                </w14:textFill>
              </w:rPr>
              <w:t>1个</w:t>
            </w:r>
            <w:r>
              <w:rPr>
                <w:rFonts w:hint="default" w:ascii="Times New Roman" w:hAnsi="Times New Roman" w:cs="Times New Roman"/>
                <w:color w:val="000000" w:themeColor="text1"/>
                <w:sz w:val="24"/>
                <w:highlight w:val="none"/>
                <w:lang w:eastAsia="zh-CN"/>
                <w14:textFill>
                  <w14:solidFill>
                    <w14:schemeClr w14:val="tx1"/>
                  </w14:solidFill>
                </w14:textFill>
              </w:rPr>
              <w:t>地下水出露点，该位于项目区西南侧约</w:t>
            </w:r>
            <w:r>
              <w:rPr>
                <w:rFonts w:hint="default" w:ascii="Times New Roman" w:hAnsi="Times New Roman" w:cs="Times New Roman"/>
                <w:color w:val="000000" w:themeColor="text1"/>
                <w:sz w:val="24"/>
                <w:highlight w:val="none"/>
                <w:lang w:val="en-US" w:eastAsia="zh-CN"/>
                <w14:textFill>
                  <w14:solidFill>
                    <w14:schemeClr w14:val="tx1"/>
                  </w14:solidFill>
                </w14:textFill>
              </w:rPr>
              <w:t>1.2km处</w:t>
            </w:r>
            <w:r>
              <w:rPr>
                <w:rFonts w:hint="default" w:ascii="Times New Roman" w:hAnsi="Times New Roman" w:cs="Times New Roman"/>
                <w:color w:val="000000" w:themeColor="text1"/>
                <w:sz w:val="24"/>
                <w:highlight w:val="none"/>
                <w:lang w:eastAsia="zh-CN"/>
                <w14:textFill>
                  <w14:solidFill>
                    <w14:schemeClr w14:val="tx1"/>
                  </w14:solidFill>
                </w14:textFill>
              </w:rPr>
              <w:t>，不在厂界外</w:t>
            </w:r>
            <w:r>
              <w:rPr>
                <w:rFonts w:hint="default" w:ascii="Times New Roman" w:hAnsi="Times New Roman" w:cs="Times New Roman"/>
                <w:color w:val="000000" w:themeColor="text1"/>
                <w:sz w:val="24"/>
                <w:highlight w:val="none"/>
                <w:lang w:val="en-US" w:eastAsia="zh-CN"/>
                <w14:textFill>
                  <w14:solidFill>
                    <w14:schemeClr w14:val="tx1"/>
                  </w14:solidFill>
                </w14:textFill>
              </w:rPr>
              <w:t>500米范围内。</w:t>
            </w:r>
          </w:p>
        </w:tc>
      </w:tr>
      <w:tr w14:paraId="4527B0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tcMar>
              <w:left w:w="28" w:type="dxa"/>
              <w:right w:w="28" w:type="dxa"/>
            </w:tcMar>
            <w:vAlign w:val="center"/>
          </w:tcPr>
          <w:p w14:paraId="77ACEA90">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污染</w:t>
            </w:r>
          </w:p>
          <w:p w14:paraId="494A27E6">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物排</w:t>
            </w:r>
          </w:p>
          <w:p w14:paraId="4C761544">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放控</w:t>
            </w:r>
          </w:p>
          <w:p w14:paraId="2804E253">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制标</w:t>
            </w:r>
          </w:p>
          <w:p w14:paraId="7D01CCED">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准</w:t>
            </w:r>
          </w:p>
        </w:tc>
        <w:tc>
          <w:tcPr>
            <w:tcW w:w="8321" w:type="dxa"/>
            <w:vAlign w:val="center"/>
          </w:tcPr>
          <w:p w14:paraId="4707D19A">
            <w:pPr>
              <w:pStyle w:val="19"/>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1、废气</w:t>
            </w:r>
          </w:p>
          <w:p w14:paraId="14F67E82">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（1）施工期</w:t>
            </w:r>
          </w:p>
          <w:p w14:paraId="7F4996C5">
            <w:pPr>
              <w:pageBreakBefore w:val="0"/>
              <w:kinsoku/>
              <w:overflowPunct/>
              <w:topLinePunct w:val="0"/>
              <w:bidi w:val="0"/>
              <w:spacing w:line="360" w:lineRule="auto"/>
              <w:ind w:left="0" w:leftChars="0" w:right="0" w:firstLine="48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施工期无组织粉尘执行《大气污染物综合排放标准》（GB16297-1996）表2中颗粒物无组织排放监控浓度限值要求。</w:t>
            </w:r>
          </w:p>
          <w:p w14:paraId="24EB3A23">
            <w:pPr>
              <w:pageBreakBefore w:val="0"/>
              <w:kinsoku/>
              <w:overflowPunct/>
              <w:topLinePunct w:val="0"/>
              <w:bidi w:val="0"/>
              <w:ind w:left="0" w:leftChars="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表3-</w:t>
            </w:r>
            <w:r>
              <w:rPr>
                <w:rFonts w:hint="default" w:ascii="Times New Roman" w:hAnsi="Times New Roman" w:cs="Times New Roman"/>
                <w:b/>
                <w:bCs/>
                <w:color w:val="000000" w:themeColor="text1"/>
                <w:szCs w:val="21"/>
                <w:lang w:val="en-US" w:eastAsia="zh-CN"/>
                <w14:textFill>
                  <w14:solidFill>
                    <w14:schemeClr w14:val="tx1"/>
                  </w14:solidFill>
                </w14:textFill>
              </w:rPr>
              <w:t>8</w:t>
            </w:r>
            <w:r>
              <w:rPr>
                <w:rFonts w:hint="default" w:ascii="Times New Roman" w:hAnsi="Times New Roman" w:cs="Times New Roman"/>
                <w:b/>
                <w:bCs/>
                <w:color w:val="000000" w:themeColor="text1"/>
                <w:szCs w:val="21"/>
                <w14:textFill>
                  <w14:solidFill>
                    <w14:schemeClr w14:val="tx1"/>
                  </w14:solidFill>
                </w14:textFill>
              </w:rPr>
              <w:t xml:space="preserve">   无组织颗粒物排放标准</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0"/>
              <w:gridCol w:w="2569"/>
              <w:gridCol w:w="3354"/>
            </w:tblGrid>
            <w:tr w14:paraId="52018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5" w:type="pct"/>
                  <w:vMerge w:val="restart"/>
                  <w:vAlign w:val="center"/>
                </w:tcPr>
                <w:p w14:paraId="33ED05C1">
                  <w:pPr>
                    <w:pageBreakBefore w:val="0"/>
                    <w:kinsoku/>
                    <w:overflowPunct/>
                    <w:topLinePunct w:val="0"/>
                    <w:bidi w:val="0"/>
                    <w:ind w:left="0" w:leftChars="0" w:right="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污染物</w:t>
                  </w:r>
                </w:p>
              </w:tc>
              <w:tc>
                <w:tcPr>
                  <w:tcW w:w="3654" w:type="pct"/>
                  <w:gridSpan w:val="2"/>
                  <w:vAlign w:val="center"/>
                </w:tcPr>
                <w:p w14:paraId="16B77851">
                  <w:pPr>
                    <w:pageBreakBefore w:val="0"/>
                    <w:kinsoku/>
                    <w:overflowPunct/>
                    <w:topLinePunct w:val="0"/>
                    <w:bidi w:val="0"/>
                    <w:ind w:left="0" w:leftChars="0" w:right="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无组织排放监控浓度限值</w:t>
                  </w:r>
                </w:p>
              </w:tc>
            </w:tr>
            <w:tr w14:paraId="3CDF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45" w:type="pct"/>
                  <w:vMerge w:val="continue"/>
                  <w:vAlign w:val="center"/>
                </w:tcPr>
                <w:p w14:paraId="20DBC7E6">
                  <w:pPr>
                    <w:pageBreakBefore w:val="0"/>
                    <w:kinsoku/>
                    <w:overflowPunct/>
                    <w:topLinePunct w:val="0"/>
                    <w:bidi w:val="0"/>
                    <w:ind w:left="0" w:leftChars="0" w:right="0"/>
                    <w:jc w:val="center"/>
                    <w:rPr>
                      <w:rFonts w:hint="default" w:ascii="Times New Roman" w:hAnsi="Times New Roman" w:cs="Times New Roman"/>
                      <w:b/>
                      <w:bCs/>
                      <w:color w:val="000000" w:themeColor="text1"/>
                      <w14:textFill>
                        <w14:solidFill>
                          <w14:schemeClr w14:val="tx1"/>
                        </w14:solidFill>
                      </w14:textFill>
                    </w:rPr>
                  </w:pPr>
                </w:p>
              </w:tc>
              <w:tc>
                <w:tcPr>
                  <w:tcW w:w="1585" w:type="pct"/>
                  <w:vAlign w:val="center"/>
                </w:tcPr>
                <w:p w14:paraId="5E7E9A47">
                  <w:pPr>
                    <w:pageBreakBefore w:val="0"/>
                    <w:kinsoku/>
                    <w:overflowPunct/>
                    <w:topLinePunct w:val="0"/>
                    <w:bidi w:val="0"/>
                    <w:ind w:left="0" w:leftChars="0" w:right="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监控点</w:t>
                  </w:r>
                </w:p>
              </w:tc>
              <w:tc>
                <w:tcPr>
                  <w:tcW w:w="2068" w:type="pct"/>
                  <w:vAlign w:val="center"/>
                </w:tcPr>
                <w:p w14:paraId="3DC09CA5">
                  <w:pPr>
                    <w:pageBreakBefore w:val="0"/>
                    <w:kinsoku/>
                    <w:overflowPunct/>
                    <w:topLinePunct w:val="0"/>
                    <w:bidi w:val="0"/>
                    <w:ind w:left="0" w:leftChars="0" w:right="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浓度（mg/m</w:t>
                  </w:r>
                  <w:r>
                    <w:rPr>
                      <w:rFonts w:hint="default" w:ascii="Times New Roman" w:hAnsi="Times New Roman" w:cs="Times New Roman"/>
                      <w:b/>
                      <w:bCs/>
                      <w:color w:val="000000" w:themeColor="text1"/>
                      <w:vertAlign w:val="superscript"/>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w:t>
                  </w:r>
                </w:p>
              </w:tc>
            </w:tr>
            <w:tr w14:paraId="6A819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5" w:type="pct"/>
                  <w:vAlign w:val="center"/>
                </w:tcPr>
                <w:p w14:paraId="1C5FDBBD">
                  <w:pPr>
                    <w:pageBreakBefore w:val="0"/>
                    <w:kinsoku/>
                    <w:overflowPunct/>
                    <w:topLinePunct w:val="0"/>
                    <w:bidi w:val="0"/>
                    <w:ind w:left="0" w:leftChars="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颗粒物</w:t>
                  </w:r>
                </w:p>
              </w:tc>
              <w:tc>
                <w:tcPr>
                  <w:tcW w:w="1585" w:type="pct"/>
                  <w:vAlign w:val="center"/>
                </w:tcPr>
                <w:p w14:paraId="3B8476C5">
                  <w:pPr>
                    <w:pageBreakBefore w:val="0"/>
                    <w:kinsoku/>
                    <w:overflowPunct/>
                    <w:topLinePunct w:val="0"/>
                    <w:bidi w:val="0"/>
                    <w:ind w:left="0" w:leftChars="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周界外浓度最高点</w:t>
                  </w:r>
                </w:p>
              </w:tc>
              <w:tc>
                <w:tcPr>
                  <w:tcW w:w="2068" w:type="pct"/>
                  <w:vAlign w:val="center"/>
                </w:tcPr>
                <w:p w14:paraId="4502651F">
                  <w:pPr>
                    <w:pageBreakBefore w:val="0"/>
                    <w:kinsoku/>
                    <w:overflowPunct/>
                    <w:topLinePunct w:val="0"/>
                    <w:bidi w:val="0"/>
                    <w:ind w:left="0" w:leftChars="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r>
          </w:tbl>
          <w:p w14:paraId="4F1240DC">
            <w:pPr>
              <w:pageBreakBefore w:val="0"/>
              <w:kinsoku/>
              <w:overflowPunct/>
              <w:topLinePunct w:val="0"/>
              <w:bidi w:val="0"/>
              <w:adjustRightInd w:val="0"/>
              <w:snapToGrid w:val="0"/>
              <w:spacing w:line="360" w:lineRule="auto"/>
              <w:ind w:left="0" w:leftChars="0" w:right="0" w:firstLine="482" w:firstLineChars="200"/>
              <w:textAlignment w:val="baseline"/>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（2）运营期</w:t>
            </w:r>
          </w:p>
          <w:p w14:paraId="5745D9E8">
            <w:pPr>
              <w:pageBreakBefore w:val="0"/>
              <w:kinsoku/>
              <w:overflowPunct/>
              <w:topLinePunct w:val="0"/>
              <w:bidi w:val="0"/>
              <w:adjustRightInd w:val="0"/>
              <w:snapToGrid w:val="0"/>
              <w:spacing w:line="360" w:lineRule="auto"/>
              <w:ind w:left="0" w:leftChars="0" w:right="0" w:firstLine="482" w:firstLineChars="200"/>
              <w:textAlignment w:val="baseline"/>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1）有组织废气</w:t>
            </w:r>
          </w:p>
          <w:p w14:paraId="0BA625B5">
            <w:pPr>
              <w:pageBreakBefore w:val="0"/>
              <w:numPr>
                <w:ilvl w:val="0"/>
                <w:numId w:val="0"/>
              </w:numPr>
              <w:kinsoku/>
              <w:overflowPunct/>
              <w:topLinePunct w:val="0"/>
              <w:bidi w:val="0"/>
              <w:adjustRightInd w:val="0"/>
              <w:snapToGrid w:val="0"/>
              <w:spacing w:line="360" w:lineRule="auto"/>
              <w:ind w:left="0" w:leftChars="0" w:right="0" w:rightChars="0" w:firstLine="482" w:firstLineChars="200"/>
              <w:textAlignment w:val="baseline"/>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t>①</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焚烧炉废气</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通过“旋风+布袋+喷淋”治理设施</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处理后由1根15m高排气筒（DA001）排放。</w:t>
            </w:r>
            <w:r>
              <w:rPr>
                <w:rFonts w:hint="eastAsia" w:cs="Times New Roman"/>
                <w:b w:val="0"/>
                <w:bCs/>
                <w:color w:val="000000" w:themeColor="text1"/>
                <w:kern w:val="24"/>
                <w:sz w:val="24"/>
                <w:szCs w:val="24"/>
                <w:lang w:val="en-US" w:eastAsia="zh-CN"/>
                <w14:textFill>
                  <w14:solidFill>
                    <w14:schemeClr w14:val="tx1"/>
                  </w14:solidFill>
                </w14:textFill>
              </w:rPr>
              <w:t>烘干固化废气引入焚烧炉通过热力焚烧后同焚烧废气进入废气处理系统处理后一同并入排气筒DA001一同排放。</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颗粒物、烟气黑度参照执行《工业炉窑大气污染物排放标准》</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GB9078－1996）表2中金属压延、锻造加热炉二级标准，二氧化硫参照执行《工业炉窑大气污染物排放标准》</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GB9078－1996）表4中燃煤（油）炉窑标准，NOx、非甲烷总烃</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参照执行</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《大气污染物综合排放标准》（GB16297-1996）表2标准。</w:t>
            </w:r>
          </w:p>
          <w:p w14:paraId="43D6851E">
            <w:pPr>
              <w:pageBreakBefore w:val="0"/>
              <w:kinsoku/>
              <w:overflowPunct/>
              <w:topLinePunct w:val="0"/>
              <w:bidi w:val="0"/>
              <w:adjustRightInd w:val="0"/>
              <w:snapToGrid w:val="0"/>
              <w:spacing w:line="360" w:lineRule="auto"/>
              <w:ind w:left="0" w:leftChars="0" w:right="0" w:firstLine="482" w:firstLineChars="200"/>
              <w:textAlignment w:val="baseline"/>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②</w:t>
            </w:r>
            <w:r>
              <w:rPr>
                <w:rFonts w:hint="default" w:ascii="Times New Roman" w:hAnsi="Times New Roman" w:eastAsia="宋体" w:cs="Times New Roman"/>
                <w:b/>
                <w:bCs/>
                <w:color w:val="000000" w:themeColor="text1"/>
                <w:sz w:val="24"/>
                <w:lang w:val="en-US" w:eastAsia="zh-CN"/>
                <w14:textFill>
                  <w14:solidFill>
                    <w14:schemeClr w14:val="tx1"/>
                  </w14:solidFill>
                </w14:textFill>
              </w:rPr>
              <w:t>抛丸除锈废气、喷塑废气</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分别经</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instrText xml:space="preserve"> HYPERLINK "https://www.baidu.com/baidu.php?url=af0000KpxzUee8WytQb4LxXqa4RlRM8XW1Y6zck6dvpmKu3vDSmJKSU2iIoGmz3SnzMJ5gtMjFj-EGxyyHYGJEOl6doPzQGq_HpWNm7w_2pDS-QBHLGCY5aKnUJO62t02TvzabkBGlEEU7WIhM2w9b_U9m4x8xE7lJchc1C7W4EZlh0R75eW-eQyxLvcQIsT_AhqJF9hw1apaAgyKxK5542-_NyW.7D_NR2Ar5Od66xAS6MzEukmDfwECF63nEj_ecXM_6LgIb5AZIxMooLguS1_9LuqheguM9dLggGo_eQV-xOfmqh8A7BEEoknwxEOQ9BOU9SWtLeXEl51xElOSk7SLOoOeDNTNYNXOCBOU98dNkImphr1oxIzOwBmBOxSgj7SLjqZ4EvqxYxhOxdOqBQqEOgOvcJ3oCJqOw7SLjIJoOPYwxEvwlJSjChOx_ec_VOAQqEGOgP-BlsdnIMySe-ElcljZhqMOswSE4xYQQ55OptOd55xuu7toPdRLMubzT5OmB_______ouqWVvX5-tqxheIerN5Azzzzzzzzzzz1GhzO-Sg4EqxS8lQ4pXZgSO7vxhEtTE4_ElDxKSLtCO1NOhOtZ4EL3ECOPSLjg7OozxeNRngLlgXxO6Lp3UQQAx5_OvEqxSd3leQQPLtWZoOgb3UQQQ54DIMti1y-MvrLu3Sg1OPz8LX1-iMvS19dnSkve5ZzSx48NvevTJRSLvT5le5kHYXLOBtOrQl51OVqZOmzxtaESWO_1xW_l5d_tPjOuOguuuuu8OCOYxl5qZSWOwOCOYxl5qZGBO3Zw4koDk_vyUSrHIgzer1-JuIz3qis1f_TXMGLU-0.U1Y10ZDqsEp14TQQYQl1OUrS0ZKGm1Yk0ZK1pyI85HIWP1Kbmvw9uHTYuWw-nAFWn1fLuHb3mhD3PWf3Phck0ZfqsEp14TQQ1U21OUrSkET0pyYqnWcd0ATqUvNsT100Iybqmh7GuZN_UfKspyfqn1D0mv-b5Hc4PfKVIjYknjD4g1DsnHIxnH0vnNtznjRkg1csPWFxn1msnfKopHYs0ZFY5HfdP0KBpHYkPH9xnW0Y0AdW5HDsnH-xnH0kPdtknjmkg1csPH7xn1DLrHc3njb4nWIxn0KkTA-b5H00TyPGujYs0ZFMIA7M5H00Uh7GujYs0A49IZ0qn0KWIyfqPH04n1DvPjb0mycqn7ts0ANzu1Ys0ZKs5H00UMus5H08nj0snj0snj00Ugws5H00uAwETjYs0ZFJ5H00uANv5gKW0AuY5H00TA6qn0KET1Ys0AFL5HDs0A4Y5H00TLCq0A71gv-bm1dsTzdMXh410A-bm1dcHbc0TA9YXHY0IA7zuvNY5Hnkg1nkP7tzP0KYIgnqnHRLn1DYrHT1rHTLnWTYnWb3PHb0ThNkIjYkP1fLP1ckrHb1P10Y0A-W5H00Tv-b5H-BmhN-mHKBnj0dm1cdm1c0mLPV5RmswHm3wjDLPYNawbfkPbD0UAF15H00mynqnfKsUWYs0Z7VIjYs0Z7VT1Ys0Aw-I7qWTADqn0KlIjYs0AdWgvuzUvYqn7tsg1Kxn7tsg100uA78IyF-gLK_my4GuZnqn7tsg1cvPW6LPHmYg1Kxn7ts0ZK9I7qhUA7M5H00uAPGujYs0ANYpyfqQHD0mgPsmvnqn0KdTA-8mvnqn0KkUymqn0KhmLNY5H00pgPWUjYs0A7buhk9u1Yk0Akhm1Ys0AwWmvfq0Zwzmyw-5H00mhwGujY3PRfdwHRswWFKn1bvfRnYP1KAnH0LnYDdn1mvnWnkf6KEm1Yk0AFY5HD0Uv7YI1Ys0AqY5HD0ULFsIjYzc10WnH6WnH0snan1n1m1rjm4nWRzc1Dznj0sc1Dznj0sQW0snj0snan1c1Dsnj0WnanVc108njn4PHRkc1D8nj0snj0sc1DWnansQW0snj0snansc10Wnansc10Wnans0AF9UhV9mvnqPHR4c1RYrindPHbWPjDk0Z91IZRqPjR4nHD3njD0TNqv5H08n1Ixna3sn7tsQW0sg108n1Ixna3zndtsg108nWPxn0KBTdqsThqbpyfqn0KzUv-hUA7M5H00mLmq0A-1gvPsmHYs0APs5H00ugPY5H00TyILujYs0AqsnHYkP6KsTjfqn6KWThnqPHmzPjR&amp;us=newvui&amp;xst=mWY3PRfdwHRswWFKn1bvfRnYP1KAnH0LnYDdn1mvnWnkf6715HDknWczPWmYPWRYPjcdPjn1PHn3g1czPNtz0gTqsEp14TQQ1U21OUrSkETKTHLaqo5-s_EfEo5q_e3KIHYYPHbknH6snf7Y5HDLPjTLnWD4rHfKUgDqn0cs0BYKmv6quhPxTAnKUZRqn07WUWY3rj04n1cdnNt3P7qCmyqxTATKTMfqn0D1rjnLrHckrjbY&amp;cegduid=PjR4nHD3njD&amp;solutionId=36005794&amp;word=&amp;ck=8284.12.1747722003020.0.0.375.143.0&amp;shh=www.baidu.com&amp;sht=88093251_84_hao_pg&amp;wd=" \t "https://www.baidu.com/_blank" </w:instrTex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脉冲滤筒除尘器</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fldChar w:fldCharType="end"/>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（共2套）处理，经处理后的抛丸除锈废气与喷塑废气由管道共同连接1根15m高排气筒（DA00</w:t>
            </w:r>
            <w:r>
              <w:rPr>
                <w:rFonts w:hint="eastAsia" w:cs="Times New Roman"/>
                <w:b w:val="0"/>
                <w:bCs w:val="0"/>
                <w:color w:val="000000" w:themeColor="text1"/>
                <w:sz w:val="24"/>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）排放。污染物主要为颗粒物。抛丸除锈废气、喷塑废气参照执行《大气污染物综合排放标准》（GB16297-1996）表2标准。</w:t>
            </w:r>
          </w:p>
          <w:p w14:paraId="5456847B">
            <w:pPr>
              <w:pStyle w:val="122"/>
              <w:keepNext w:val="0"/>
              <w:keepLines w:val="0"/>
              <w:pageBreakBefore w:val="0"/>
              <w:widowControl/>
              <w:kinsoku/>
              <w:wordWrap/>
              <w:overflowPunct/>
              <w:topLinePunct w:val="0"/>
              <w:autoSpaceDE/>
              <w:autoSpaceDN/>
              <w:bidi w:val="0"/>
              <w:adjustRightInd/>
              <w:snapToGrid/>
              <w:spacing w:before="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 xml:space="preserve"> </w:t>
            </w:r>
            <w:r>
              <w:rPr>
                <w:rFonts w:hint="default" w:ascii="Times New Roman" w:hAnsi="Times New Roman" w:cs="Times New Roman"/>
                <w:color w:val="000000" w:themeColor="text1"/>
                <w:lang w:val="en-US" w:eastAsia="zh-CN"/>
                <w14:textFill>
                  <w14:solidFill>
                    <w14:schemeClr w14:val="tx1"/>
                  </w14:solidFill>
                </w14:textFill>
              </w:rPr>
              <w:t>排气筒</w:t>
            </w:r>
            <w:r>
              <w:rPr>
                <w:rFonts w:hint="default" w:ascii="Times New Roman" w:hAnsi="Times New Roman" w:cs="Times New Roman"/>
                <w:color w:val="000000" w:themeColor="text1"/>
                <w14:textFill>
                  <w14:solidFill>
                    <w14:schemeClr w14:val="tx1"/>
                  </w14:solidFill>
                </w14:textFill>
              </w:rPr>
              <w:t xml:space="preserve">大气污染物排放标准    </w:t>
            </w:r>
          </w:p>
          <w:tbl>
            <w:tblPr>
              <w:tblStyle w:val="33"/>
              <w:tblW w:w="4986" w:type="pct"/>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1707"/>
              <w:gridCol w:w="1717"/>
              <w:gridCol w:w="1338"/>
              <w:gridCol w:w="1256"/>
              <w:gridCol w:w="2069"/>
            </w:tblGrid>
            <w:tr w14:paraId="4227A90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5" w:type="pct"/>
                  <w:tcBorders>
                    <w:tl2br w:val="nil"/>
                    <w:tr2bl w:val="nil"/>
                  </w:tcBorders>
                  <w:noWrap w:val="0"/>
                  <w:vAlign w:val="center"/>
                </w:tcPr>
                <w:p w14:paraId="532B11B4">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排气筒</w:t>
                  </w:r>
                </w:p>
              </w:tc>
              <w:tc>
                <w:tcPr>
                  <w:tcW w:w="1061" w:type="pct"/>
                  <w:tcBorders>
                    <w:tl2br w:val="nil"/>
                    <w:tr2bl w:val="nil"/>
                  </w:tcBorders>
                  <w:noWrap w:val="0"/>
                  <w:vAlign w:val="center"/>
                </w:tcPr>
                <w:p w14:paraId="698883F7">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污染物项目</w:t>
                  </w:r>
                </w:p>
              </w:tc>
              <w:tc>
                <w:tcPr>
                  <w:tcW w:w="827" w:type="pct"/>
                  <w:tcBorders>
                    <w:tl2br w:val="nil"/>
                    <w:tr2bl w:val="nil"/>
                  </w:tcBorders>
                  <w:noWrap w:val="0"/>
                  <w:vAlign w:val="center"/>
                </w:tcPr>
                <w:p w14:paraId="2D02CEFA">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浓度限值（</w:t>
                  </w:r>
                  <w:r>
                    <w:rPr>
                      <w:rFonts w:hint="default" w:ascii="Times New Roman" w:hAnsi="Times New Roman" w:cs="Times New Roman"/>
                      <w:color w:val="000000" w:themeColor="text1"/>
                      <w14:textFill>
                        <w14:solidFill>
                          <w14:schemeClr w14:val="tx1"/>
                        </w14:solidFill>
                      </w14:textFill>
                    </w:rPr>
                    <w:t>mg/m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p>
              </w:tc>
              <w:tc>
                <w:tcPr>
                  <w:tcW w:w="775" w:type="pct"/>
                  <w:tcBorders>
                    <w:tl2br w:val="nil"/>
                    <w:tr2bl w:val="nil"/>
                  </w:tcBorders>
                  <w:noWrap w:val="0"/>
                  <w:vAlign w:val="center"/>
                </w:tcPr>
                <w:p w14:paraId="1BA3F2C6">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速率限值（</w:t>
                  </w:r>
                  <w:r>
                    <w:rPr>
                      <w:rFonts w:hint="default" w:ascii="Times New Roman" w:hAnsi="Times New Roman" w:cs="Times New Roman"/>
                      <w:color w:val="000000" w:themeColor="text1"/>
                      <w:lang w:val="en-US" w:eastAsia="zh-CN"/>
                      <w14:textFill>
                        <w14:solidFill>
                          <w14:schemeClr w14:val="tx1"/>
                        </w14:solidFill>
                      </w14:textFill>
                    </w:rPr>
                    <w:t>kg/h</w:t>
                  </w:r>
                  <w:r>
                    <w:rPr>
                      <w:rFonts w:hint="default" w:ascii="Times New Roman" w:hAnsi="Times New Roman" w:cs="Times New Roman"/>
                      <w:color w:val="000000" w:themeColor="text1"/>
                      <w:lang w:eastAsia="zh-CN"/>
                      <w14:textFill>
                        <w14:solidFill>
                          <w14:schemeClr w14:val="tx1"/>
                        </w14:solidFill>
                      </w14:textFill>
                    </w:rPr>
                    <w:t>）</w:t>
                  </w:r>
                </w:p>
              </w:tc>
              <w:tc>
                <w:tcPr>
                  <w:tcW w:w="1278" w:type="pct"/>
                  <w:tcBorders>
                    <w:tl2br w:val="nil"/>
                    <w:tr2bl w:val="nil"/>
                  </w:tcBorders>
                  <w:noWrap w:val="0"/>
                  <w:vAlign w:val="center"/>
                </w:tcPr>
                <w:p w14:paraId="530B8B85">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执行标准</w:t>
                  </w:r>
                </w:p>
              </w:tc>
            </w:tr>
            <w:tr w14:paraId="78DCC9F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55" w:type="pct"/>
                  <w:vMerge w:val="restart"/>
                  <w:tcBorders>
                    <w:tl2br w:val="nil"/>
                    <w:tr2bl w:val="nil"/>
                  </w:tcBorders>
                  <w:noWrap w:val="0"/>
                  <w:vAlign w:val="center"/>
                </w:tcPr>
                <w:p w14:paraId="6D5DE4DB">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DA001排气筒</w:t>
                  </w:r>
                </w:p>
              </w:tc>
              <w:tc>
                <w:tcPr>
                  <w:tcW w:w="1061" w:type="pct"/>
                  <w:tcBorders>
                    <w:tl2br w:val="nil"/>
                    <w:tr2bl w:val="nil"/>
                  </w:tcBorders>
                  <w:noWrap w:val="0"/>
                  <w:vAlign w:val="center"/>
                </w:tcPr>
                <w:p w14:paraId="515941F6">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颗粒物</w:t>
                  </w:r>
                </w:p>
              </w:tc>
              <w:tc>
                <w:tcPr>
                  <w:tcW w:w="827" w:type="pct"/>
                  <w:tcBorders>
                    <w:tl2br w:val="nil"/>
                    <w:tr2bl w:val="nil"/>
                  </w:tcBorders>
                  <w:noWrap w:val="0"/>
                  <w:vAlign w:val="center"/>
                </w:tcPr>
                <w:p w14:paraId="6E6A4693">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c>
                <w:tcPr>
                  <w:tcW w:w="775" w:type="pct"/>
                  <w:tcBorders>
                    <w:tl2br w:val="nil"/>
                    <w:tr2bl w:val="nil"/>
                  </w:tcBorders>
                  <w:noWrap w:val="0"/>
                  <w:vAlign w:val="center"/>
                </w:tcPr>
                <w:p w14:paraId="2FC0AC31">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278" w:type="pct"/>
                  <w:vMerge w:val="restart"/>
                  <w:tcBorders>
                    <w:tl2br w:val="nil"/>
                    <w:tr2bl w:val="nil"/>
                  </w:tcBorders>
                  <w:noWrap w:val="0"/>
                  <w:vAlign w:val="center"/>
                </w:tcPr>
                <w:p w14:paraId="1A1EF024">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《工业炉窑大气污染物排放标准》(GB9078－1996）</w:t>
                  </w:r>
                </w:p>
              </w:tc>
            </w:tr>
            <w:tr w14:paraId="30E1AA4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55" w:type="pct"/>
                  <w:vMerge w:val="continue"/>
                  <w:tcBorders>
                    <w:tl2br w:val="nil"/>
                    <w:tr2bl w:val="nil"/>
                  </w:tcBorders>
                  <w:noWrap w:val="0"/>
                  <w:vAlign w:val="center"/>
                </w:tcPr>
                <w:p w14:paraId="31B5053B">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lang w:eastAsia="zh-CN"/>
                      <w14:textFill>
                        <w14:solidFill>
                          <w14:schemeClr w14:val="tx1"/>
                        </w14:solidFill>
                      </w14:textFill>
                    </w:rPr>
                  </w:pPr>
                </w:p>
              </w:tc>
              <w:tc>
                <w:tcPr>
                  <w:tcW w:w="1061" w:type="pct"/>
                  <w:tcBorders>
                    <w:tl2br w:val="nil"/>
                    <w:tr2bl w:val="nil"/>
                  </w:tcBorders>
                  <w:noWrap w:val="0"/>
                  <w:vAlign w:val="center"/>
                </w:tcPr>
                <w:p w14:paraId="1F01D08A">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二氧化硫</w:t>
                  </w:r>
                </w:p>
              </w:tc>
              <w:tc>
                <w:tcPr>
                  <w:tcW w:w="827" w:type="pct"/>
                  <w:tcBorders>
                    <w:tl2br w:val="nil"/>
                    <w:tr2bl w:val="nil"/>
                  </w:tcBorders>
                  <w:noWrap w:val="0"/>
                  <w:vAlign w:val="center"/>
                </w:tcPr>
                <w:p w14:paraId="6D5AE6DB">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850</w:t>
                  </w:r>
                </w:p>
              </w:tc>
              <w:tc>
                <w:tcPr>
                  <w:tcW w:w="775" w:type="pct"/>
                  <w:tcBorders>
                    <w:tl2br w:val="nil"/>
                    <w:tr2bl w:val="nil"/>
                  </w:tcBorders>
                  <w:noWrap w:val="0"/>
                  <w:vAlign w:val="center"/>
                </w:tcPr>
                <w:p w14:paraId="60C693C0">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278" w:type="pct"/>
                  <w:vMerge w:val="continue"/>
                  <w:tcBorders>
                    <w:tl2br w:val="nil"/>
                    <w:tr2bl w:val="nil"/>
                  </w:tcBorders>
                  <w:noWrap w:val="0"/>
                  <w:vAlign w:val="center"/>
                </w:tcPr>
                <w:p w14:paraId="633F15FD">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tc>
            </w:tr>
            <w:tr w14:paraId="2F9B45F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55" w:type="pct"/>
                  <w:vMerge w:val="continue"/>
                  <w:tcBorders>
                    <w:tl2br w:val="nil"/>
                    <w:tr2bl w:val="nil"/>
                  </w:tcBorders>
                  <w:noWrap w:val="0"/>
                  <w:vAlign w:val="center"/>
                </w:tcPr>
                <w:p w14:paraId="7917D191">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lang w:eastAsia="zh-CN"/>
                      <w14:textFill>
                        <w14:solidFill>
                          <w14:schemeClr w14:val="tx1"/>
                        </w14:solidFill>
                      </w14:textFill>
                    </w:rPr>
                  </w:pPr>
                </w:p>
              </w:tc>
              <w:tc>
                <w:tcPr>
                  <w:tcW w:w="1061" w:type="pct"/>
                  <w:tcBorders>
                    <w:tl2br w:val="nil"/>
                    <w:tr2bl w:val="nil"/>
                  </w:tcBorders>
                  <w:noWrap w:val="0"/>
                  <w:vAlign w:val="center"/>
                </w:tcPr>
                <w:p w14:paraId="19D2B9A2">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烟气黑度</w:t>
                  </w:r>
                </w:p>
              </w:tc>
              <w:tc>
                <w:tcPr>
                  <w:tcW w:w="1603" w:type="pct"/>
                  <w:gridSpan w:val="2"/>
                  <w:tcBorders>
                    <w:tl2br w:val="nil"/>
                    <w:tr2bl w:val="nil"/>
                  </w:tcBorders>
                  <w:noWrap w:val="0"/>
                  <w:vAlign w:val="center"/>
                </w:tcPr>
                <w:p w14:paraId="558C2A6E">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1级</w:t>
                  </w:r>
                </w:p>
              </w:tc>
              <w:tc>
                <w:tcPr>
                  <w:tcW w:w="1278" w:type="pct"/>
                  <w:vMerge w:val="continue"/>
                  <w:tcBorders>
                    <w:tl2br w:val="nil"/>
                    <w:tr2bl w:val="nil"/>
                  </w:tcBorders>
                  <w:noWrap w:val="0"/>
                  <w:vAlign w:val="center"/>
                </w:tcPr>
                <w:p w14:paraId="7C99EF14">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tc>
            </w:tr>
            <w:tr w14:paraId="3FCDA47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5" w:type="pct"/>
                  <w:vMerge w:val="continue"/>
                  <w:tcBorders>
                    <w:tl2br w:val="nil"/>
                    <w:tr2bl w:val="nil"/>
                  </w:tcBorders>
                  <w:noWrap w:val="0"/>
                  <w:vAlign w:val="center"/>
                </w:tcPr>
                <w:p w14:paraId="07F70467">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lang w:eastAsia="zh-CN"/>
                      <w14:textFill>
                        <w14:solidFill>
                          <w14:schemeClr w14:val="tx1"/>
                        </w14:solidFill>
                      </w14:textFill>
                    </w:rPr>
                  </w:pPr>
                </w:p>
              </w:tc>
              <w:tc>
                <w:tcPr>
                  <w:tcW w:w="1061" w:type="pct"/>
                  <w:tcBorders>
                    <w:tl2br w:val="nil"/>
                    <w:tr2bl w:val="nil"/>
                  </w:tcBorders>
                  <w:noWrap w:val="0"/>
                  <w:vAlign w:val="center"/>
                </w:tcPr>
                <w:p w14:paraId="3B308591">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氮氧化物</w:t>
                  </w:r>
                </w:p>
              </w:tc>
              <w:tc>
                <w:tcPr>
                  <w:tcW w:w="827" w:type="pct"/>
                  <w:tcBorders>
                    <w:tl2br w:val="nil"/>
                    <w:tr2bl w:val="nil"/>
                  </w:tcBorders>
                  <w:noWrap w:val="0"/>
                  <w:vAlign w:val="center"/>
                </w:tcPr>
                <w:p w14:paraId="053443BD">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240</w:t>
                  </w:r>
                </w:p>
              </w:tc>
              <w:tc>
                <w:tcPr>
                  <w:tcW w:w="775" w:type="pct"/>
                  <w:tcBorders>
                    <w:tl2br w:val="nil"/>
                    <w:tr2bl w:val="nil"/>
                  </w:tcBorders>
                  <w:noWrap w:val="0"/>
                  <w:vAlign w:val="center"/>
                </w:tcPr>
                <w:p w14:paraId="2542B0EC">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0.77</w:t>
                  </w:r>
                </w:p>
              </w:tc>
              <w:tc>
                <w:tcPr>
                  <w:tcW w:w="1278" w:type="pct"/>
                  <w:vMerge w:val="restart"/>
                  <w:tcBorders>
                    <w:tl2br w:val="nil"/>
                    <w:tr2bl w:val="nil"/>
                  </w:tcBorders>
                  <w:noWrap w:val="0"/>
                  <w:vAlign w:val="center"/>
                </w:tcPr>
                <w:p w14:paraId="75C31E81">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《大气污染物综合排放标准》（GB16297-1996）</w:t>
                  </w:r>
                </w:p>
              </w:tc>
            </w:tr>
            <w:tr w14:paraId="5893968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5" w:type="pct"/>
                  <w:vMerge w:val="continue"/>
                  <w:tcBorders>
                    <w:tl2br w:val="nil"/>
                    <w:tr2bl w:val="nil"/>
                  </w:tcBorders>
                  <w:noWrap w:val="0"/>
                  <w:vAlign w:val="center"/>
                </w:tcPr>
                <w:p w14:paraId="5C0C991D">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lang w:eastAsia="zh-CN"/>
                      <w14:textFill>
                        <w14:solidFill>
                          <w14:schemeClr w14:val="tx1"/>
                        </w14:solidFill>
                      </w14:textFill>
                    </w:rPr>
                  </w:pPr>
                </w:p>
              </w:tc>
              <w:tc>
                <w:tcPr>
                  <w:tcW w:w="1061" w:type="pct"/>
                  <w:tcBorders>
                    <w:tl2br w:val="nil"/>
                    <w:tr2bl w:val="nil"/>
                  </w:tcBorders>
                  <w:noWrap w:val="0"/>
                  <w:vAlign w:val="center"/>
                </w:tcPr>
                <w:p w14:paraId="65449F79">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非甲烷总烃</w:t>
                  </w:r>
                </w:p>
              </w:tc>
              <w:tc>
                <w:tcPr>
                  <w:tcW w:w="827" w:type="pct"/>
                  <w:tcBorders>
                    <w:tl2br w:val="nil"/>
                    <w:tr2bl w:val="nil"/>
                  </w:tcBorders>
                  <w:noWrap w:val="0"/>
                  <w:vAlign w:val="center"/>
                </w:tcPr>
                <w:p w14:paraId="73E1D325">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120</w:t>
                  </w:r>
                </w:p>
              </w:tc>
              <w:tc>
                <w:tcPr>
                  <w:tcW w:w="775" w:type="pct"/>
                  <w:tcBorders>
                    <w:tl2br w:val="nil"/>
                    <w:tr2bl w:val="nil"/>
                  </w:tcBorders>
                  <w:noWrap w:val="0"/>
                  <w:vAlign w:val="center"/>
                </w:tcPr>
                <w:p w14:paraId="573F4518">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c>
                <w:tcPr>
                  <w:tcW w:w="1278" w:type="pct"/>
                  <w:vMerge w:val="continue"/>
                  <w:tcBorders>
                    <w:tl2br w:val="nil"/>
                    <w:tr2bl w:val="nil"/>
                  </w:tcBorders>
                  <w:noWrap w:val="0"/>
                  <w:vAlign w:val="center"/>
                </w:tcPr>
                <w:p w14:paraId="1F210F2F">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tc>
            </w:tr>
            <w:tr w14:paraId="485611A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5" w:type="pct"/>
                  <w:tcBorders>
                    <w:tl2br w:val="nil"/>
                    <w:tr2bl w:val="nil"/>
                  </w:tcBorders>
                  <w:noWrap w:val="0"/>
                  <w:vAlign w:val="center"/>
                </w:tcPr>
                <w:p w14:paraId="15A4CC0D">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DA002排气筒</w:t>
                  </w:r>
                </w:p>
              </w:tc>
              <w:tc>
                <w:tcPr>
                  <w:tcW w:w="1061" w:type="pct"/>
                  <w:tcBorders>
                    <w:tl2br w:val="nil"/>
                    <w:tr2bl w:val="nil"/>
                  </w:tcBorders>
                  <w:noWrap w:val="0"/>
                  <w:vAlign w:val="center"/>
                </w:tcPr>
                <w:p w14:paraId="66F1C56D">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颗粒物</w:t>
                  </w:r>
                </w:p>
              </w:tc>
              <w:tc>
                <w:tcPr>
                  <w:tcW w:w="827" w:type="pct"/>
                  <w:tcBorders>
                    <w:tl2br w:val="nil"/>
                    <w:tr2bl w:val="nil"/>
                  </w:tcBorders>
                  <w:noWrap w:val="0"/>
                  <w:vAlign w:val="center"/>
                </w:tcPr>
                <w:p w14:paraId="72A0DA6B">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120</w:t>
                  </w:r>
                </w:p>
              </w:tc>
              <w:tc>
                <w:tcPr>
                  <w:tcW w:w="775" w:type="pct"/>
                  <w:tcBorders>
                    <w:tl2br w:val="nil"/>
                    <w:tr2bl w:val="nil"/>
                  </w:tcBorders>
                  <w:noWrap w:val="0"/>
                  <w:vAlign w:val="center"/>
                </w:tcPr>
                <w:p w14:paraId="49B55F15">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3.5</w:t>
                  </w:r>
                </w:p>
              </w:tc>
              <w:tc>
                <w:tcPr>
                  <w:tcW w:w="1278" w:type="pct"/>
                  <w:tcBorders>
                    <w:tl2br w:val="nil"/>
                    <w:tr2bl w:val="nil"/>
                  </w:tcBorders>
                  <w:noWrap w:val="0"/>
                  <w:vAlign w:val="center"/>
                </w:tcPr>
                <w:p w14:paraId="09D3F129">
                  <w:pPr>
                    <w:pStyle w:val="123"/>
                    <w:keepNext w:val="0"/>
                    <w:keepLines w:val="0"/>
                    <w:pageBreakBefore w:val="0"/>
                    <w:widowControl/>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《大气污染物综合排放标准》（GB16297-1996）</w:t>
                  </w:r>
                </w:p>
              </w:tc>
            </w:tr>
          </w:tbl>
          <w:p w14:paraId="4D3379E3">
            <w:pPr>
              <w:pStyle w:val="44"/>
              <w:pageBreakBefore w:val="0"/>
              <w:kinsoku/>
              <w:overflowPunct/>
              <w:topLinePunct w:val="0"/>
              <w:bidi w:val="0"/>
              <w:ind w:left="0" w:leftChars="0" w:right="0" w:firstLine="482"/>
              <w:rPr>
                <w:rFonts w:hint="default" w:ascii="Times New Roman" w:hAnsi="Times New Roman" w:cs="Times New Roman"/>
                <w:b/>
                <w:bCs/>
                <w:color w:val="000000" w:themeColor="text1"/>
                <w:lang w:val="en-US" w:eastAsia="zh-CN"/>
                <w14:textFill>
                  <w14:solidFill>
                    <w14:schemeClr w14:val="tx1"/>
                  </w14:solidFill>
                </w14:textFill>
              </w:rPr>
            </w:pPr>
          </w:p>
          <w:p w14:paraId="5480C4FE">
            <w:pPr>
              <w:pStyle w:val="44"/>
              <w:pageBreakBefore w:val="0"/>
              <w:kinsoku/>
              <w:overflowPunct/>
              <w:topLinePunct w:val="0"/>
              <w:bidi w:val="0"/>
              <w:ind w:left="0" w:leftChars="0" w:right="0" w:firstLine="482"/>
              <w:rPr>
                <w:rFonts w:hint="default" w:ascii="Times New Roman" w:hAnsi="Times New Roman" w:cs="Times New Roman"/>
                <w:b/>
                <w:bCs/>
                <w:color w:val="000000" w:themeColor="text1"/>
                <w:lang w:val="en-US" w:eastAsia="zh-CN"/>
                <w14:textFill>
                  <w14:solidFill>
                    <w14:schemeClr w14:val="tx1"/>
                  </w14:solidFill>
                </w14:textFill>
              </w:rPr>
            </w:pPr>
          </w:p>
          <w:p w14:paraId="37D22229">
            <w:pPr>
              <w:pStyle w:val="44"/>
              <w:pageBreakBefore w:val="0"/>
              <w:kinsoku/>
              <w:overflowPunct/>
              <w:topLinePunct w:val="0"/>
              <w:bidi w:val="0"/>
              <w:ind w:left="0" w:leftChars="0" w:right="0" w:firstLine="48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2）</w:t>
            </w:r>
            <w:r>
              <w:rPr>
                <w:rFonts w:hint="default" w:ascii="Times New Roman" w:hAnsi="Times New Roman" w:cs="Times New Roman"/>
                <w:b/>
                <w:bCs/>
                <w:color w:val="000000" w:themeColor="text1"/>
                <w14:textFill>
                  <w14:solidFill>
                    <w14:schemeClr w14:val="tx1"/>
                  </w14:solidFill>
                </w14:textFill>
              </w:rPr>
              <w:t>无组织废气</w:t>
            </w:r>
          </w:p>
          <w:p w14:paraId="04F193C9">
            <w:pPr>
              <w:pStyle w:val="44"/>
              <w:pageBreakBefore w:val="0"/>
              <w:kinsoku/>
              <w:overflowPunct/>
              <w:topLinePunct w:val="0"/>
              <w:bidi w:val="0"/>
              <w:ind w:left="0" w:leftChars="0" w:right="0" w:firstLine="480"/>
              <w:rPr>
                <w:rFonts w:hint="default" w:ascii="Times New Roman" w:hAnsi="Times New Roman" w:cs="Times New Roman"/>
                <w:color w:val="000000" w:themeColor="text1"/>
                <w:shd w:val="clear" w:color="auto" w:fill="auto"/>
                <w:lang w:val="en-US" w:eastAsia="zh-CN"/>
                <w14:textFill>
                  <w14:solidFill>
                    <w14:schemeClr w14:val="tx1"/>
                  </w14:solidFill>
                </w14:textFill>
              </w:rPr>
            </w:pP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①本项目</w:t>
            </w:r>
            <w:r>
              <w:rPr>
                <w:rFonts w:hint="eastAsia" w:ascii="Times New Roman" w:hAnsi="Times New Roman" w:cs="Times New Roman"/>
                <w:b w:val="0"/>
                <w:bCs w:val="0"/>
                <w:color w:val="000000" w:themeColor="text1"/>
                <w:kern w:val="2"/>
                <w:sz w:val="24"/>
                <w:szCs w:val="24"/>
                <w:lang w:val="en-US" w:eastAsia="zh-CN" w:bidi="ar-SA"/>
                <w14:textFill>
                  <w14:solidFill>
                    <w14:schemeClr w14:val="tx1"/>
                  </w14:solidFill>
                </w14:textFill>
              </w:rPr>
              <w:t>液化石油气钢瓶</w:t>
            </w: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手工刷字废气无组织排放</w:t>
            </w:r>
            <w:r>
              <w:rPr>
                <w:rFonts w:hint="eastAsia"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b w:val="0"/>
                <w:bCs w:val="0"/>
                <w:color w:val="000000" w:themeColor="text1"/>
                <w:kern w:val="2"/>
                <w:sz w:val="24"/>
                <w:szCs w:val="24"/>
                <w:lang w:val="en-US" w:eastAsia="zh-CN" w:bidi="ar-SA"/>
                <w14:textFill>
                  <w14:solidFill>
                    <w14:schemeClr w14:val="tx1"/>
                  </w14:solidFill>
                </w14:textFill>
              </w:rPr>
              <w:t>液化石油气钢瓶抽残环节会产生少部分逸散废气</w:t>
            </w: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color w:val="000000" w:themeColor="text1"/>
                <w:shd w:val="clear" w:color="auto" w:fill="auto"/>
                <w:lang w:eastAsia="zh-CN"/>
                <w14:textFill>
                  <w14:solidFill>
                    <w14:schemeClr w14:val="tx1"/>
                  </w14:solidFill>
                </w14:textFill>
              </w:rPr>
              <w:t>项目厂界无组织废气中非甲烷总烃、颗粒物执行</w:t>
            </w:r>
            <w:r>
              <w:rPr>
                <w:rFonts w:hint="default" w:ascii="Times New Roman" w:hAnsi="Times New Roman" w:eastAsia="宋体" w:cs="Times New Roman"/>
                <w:color w:val="000000" w:themeColor="text1"/>
                <w:lang w:val="en-US" w:eastAsia="zh-CN"/>
                <w14:textFill>
                  <w14:solidFill>
                    <w14:schemeClr w14:val="tx1"/>
                  </w14:solidFill>
                </w14:textFill>
              </w:rPr>
              <w:t>《大气污染物综合排放标准》（GB16297-1996）中表2无组织监控浓度限值</w:t>
            </w:r>
            <w:r>
              <w:rPr>
                <w:rFonts w:hint="eastAsia" w:cs="Times New Roman"/>
                <w:color w:val="000000" w:themeColor="text1"/>
                <w:lang w:val="en-US" w:eastAsia="zh-CN"/>
                <w14:textFill>
                  <w14:solidFill>
                    <w14:schemeClr w14:val="tx1"/>
                  </w14:solidFill>
                </w14:textFill>
              </w:rPr>
              <w:t>、臭气浓度执行《恶臭污染物排放标准》（GB14554-93）中表1二级标准限值</w:t>
            </w:r>
            <w:r>
              <w:rPr>
                <w:rFonts w:hint="default" w:ascii="Times New Roman" w:hAnsi="Times New Roman" w:eastAsia="宋体" w:cs="Times New Roman"/>
                <w:color w:val="000000" w:themeColor="text1"/>
                <w:lang w:val="en-US" w:eastAsia="zh-CN"/>
                <w14:textFill>
                  <w14:solidFill>
                    <w14:schemeClr w14:val="tx1"/>
                  </w14:solidFill>
                </w14:textFill>
              </w:rPr>
              <w:t>。</w:t>
            </w:r>
          </w:p>
          <w:p w14:paraId="6A4E68FD">
            <w:pPr>
              <w:pStyle w:val="44"/>
              <w:keepNext w:val="0"/>
              <w:keepLines w:val="0"/>
              <w:pageBreakBefore w:val="0"/>
              <w:widowControl w:val="0"/>
              <w:kinsoku/>
              <w:wordWrap w:val="0"/>
              <w:overflowPunct/>
              <w:topLinePunct w:val="0"/>
              <w:autoSpaceDE/>
              <w:autoSpaceDN/>
              <w:bidi w:val="0"/>
              <w:adjustRightInd/>
              <w:snapToGrid/>
              <w:ind w:left="0" w:leftChars="0" w:right="0" w:firstLine="480"/>
              <w:textAlignment w:val="auto"/>
              <w:rPr>
                <w:rFonts w:hint="default" w:ascii="Times New Roman" w:hAnsi="Times New Roman" w:eastAsia="宋体" w:cs="Times New Roman"/>
                <w:color w:val="000000" w:themeColor="text1"/>
                <w:shd w:val="clear" w:color="auto" w:fill="auto"/>
                <w:lang w:eastAsia="zh-CN"/>
                <w14:textFill>
                  <w14:solidFill>
                    <w14:schemeClr w14:val="tx1"/>
                  </w14:solidFill>
                </w14:textFill>
              </w:rPr>
            </w:pPr>
            <w:r>
              <w:rPr>
                <w:rFonts w:hint="default" w:ascii="Times New Roman" w:hAnsi="Times New Roman" w:cs="Times New Roman"/>
                <w:b w:val="0"/>
                <w:bCs w:val="0"/>
                <w:color w:val="000000" w:themeColor="text1"/>
                <w:sz w:val="24"/>
                <w:lang w:val="en-US" w:eastAsia="zh-CN"/>
                <w14:textFill>
                  <w14:solidFill>
                    <w14:schemeClr w14:val="tx1"/>
                  </w14:solidFill>
                </w14:textFill>
              </w:rPr>
              <w:t>②</w:t>
            </w:r>
            <w:r>
              <w:rPr>
                <w:rFonts w:hint="default" w:ascii="Times New Roman" w:hAnsi="Times New Roman" w:eastAsia="宋体" w:cs="Times New Roman"/>
                <w:color w:val="000000" w:themeColor="text1"/>
                <w:shd w:val="clear" w:color="auto" w:fill="auto"/>
                <w:lang w:val="en-US" w:eastAsia="zh-CN"/>
                <w14:textFill>
                  <w14:solidFill>
                    <w14:schemeClr w14:val="tx1"/>
                  </w14:solidFill>
                </w14:textFill>
              </w:rPr>
              <w:t>厂区内无组织</w:t>
            </w:r>
            <w:r>
              <w:rPr>
                <w:rFonts w:hint="eastAsia" w:cs="Times New Roman"/>
                <w:color w:val="000000" w:themeColor="text1"/>
                <w:shd w:val="clear" w:color="auto" w:fill="auto"/>
                <w:lang w:val="en-US" w:eastAsia="zh-CN"/>
                <w14:textFill>
                  <w14:solidFill>
                    <w14:schemeClr w14:val="tx1"/>
                  </w14:solidFill>
                </w14:textFill>
              </w:rPr>
              <w:t>非甲烷总烃</w:t>
            </w:r>
            <w:r>
              <w:rPr>
                <w:rFonts w:hint="default" w:ascii="Times New Roman" w:hAnsi="Times New Roman" w:eastAsia="宋体" w:cs="Times New Roman"/>
                <w:color w:val="000000" w:themeColor="text1"/>
                <w:shd w:val="clear" w:color="auto" w:fill="auto"/>
                <w:lang w:val="en-US" w:eastAsia="zh-CN"/>
                <w14:textFill>
                  <w14:solidFill>
                    <w14:schemeClr w14:val="tx1"/>
                  </w14:solidFill>
                </w14:textFill>
              </w:rPr>
              <w:t>执行《挥发性有机物无组织排放控制标准（GB37822-2019）》表 A.1 厂区内无组织排放限值要求。</w:t>
            </w:r>
          </w:p>
          <w:p w14:paraId="292B10DA">
            <w:pPr>
              <w:keepNext w:val="0"/>
              <w:keepLines w:val="0"/>
              <w:pageBreakBefore w:val="0"/>
              <w:widowControl/>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表</w:t>
            </w:r>
            <w:r>
              <w:rPr>
                <w:rFonts w:hint="default" w:ascii="Times New Roman" w:hAnsi="Times New Roman" w:cs="Times New Roman"/>
                <w:b/>
                <w:bCs/>
                <w:color w:val="000000" w:themeColor="text1"/>
                <w:kern w:val="0"/>
                <w:sz w:val="21"/>
                <w:szCs w:val="21"/>
                <w:lang w:val="en-US" w:eastAsia="zh-CN" w:bidi="ar"/>
                <w14:textFill>
                  <w14:solidFill>
                    <w14:schemeClr w14:val="tx1"/>
                  </w14:solidFill>
                </w14:textFill>
              </w:rPr>
              <w:t>3-10</w:t>
            </w:r>
            <w:r>
              <w:rPr>
                <w:rFonts w:hint="default" w:ascii="Times New Roman" w:hAnsi="Times New Roman" w:cs="Times New Roman"/>
                <w:b/>
                <w:bCs/>
                <w:color w:val="000000" w:themeColor="text1"/>
                <w:kern w:val="0"/>
                <w:sz w:val="21"/>
                <w:szCs w:val="21"/>
                <w:lang w:bidi="ar"/>
                <w14:textFill>
                  <w14:solidFill>
                    <w14:schemeClr w14:val="tx1"/>
                  </w14:solidFill>
                </w14:textFill>
              </w:rPr>
              <w:t xml:space="preserve">  厂界无组织废气排放标准</w:t>
            </w:r>
          </w:p>
          <w:tbl>
            <w:tblPr>
              <w:tblStyle w:val="3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756"/>
            </w:tblGrid>
            <w:tr w14:paraId="50FA3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2682" w:type="pct"/>
                  <w:vAlign w:val="center"/>
                </w:tcPr>
                <w:p w14:paraId="7CDCCEF8">
                  <w:pPr>
                    <w:keepNext w:val="0"/>
                    <w:keepLines w:val="0"/>
                    <w:pageBreakBefore w:val="0"/>
                    <w:widowControl/>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lang w:bidi="ar"/>
                      <w14:textFill>
                        <w14:solidFill>
                          <w14:schemeClr w14:val="tx1"/>
                        </w14:solidFill>
                      </w14:textFill>
                    </w:rPr>
                    <w:t>污染物</w:t>
                  </w:r>
                </w:p>
              </w:tc>
              <w:tc>
                <w:tcPr>
                  <w:tcW w:w="2317" w:type="pct"/>
                  <w:vAlign w:val="center"/>
                </w:tcPr>
                <w:p w14:paraId="7B209FC4">
                  <w:pPr>
                    <w:keepNext w:val="0"/>
                    <w:keepLines w:val="0"/>
                    <w:pageBreakBefore w:val="0"/>
                    <w:widowControl/>
                    <w:tabs>
                      <w:tab w:val="left" w:pos="4830"/>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kern w:val="0"/>
                      <w:sz w:val="21"/>
                      <w:szCs w:val="21"/>
                      <w:lang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lang w:bidi="ar"/>
                      <w14:textFill>
                        <w14:solidFill>
                          <w14:schemeClr w14:val="tx1"/>
                        </w14:solidFill>
                      </w14:textFill>
                    </w:rPr>
                    <w:t>无组织排放监控浓度限值浓度（mg/m³）</w:t>
                  </w:r>
                </w:p>
              </w:tc>
            </w:tr>
            <w:tr w14:paraId="65C9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2" w:type="pct"/>
                  <w:vAlign w:val="center"/>
                </w:tcPr>
                <w:p w14:paraId="0DA614D0">
                  <w:pPr>
                    <w:keepNext w:val="0"/>
                    <w:keepLines w:val="0"/>
                    <w:pageBreakBefore w:val="0"/>
                    <w:widowControl/>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非甲烷总烃（NMHC）</w:t>
                  </w:r>
                </w:p>
              </w:tc>
              <w:tc>
                <w:tcPr>
                  <w:tcW w:w="3756" w:type="dxa"/>
                  <w:vAlign w:val="center"/>
                </w:tcPr>
                <w:p w14:paraId="752A428E">
                  <w:pPr>
                    <w:keepNext w:val="0"/>
                    <w:keepLines w:val="0"/>
                    <w:pageBreakBefore w:val="0"/>
                    <w:widowControl/>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4.0</w:t>
                  </w:r>
                </w:p>
              </w:tc>
            </w:tr>
            <w:tr w14:paraId="43705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2" w:type="pct"/>
                  <w:vAlign w:val="center"/>
                </w:tcPr>
                <w:p w14:paraId="20F35451">
                  <w:pPr>
                    <w:keepNext w:val="0"/>
                    <w:keepLines w:val="0"/>
                    <w:pageBreakBefore w:val="0"/>
                    <w:widowControl/>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颗粒物</w:t>
                  </w:r>
                </w:p>
              </w:tc>
              <w:tc>
                <w:tcPr>
                  <w:tcW w:w="3756" w:type="dxa"/>
                  <w:vAlign w:val="center"/>
                </w:tcPr>
                <w:p w14:paraId="0CEA417F">
                  <w:pPr>
                    <w:keepNext w:val="0"/>
                    <w:keepLines w:val="0"/>
                    <w:pageBreakBefore w:val="0"/>
                    <w:widowControl/>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1.0</w:t>
                  </w:r>
                </w:p>
              </w:tc>
            </w:tr>
            <w:tr w14:paraId="43B6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2" w:type="pct"/>
                  <w:vAlign w:val="center"/>
                </w:tcPr>
                <w:p w14:paraId="4B553DF4">
                  <w:pPr>
                    <w:keepNext w:val="0"/>
                    <w:keepLines w:val="0"/>
                    <w:pageBreakBefore w:val="0"/>
                    <w:widowControl/>
                    <w:tabs>
                      <w:tab w:val="left" w:pos="4830"/>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eastAsia="zh-CN" w:bidi="ar"/>
                      <w14:textFill>
                        <w14:solidFill>
                          <w14:schemeClr w14:val="tx1"/>
                        </w14:solidFill>
                      </w14:textFill>
                    </w:rPr>
                  </w:pPr>
                  <w:r>
                    <w:rPr>
                      <w:rFonts w:hint="eastAsia" w:cs="Times New Roman"/>
                      <w:color w:val="000000" w:themeColor="text1"/>
                      <w:kern w:val="0"/>
                      <w:sz w:val="21"/>
                      <w:szCs w:val="21"/>
                      <w:lang w:eastAsia="zh-CN" w:bidi="ar"/>
                      <w14:textFill>
                        <w14:solidFill>
                          <w14:schemeClr w14:val="tx1"/>
                        </w14:solidFill>
                      </w14:textFill>
                    </w:rPr>
                    <w:t>臭气浓度</w:t>
                  </w:r>
                </w:p>
              </w:tc>
              <w:tc>
                <w:tcPr>
                  <w:tcW w:w="2317" w:type="pct"/>
                  <w:vAlign w:val="center"/>
                </w:tcPr>
                <w:p w14:paraId="66FC1174">
                  <w:pPr>
                    <w:keepNext w:val="0"/>
                    <w:keepLines w:val="0"/>
                    <w:pageBreakBefore w:val="0"/>
                    <w:widowControl/>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20（无量纲）</w:t>
                  </w:r>
                </w:p>
              </w:tc>
            </w:tr>
          </w:tbl>
          <w:p w14:paraId="4B70D049">
            <w:pPr>
              <w:pStyle w:val="10"/>
              <w:tabs>
                <w:tab w:val="left" w:pos="4830"/>
              </w:tabs>
              <w:spacing w:before="0" w:after="0" w:line="240" w:lineRule="auto"/>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表3-1</w:t>
            </w:r>
            <w:r>
              <w:rPr>
                <w:rFonts w:hint="default" w:ascii="Times New Roman" w:hAnsi="Times New Roman" w:cs="Times New Roman"/>
                <w:b/>
                <w:bCs/>
                <w:color w:val="000000" w:themeColor="text1"/>
                <w:kern w:val="0"/>
                <w:sz w:val="21"/>
                <w:szCs w:val="21"/>
                <w:lang w:val="en-US" w:eastAsia="zh-CN" w:bidi="ar"/>
                <w14:textFill>
                  <w14:solidFill>
                    <w14:schemeClr w14:val="tx1"/>
                  </w14:solidFill>
                </w14:textFill>
              </w:rPr>
              <w:t>1</w:t>
            </w:r>
            <w:r>
              <w:rPr>
                <w:rFonts w:hint="default" w:ascii="Times New Roman" w:hAnsi="Times New Roman" w:cs="Times New Roman"/>
                <w:b/>
                <w:bCs/>
                <w:color w:val="000000" w:themeColor="text1"/>
                <w:kern w:val="0"/>
                <w:sz w:val="21"/>
                <w:szCs w:val="21"/>
                <w:lang w:bidi="ar"/>
                <w14:textFill>
                  <w14:solidFill>
                    <w14:schemeClr w14:val="tx1"/>
                  </w14:solidFill>
                </w14:textFill>
              </w:rPr>
              <w:t xml:space="preserve"> 厂区内非甲烷总烃无组织排放限值     单位：mg/m³</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1"/>
              <w:gridCol w:w="1553"/>
              <w:gridCol w:w="3211"/>
              <w:gridCol w:w="1657"/>
            </w:tblGrid>
            <w:tr w14:paraId="111C7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7" w:type="pct"/>
                  <w:vAlign w:val="center"/>
                </w:tcPr>
                <w:p w14:paraId="639652BC">
                  <w:pPr>
                    <w:pStyle w:val="10"/>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污染物</w:t>
                  </w:r>
                </w:p>
              </w:tc>
              <w:tc>
                <w:tcPr>
                  <w:tcW w:w="958" w:type="pct"/>
                  <w:vAlign w:val="center"/>
                </w:tcPr>
                <w:p w14:paraId="29E7908E">
                  <w:pPr>
                    <w:keepNext w:val="0"/>
                    <w:keepLines w:val="0"/>
                    <w:pageBreakBefore w:val="0"/>
                    <w:widowControl/>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排放限值</w:t>
                  </w:r>
                </w:p>
              </w:tc>
              <w:tc>
                <w:tcPr>
                  <w:tcW w:w="1981" w:type="pct"/>
                  <w:vAlign w:val="center"/>
                </w:tcPr>
                <w:p w14:paraId="44C19E58">
                  <w:pPr>
                    <w:keepNext w:val="0"/>
                    <w:keepLines w:val="0"/>
                    <w:pageBreakBefore w:val="0"/>
                    <w:widowControl/>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限值含义</w:t>
                  </w:r>
                </w:p>
              </w:tc>
              <w:tc>
                <w:tcPr>
                  <w:tcW w:w="1022" w:type="pct"/>
                  <w:vAlign w:val="center"/>
                </w:tcPr>
                <w:p w14:paraId="681626FF">
                  <w:pPr>
                    <w:keepNext w:val="0"/>
                    <w:keepLines w:val="0"/>
                    <w:pageBreakBefore w:val="0"/>
                    <w:widowControl/>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无组织排放监控位置</w:t>
                  </w:r>
                </w:p>
              </w:tc>
            </w:tr>
            <w:tr w14:paraId="2A5F7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7" w:type="pct"/>
                  <w:vMerge w:val="restart"/>
                  <w:vAlign w:val="center"/>
                </w:tcPr>
                <w:p w14:paraId="3163246F">
                  <w:pPr>
                    <w:keepNext w:val="0"/>
                    <w:keepLines w:val="0"/>
                    <w:pageBreakBefore w:val="0"/>
                    <w:widowControl/>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非甲烷总烃</w:t>
                  </w:r>
                </w:p>
                <w:p w14:paraId="4B2CF085">
                  <w:pPr>
                    <w:keepNext w:val="0"/>
                    <w:keepLines w:val="0"/>
                    <w:pageBreakBefore w:val="0"/>
                    <w:widowControl/>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（NMHC）</w:t>
                  </w:r>
                </w:p>
              </w:tc>
              <w:tc>
                <w:tcPr>
                  <w:tcW w:w="958" w:type="pct"/>
                  <w:vAlign w:val="center"/>
                </w:tcPr>
                <w:p w14:paraId="27198877">
                  <w:pPr>
                    <w:pStyle w:val="10"/>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10</w:t>
                  </w:r>
                </w:p>
              </w:tc>
              <w:tc>
                <w:tcPr>
                  <w:tcW w:w="1981" w:type="pct"/>
                  <w:vAlign w:val="center"/>
                </w:tcPr>
                <w:p w14:paraId="0DE3C819">
                  <w:pPr>
                    <w:pStyle w:val="10"/>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监控点处1h平均浓度</w:t>
                  </w:r>
                </w:p>
              </w:tc>
              <w:tc>
                <w:tcPr>
                  <w:tcW w:w="1022" w:type="pct"/>
                  <w:vMerge w:val="restart"/>
                  <w:vAlign w:val="center"/>
                </w:tcPr>
                <w:p w14:paraId="26D83BCF">
                  <w:pPr>
                    <w:pStyle w:val="10"/>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厂房外设置监控点</w:t>
                  </w:r>
                </w:p>
              </w:tc>
            </w:tr>
            <w:tr w14:paraId="3B391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pct"/>
                  <w:vMerge w:val="continue"/>
                  <w:vAlign w:val="center"/>
                </w:tcPr>
                <w:p w14:paraId="656373EB">
                  <w:pPr>
                    <w:keepNext w:val="0"/>
                    <w:keepLines w:val="0"/>
                    <w:pageBreakBefore w:val="0"/>
                    <w:widowControl/>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p>
              </w:tc>
              <w:tc>
                <w:tcPr>
                  <w:tcW w:w="958" w:type="pct"/>
                  <w:vAlign w:val="center"/>
                </w:tcPr>
                <w:p w14:paraId="47D4C223">
                  <w:pPr>
                    <w:pStyle w:val="10"/>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30</w:t>
                  </w:r>
                </w:p>
              </w:tc>
              <w:tc>
                <w:tcPr>
                  <w:tcW w:w="1981" w:type="pct"/>
                  <w:vAlign w:val="center"/>
                </w:tcPr>
                <w:p w14:paraId="19A43605">
                  <w:pPr>
                    <w:pStyle w:val="10"/>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监控点处任意一次浓度限值</w:t>
                  </w:r>
                </w:p>
              </w:tc>
              <w:tc>
                <w:tcPr>
                  <w:tcW w:w="1022" w:type="pct"/>
                  <w:vMerge w:val="continue"/>
                  <w:vAlign w:val="center"/>
                </w:tcPr>
                <w:p w14:paraId="2E259074">
                  <w:pPr>
                    <w:pStyle w:val="10"/>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r>
          </w:tbl>
          <w:p w14:paraId="5BAD813E">
            <w:pPr>
              <w:pStyle w:val="44"/>
              <w:pageBreakBefore w:val="0"/>
              <w:kinsoku/>
              <w:overflowPunct/>
              <w:topLinePunct w:val="0"/>
              <w:bidi w:val="0"/>
              <w:ind w:left="0" w:leftChars="0" w:right="0"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2、废水</w:t>
            </w:r>
          </w:p>
          <w:p w14:paraId="1B7E1459">
            <w:pPr>
              <w:pageBreakBefore w:val="0"/>
              <w:kinsoku/>
              <w:overflowPunct/>
              <w:topLinePunct w:val="0"/>
              <w:bidi w:val="0"/>
              <w:spacing w:line="360" w:lineRule="auto"/>
              <w:ind w:left="0" w:leftChars="0" w:right="0"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生产过程中水压试验、气密试验用水循环使用，</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定期补充新鲜水，</w:t>
            </w:r>
            <w:r>
              <w:rPr>
                <w:rFonts w:hint="default" w:ascii="Times New Roman" w:hAnsi="Times New Roman" w:cs="Times New Roman"/>
                <w:color w:val="000000" w:themeColor="text1"/>
                <w:sz w:val="24"/>
                <w:lang w:val="en-US" w:eastAsia="zh-CN"/>
                <w14:textFill>
                  <w14:solidFill>
                    <w14:schemeClr w14:val="tx1"/>
                  </w14:solidFill>
                </w14:textFill>
              </w:rPr>
              <w:t>不外排。</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喷淋塔定期补充新鲜水，循环使用，废液每年更换一次，废液经收集后暂存于危废暂存间，定期交由有危废资质的单位进行处置。</w:t>
            </w:r>
          </w:p>
          <w:p w14:paraId="7EB43BE0">
            <w:pPr>
              <w:pStyle w:val="19"/>
              <w:pageBreakBefore w:val="0"/>
              <w:kinsoku/>
              <w:overflowPunct/>
              <w:topLinePunct w:val="0"/>
              <w:bidi w:val="0"/>
              <w:adjustRightInd w:val="0"/>
              <w:snapToGrid w:val="0"/>
              <w:spacing w:line="336" w:lineRule="auto"/>
              <w:ind w:left="0" w:leftChars="0" w:right="0" w:firstLine="480" w:firstLineChars="200"/>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cs="Times New Roman"/>
                <w:b w:val="0"/>
                <w:bCs w:val="0"/>
                <w:color w:val="000000" w:themeColor="text1"/>
                <w:sz w:val="24"/>
                <w:lang w:eastAsia="zh-CN"/>
                <w14:textFill>
                  <w14:solidFill>
                    <w14:schemeClr w14:val="tx1"/>
                  </w14:solidFill>
                </w14:textFill>
              </w:rPr>
              <w:t>本项目设置</w:t>
            </w:r>
            <w:r>
              <w:rPr>
                <w:rFonts w:hint="default" w:ascii="Times New Roman" w:hAnsi="Times New Roman" w:cs="Times New Roman"/>
                <w:b w:val="0"/>
                <w:bCs w:val="0"/>
                <w:color w:val="000000" w:themeColor="text1"/>
                <w:sz w:val="24"/>
                <w:lang w:val="en-US" w:eastAsia="zh-CN"/>
                <w14:textFill>
                  <w14:solidFill>
                    <w14:schemeClr w14:val="tx1"/>
                  </w14:solidFill>
                </w14:textFill>
              </w:rPr>
              <w:t>1个1m</w:t>
            </w:r>
            <w:r>
              <w:rPr>
                <w:rFonts w:hint="default" w:ascii="Times New Roman" w:hAnsi="Times New Roman" w:cs="Times New Roman"/>
                <w:b w:val="0"/>
                <w:bCs w:val="0"/>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4"/>
                <w:lang w:val="en-US" w:eastAsia="zh-CN"/>
                <w14:textFill>
                  <w14:solidFill>
                    <w14:schemeClr w14:val="tx1"/>
                  </w14:solidFill>
                </w14:textFill>
              </w:rPr>
              <w:t>化粪池，1个1m</w:t>
            </w:r>
            <w:r>
              <w:rPr>
                <w:rFonts w:hint="default" w:ascii="Times New Roman" w:hAnsi="Times New Roman" w:cs="Times New Roman"/>
                <w:b w:val="0"/>
                <w:bCs w:val="0"/>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4"/>
                <w:lang w:val="en-US" w:eastAsia="zh-CN"/>
                <w14:textFill>
                  <w14:solidFill>
                    <w14:schemeClr w14:val="tx1"/>
                  </w14:solidFill>
                </w14:textFill>
              </w:rPr>
              <w:t>收集池，1个处理能力为1m</w:t>
            </w:r>
            <w:r>
              <w:rPr>
                <w:rFonts w:hint="default" w:ascii="Times New Roman" w:hAnsi="Times New Roman" w:cs="Times New Roman"/>
                <w:b w:val="0"/>
                <w:bCs w:val="0"/>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4"/>
                <w:lang w:val="en-US" w:eastAsia="zh-CN"/>
                <w14:textFill>
                  <w14:solidFill>
                    <w14:schemeClr w14:val="tx1"/>
                  </w14:solidFill>
                </w14:textFill>
              </w:rPr>
              <w:t>/d的一体化生活污水处理设施，生活污水经化粪池收集后进入一体化生活污水处理设施，经</w:t>
            </w:r>
            <w:r>
              <w:rPr>
                <w:rFonts w:hint="default" w:ascii="Times New Roman" w:hAnsi="Times New Roman" w:cs="Times New Roman"/>
                <w:bCs/>
                <w:color w:val="000000" w:themeColor="text1"/>
                <w:sz w:val="24"/>
                <w14:textFill>
                  <w14:solidFill>
                    <w14:schemeClr w14:val="tx1"/>
                  </w14:solidFill>
                </w14:textFill>
              </w:rPr>
              <w:t>处理达《城市污水再生利用 城市杂用水水质》（GB/T18920-2020）</w:t>
            </w:r>
            <w:r>
              <w:rPr>
                <w:rFonts w:hint="default" w:ascii="Times New Roman" w:hAnsi="Times New Roman" w:cs="Times New Roman"/>
                <w:bCs/>
                <w:color w:val="000000" w:themeColor="text1"/>
                <w:sz w:val="24"/>
                <w:lang w:eastAsia="zh-CN"/>
                <w14:textFill>
                  <w14:solidFill>
                    <w14:schemeClr w14:val="tx1"/>
                  </w14:solidFill>
                </w14:textFill>
              </w:rPr>
              <w:t>绿化标准后进入收集池</w:t>
            </w:r>
            <w:r>
              <w:rPr>
                <w:rFonts w:hint="default" w:ascii="Times New Roman" w:hAnsi="Times New Roman" w:cs="Times New Roman"/>
                <w:b w:val="0"/>
                <w:bCs w:val="0"/>
                <w:color w:val="000000" w:themeColor="text1"/>
                <w:sz w:val="24"/>
                <w:lang w:val="en-US"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回用于绿化</w:t>
            </w:r>
            <w:r>
              <w:rPr>
                <w:rFonts w:hint="default" w:ascii="Times New Roman" w:hAnsi="Times New Roman" w:cs="Times New Roman"/>
                <w:bCs/>
                <w:color w:val="000000" w:themeColor="text1"/>
                <w:sz w:val="24"/>
                <w:lang w:eastAsia="zh-CN"/>
                <w14:textFill>
                  <w14:solidFill>
                    <w14:schemeClr w14:val="tx1"/>
                  </w14:solidFill>
                </w14:textFill>
              </w:rPr>
              <w:t>，不外排。</w:t>
            </w:r>
          </w:p>
          <w:p w14:paraId="15AF9238">
            <w:pPr>
              <w:pStyle w:val="10"/>
              <w:widowControl/>
              <w:spacing w:line="240" w:lineRule="auto"/>
              <w:ind w:firstLine="422"/>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表3-1</w:t>
            </w:r>
            <w:r>
              <w:rPr>
                <w:rFonts w:hint="default" w:ascii="Times New Roman" w:hAnsi="Times New Roman" w:cs="Times New Roman"/>
                <w:b/>
                <w:bCs/>
                <w:color w:val="000000" w:themeColor="text1"/>
                <w:kern w:val="0"/>
                <w:sz w:val="21"/>
                <w:szCs w:val="21"/>
                <w:lang w:val="en-US" w:eastAsia="zh-CN"/>
                <w14:textFill>
                  <w14:solidFill>
                    <w14:schemeClr w14:val="tx1"/>
                  </w14:solidFill>
                </w14:textFill>
              </w:rPr>
              <w:t>2</w:t>
            </w:r>
            <w:r>
              <w:rPr>
                <w:rFonts w:hint="default" w:ascii="Times New Roman" w:hAnsi="Times New Roman" w:cs="Times New Roman"/>
                <w:b/>
                <w:bCs/>
                <w:color w:val="000000" w:themeColor="text1"/>
                <w:kern w:val="0"/>
                <w:sz w:val="21"/>
                <w:szCs w:val="21"/>
                <w14:textFill>
                  <w14:solidFill>
                    <w14:schemeClr w14:val="tx1"/>
                  </w14:solidFill>
                </w14:textFill>
              </w:rPr>
              <w:t xml:space="preserve"> 本项目废水执行标准</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3430"/>
              <w:gridCol w:w="3849"/>
            </w:tblGrid>
            <w:tr w14:paraId="7CAB4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508" w:type="pct"/>
                  <w:vAlign w:val="center"/>
                </w:tcPr>
                <w:p w14:paraId="36D8D909">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序号</w:t>
                  </w:r>
                </w:p>
              </w:tc>
              <w:tc>
                <w:tcPr>
                  <w:tcW w:w="2116" w:type="pct"/>
                  <w:vAlign w:val="center"/>
                </w:tcPr>
                <w:p w14:paraId="4F2BDCF7">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基本控制项目</w:t>
                  </w:r>
                </w:p>
              </w:tc>
              <w:tc>
                <w:tcPr>
                  <w:tcW w:w="2374" w:type="pct"/>
                  <w:vAlign w:val="center"/>
                </w:tcPr>
                <w:p w14:paraId="2AFCB4D7">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《城市污水再生利用 城市杂用水水质》城市绿化用水标准</w:t>
                  </w:r>
                </w:p>
              </w:tc>
            </w:tr>
            <w:tr w14:paraId="58E5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08" w:type="pct"/>
                  <w:vAlign w:val="center"/>
                </w:tcPr>
                <w:p w14:paraId="1033D0FF">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2116" w:type="pct"/>
                  <w:vAlign w:val="center"/>
                </w:tcPr>
                <w:p w14:paraId="29719E3E">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pH</w:t>
                  </w:r>
                </w:p>
              </w:tc>
              <w:tc>
                <w:tcPr>
                  <w:tcW w:w="2374" w:type="pct"/>
                  <w:vAlign w:val="center"/>
                </w:tcPr>
                <w:p w14:paraId="0C6625FA">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6~9</w:t>
                  </w:r>
                </w:p>
              </w:tc>
            </w:tr>
            <w:tr w14:paraId="3DB75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Align w:val="center"/>
                </w:tcPr>
                <w:p w14:paraId="21541E50">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2116" w:type="pct"/>
                  <w:vAlign w:val="center"/>
                </w:tcPr>
                <w:p w14:paraId="293D649E">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色度（稀释倍数）≤</w:t>
                  </w:r>
                </w:p>
              </w:tc>
              <w:tc>
                <w:tcPr>
                  <w:tcW w:w="2374" w:type="pct"/>
                  <w:vAlign w:val="center"/>
                </w:tcPr>
                <w:p w14:paraId="139CBF9D">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30</w:t>
                  </w:r>
                </w:p>
              </w:tc>
            </w:tr>
            <w:tr w14:paraId="08439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Align w:val="center"/>
                </w:tcPr>
                <w:p w14:paraId="40525F57">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w:t>
                  </w:r>
                </w:p>
              </w:tc>
              <w:tc>
                <w:tcPr>
                  <w:tcW w:w="2116" w:type="pct"/>
                  <w:vAlign w:val="center"/>
                </w:tcPr>
                <w:p w14:paraId="3E543FF3">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嗅</w:t>
                  </w:r>
                </w:p>
              </w:tc>
              <w:tc>
                <w:tcPr>
                  <w:tcW w:w="2374" w:type="pct"/>
                  <w:vAlign w:val="center"/>
                </w:tcPr>
                <w:p w14:paraId="41119439">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无不快感</w:t>
                  </w:r>
                </w:p>
              </w:tc>
            </w:tr>
            <w:tr w14:paraId="11035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Align w:val="center"/>
                </w:tcPr>
                <w:p w14:paraId="05C6B317">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w:t>
                  </w:r>
                </w:p>
              </w:tc>
              <w:tc>
                <w:tcPr>
                  <w:tcW w:w="2116" w:type="pct"/>
                  <w:vAlign w:val="center"/>
                </w:tcPr>
                <w:p w14:paraId="2FFB6B90">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浊度（NTU）≤</w:t>
                  </w:r>
                </w:p>
              </w:tc>
              <w:tc>
                <w:tcPr>
                  <w:tcW w:w="2374" w:type="pct"/>
                  <w:vAlign w:val="center"/>
                </w:tcPr>
                <w:p w14:paraId="148B54B5">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r>
            <w:tr w14:paraId="7213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Align w:val="center"/>
                </w:tcPr>
                <w:p w14:paraId="1B4A9B98">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w:t>
                  </w:r>
                </w:p>
              </w:tc>
              <w:tc>
                <w:tcPr>
                  <w:tcW w:w="2116" w:type="pct"/>
                  <w:vAlign w:val="center"/>
                </w:tcPr>
                <w:p w14:paraId="76A59A39">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五日生化需氧量（BOD5）≤</w:t>
                  </w:r>
                </w:p>
              </w:tc>
              <w:tc>
                <w:tcPr>
                  <w:tcW w:w="2374" w:type="pct"/>
                  <w:vAlign w:val="center"/>
                </w:tcPr>
                <w:p w14:paraId="27910879">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r>
            <w:tr w14:paraId="0003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Align w:val="center"/>
                </w:tcPr>
                <w:p w14:paraId="27F614A9">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w:t>
                  </w:r>
                </w:p>
              </w:tc>
              <w:tc>
                <w:tcPr>
                  <w:tcW w:w="2116" w:type="pct"/>
                  <w:vAlign w:val="center"/>
                </w:tcPr>
                <w:p w14:paraId="4A9B8919">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氨氮（以N计）≤</w:t>
                  </w:r>
                </w:p>
              </w:tc>
              <w:tc>
                <w:tcPr>
                  <w:tcW w:w="2374" w:type="pct"/>
                  <w:vAlign w:val="center"/>
                </w:tcPr>
                <w:p w14:paraId="32E80DF2">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w:t>
                  </w:r>
                </w:p>
              </w:tc>
            </w:tr>
            <w:tr w14:paraId="69CC1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Align w:val="center"/>
                </w:tcPr>
                <w:p w14:paraId="1A06AFE4">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w:t>
                  </w:r>
                </w:p>
              </w:tc>
              <w:tc>
                <w:tcPr>
                  <w:tcW w:w="2116" w:type="pct"/>
                  <w:vAlign w:val="center"/>
                </w:tcPr>
                <w:p w14:paraId="09A00A0E">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阴离子表面活性剂≤</w:t>
                  </w:r>
                </w:p>
              </w:tc>
              <w:tc>
                <w:tcPr>
                  <w:tcW w:w="2374" w:type="pct"/>
                  <w:vAlign w:val="center"/>
                </w:tcPr>
                <w:p w14:paraId="33A0284F">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0.5</w:t>
                  </w:r>
                </w:p>
              </w:tc>
            </w:tr>
            <w:tr w14:paraId="37B0C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Align w:val="center"/>
                </w:tcPr>
                <w:p w14:paraId="6FFDC5F6">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w:t>
                  </w:r>
                </w:p>
              </w:tc>
              <w:tc>
                <w:tcPr>
                  <w:tcW w:w="2116" w:type="pct"/>
                  <w:vAlign w:val="center"/>
                </w:tcPr>
                <w:p w14:paraId="52B33F27">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溶解性总固体≤</w:t>
                  </w:r>
                </w:p>
              </w:tc>
              <w:tc>
                <w:tcPr>
                  <w:tcW w:w="2374" w:type="pct"/>
                  <w:vAlign w:val="center"/>
                </w:tcPr>
                <w:p w14:paraId="39ED3883">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1000</w:t>
                  </w:r>
                </w:p>
              </w:tc>
            </w:tr>
            <w:tr w14:paraId="77151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Align w:val="center"/>
                </w:tcPr>
                <w:p w14:paraId="6ABEFA3B">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w:t>
                  </w:r>
                </w:p>
              </w:tc>
              <w:tc>
                <w:tcPr>
                  <w:tcW w:w="2116" w:type="pct"/>
                  <w:vAlign w:val="center"/>
                </w:tcPr>
                <w:p w14:paraId="0F8AB41A">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溶解氧≥</w:t>
                  </w:r>
                </w:p>
              </w:tc>
              <w:tc>
                <w:tcPr>
                  <w:tcW w:w="2374" w:type="pct"/>
                  <w:vAlign w:val="center"/>
                </w:tcPr>
                <w:p w14:paraId="2C73F8F9">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w:t>
                  </w:r>
                </w:p>
              </w:tc>
            </w:tr>
            <w:tr w14:paraId="6B32F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Align w:val="center"/>
                </w:tcPr>
                <w:p w14:paraId="1C916F62">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w:t>
                  </w:r>
                </w:p>
              </w:tc>
              <w:tc>
                <w:tcPr>
                  <w:tcW w:w="2116" w:type="pct"/>
                  <w:vAlign w:val="center"/>
                </w:tcPr>
                <w:p w14:paraId="0E2CA3EC">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总氯≥</w:t>
                  </w:r>
                </w:p>
              </w:tc>
              <w:tc>
                <w:tcPr>
                  <w:tcW w:w="2374" w:type="pct"/>
                  <w:vAlign w:val="center"/>
                </w:tcPr>
                <w:p w14:paraId="2AA74E1F">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1.0（出厂），0.2管网末端</w:t>
                  </w:r>
                </w:p>
              </w:tc>
            </w:tr>
            <w:tr w14:paraId="48467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Align w:val="center"/>
                </w:tcPr>
                <w:p w14:paraId="51CC7604">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w:t>
                  </w:r>
                </w:p>
              </w:tc>
              <w:tc>
                <w:tcPr>
                  <w:tcW w:w="2116" w:type="pct"/>
                  <w:vAlign w:val="center"/>
                </w:tcPr>
                <w:p w14:paraId="5A21B5CF">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大肠埃希氏菌/（MPN/100mL或CFU/100mL）</w:t>
                  </w:r>
                </w:p>
              </w:tc>
              <w:tc>
                <w:tcPr>
                  <w:tcW w:w="2374" w:type="pct"/>
                  <w:vAlign w:val="center"/>
                </w:tcPr>
                <w:p w14:paraId="54766345">
                  <w:pPr>
                    <w:pStyle w:val="32"/>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无</w:t>
                  </w:r>
                </w:p>
              </w:tc>
            </w:tr>
          </w:tbl>
          <w:p w14:paraId="134C79C9">
            <w:pPr>
              <w:pStyle w:val="19"/>
              <w:pageBreakBefore w:val="0"/>
              <w:kinsoku/>
              <w:overflowPunct/>
              <w:topLinePunct w:val="0"/>
              <w:bidi w:val="0"/>
              <w:adjustRightInd w:val="0"/>
              <w:snapToGrid w:val="0"/>
              <w:spacing w:line="336" w:lineRule="auto"/>
              <w:ind w:left="0" w:leftChars="0" w:right="0"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3、噪声</w:t>
            </w:r>
          </w:p>
          <w:p w14:paraId="4515314A">
            <w:pPr>
              <w:pageBreakBefore w:val="0"/>
              <w:kinsoku/>
              <w:overflowPunct/>
              <w:topLinePunct w:val="0"/>
              <w:bidi w:val="0"/>
              <w:adjustRightInd w:val="0"/>
              <w:snapToGrid w:val="0"/>
              <w:spacing w:line="336" w:lineRule="auto"/>
              <w:ind w:left="0" w:leftChars="0"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（1）施工期</w:t>
            </w:r>
          </w:p>
          <w:p w14:paraId="6DF7D9F0">
            <w:pPr>
              <w:pageBreakBefore w:val="0"/>
              <w:kinsoku/>
              <w:overflowPunct/>
              <w:topLinePunct w:val="0"/>
              <w:bidi w:val="0"/>
              <w:adjustRightInd w:val="0"/>
              <w:snapToGrid w:val="0"/>
              <w:spacing w:line="336" w:lineRule="auto"/>
              <w:ind w:left="0" w:leftChars="0" w:right="0"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项目施工期噪声执行</w:t>
            </w:r>
            <w:r>
              <w:rPr>
                <w:rFonts w:hint="default" w:ascii="Times New Roman" w:hAnsi="Times New Roman" w:cs="Times New Roman"/>
                <w:color w:val="000000" w:themeColor="text1"/>
                <w:kern w:val="0"/>
                <w:sz w:val="24"/>
                <w14:textFill>
                  <w14:solidFill>
                    <w14:schemeClr w14:val="tx1"/>
                  </w14:solidFill>
                </w14:textFill>
              </w:rPr>
              <w:t>《建筑施工场界环境噪声排放标准》（GB12523-2011）标准限值见表。</w:t>
            </w:r>
          </w:p>
          <w:p w14:paraId="32D66206">
            <w:pPr>
              <w:pStyle w:val="45"/>
              <w:pageBreakBefore w:val="0"/>
              <w:kinsoku/>
              <w:overflowPunct/>
              <w:topLinePunct w:val="0"/>
              <w:bidi w:val="0"/>
              <w:spacing w:before="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表3-1</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 xml:space="preserve">  建筑施工场界环境噪声排放标准    单位：dB（A）</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6"/>
              <w:gridCol w:w="1566"/>
              <w:gridCol w:w="1392"/>
              <w:gridCol w:w="3628"/>
            </w:tblGrid>
            <w:tr w14:paraId="7710D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935" w:type="pct"/>
                  <w:vAlign w:val="center"/>
                </w:tcPr>
                <w:p w14:paraId="704F897B">
                  <w:pPr>
                    <w:pStyle w:val="32"/>
                    <w:pageBreakBefore w:val="0"/>
                    <w:kinsoku/>
                    <w:overflowPunct/>
                    <w:topLinePunct w:val="0"/>
                    <w:bidi w:val="0"/>
                    <w:spacing w:after="0"/>
                    <w:ind w:left="0" w:leftChars="0" w:right="0" w:firstLine="0" w:firstLineChars="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环境要素</w:t>
                  </w:r>
                </w:p>
              </w:tc>
              <w:tc>
                <w:tcPr>
                  <w:tcW w:w="1825" w:type="pct"/>
                  <w:gridSpan w:val="2"/>
                  <w:vAlign w:val="center"/>
                </w:tcPr>
                <w:p w14:paraId="4FA2EC28">
                  <w:pPr>
                    <w:pStyle w:val="32"/>
                    <w:pageBreakBefore w:val="0"/>
                    <w:kinsoku/>
                    <w:overflowPunct/>
                    <w:topLinePunct w:val="0"/>
                    <w:bidi w:val="0"/>
                    <w:spacing w:after="0"/>
                    <w:ind w:left="0" w:leftChars="0" w:right="0" w:firstLine="0" w:firstLineChars="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标准值</w:t>
                  </w:r>
                </w:p>
              </w:tc>
              <w:tc>
                <w:tcPr>
                  <w:tcW w:w="2238" w:type="pct"/>
                  <w:vAlign w:val="center"/>
                </w:tcPr>
                <w:p w14:paraId="1411B87B">
                  <w:pPr>
                    <w:pStyle w:val="32"/>
                    <w:pageBreakBefore w:val="0"/>
                    <w:kinsoku/>
                    <w:overflowPunct/>
                    <w:topLinePunct w:val="0"/>
                    <w:bidi w:val="0"/>
                    <w:spacing w:after="0"/>
                    <w:ind w:left="0" w:leftChars="0" w:right="0" w:firstLine="0" w:firstLineChars="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标准来源</w:t>
                  </w:r>
                </w:p>
              </w:tc>
            </w:tr>
            <w:tr w14:paraId="1652D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935" w:type="pct"/>
                  <w:vMerge w:val="restart"/>
                  <w:vAlign w:val="center"/>
                </w:tcPr>
                <w:p w14:paraId="7BBBEB39">
                  <w:pPr>
                    <w:pStyle w:val="32"/>
                    <w:pageBreakBefore w:val="0"/>
                    <w:kinsoku/>
                    <w:overflowPunct/>
                    <w:topLinePunct w:val="0"/>
                    <w:bidi w:val="0"/>
                    <w:spacing w:after="0"/>
                    <w:ind w:left="0" w:leftChars="0" w:right="0" w:firstLine="0" w:firstLineChars="0"/>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噪声</w:t>
                  </w:r>
                </w:p>
              </w:tc>
              <w:tc>
                <w:tcPr>
                  <w:tcW w:w="966" w:type="pct"/>
                  <w:vAlign w:val="center"/>
                </w:tcPr>
                <w:p w14:paraId="1B4986AE">
                  <w:pPr>
                    <w:pStyle w:val="32"/>
                    <w:pageBreakBefore w:val="0"/>
                    <w:kinsoku/>
                    <w:overflowPunct/>
                    <w:topLinePunct w:val="0"/>
                    <w:bidi w:val="0"/>
                    <w:spacing w:after="0"/>
                    <w:ind w:left="0" w:leftChars="0" w:right="0" w:firstLine="0" w:firstLineChars="0"/>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昼间</w:t>
                  </w:r>
                </w:p>
              </w:tc>
              <w:tc>
                <w:tcPr>
                  <w:tcW w:w="858" w:type="pct"/>
                  <w:vAlign w:val="center"/>
                </w:tcPr>
                <w:p w14:paraId="58C007D6">
                  <w:pPr>
                    <w:pStyle w:val="32"/>
                    <w:pageBreakBefore w:val="0"/>
                    <w:kinsoku/>
                    <w:overflowPunct/>
                    <w:topLinePunct w:val="0"/>
                    <w:bidi w:val="0"/>
                    <w:spacing w:after="0"/>
                    <w:ind w:left="0" w:leftChars="0" w:right="0" w:firstLine="0" w:firstLineChars="0"/>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夜间</w:t>
                  </w:r>
                </w:p>
              </w:tc>
              <w:tc>
                <w:tcPr>
                  <w:tcW w:w="2238" w:type="pct"/>
                  <w:vMerge w:val="restart"/>
                  <w:vAlign w:val="center"/>
                </w:tcPr>
                <w:p w14:paraId="17DB6A16">
                  <w:pPr>
                    <w:pStyle w:val="32"/>
                    <w:pageBreakBefore w:val="0"/>
                    <w:kinsoku/>
                    <w:overflowPunct/>
                    <w:topLinePunct w:val="0"/>
                    <w:bidi w:val="0"/>
                    <w:spacing w:after="0"/>
                    <w:ind w:left="0" w:leftChars="0" w:right="0" w:firstLine="0" w:firstLineChars="0"/>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《建筑施工场界环境噪声排放标准》（</w:t>
                  </w:r>
                  <w:r>
                    <w:rPr>
                      <w:rFonts w:hint="default" w:ascii="Times New Roman" w:hAnsi="Times New Roman" w:cs="Times New Roman"/>
                      <w:bCs/>
                      <w:color w:val="000000" w:themeColor="text1"/>
                      <w:kern w:val="0"/>
                      <w14:textFill>
                        <w14:solidFill>
                          <w14:schemeClr w14:val="tx1"/>
                        </w14:solidFill>
                      </w14:textFill>
                    </w:rPr>
                    <w:t>GB12523－2011</w:t>
                  </w:r>
                  <w:r>
                    <w:rPr>
                      <w:rFonts w:hint="default" w:ascii="Times New Roman" w:hAnsi="Times New Roman" w:cs="Times New Roman"/>
                      <w:bCs/>
                      <w:color w:val="000000" w:themeColor="text1"/>
                      <w14:textFill>
                        <w14:solidFill>
                          <w14:schemeClr w14:val="tx1"/>
                        </w14:solidFill>
                      </w14:textFill>
                    </w:rPr>
                    <w:t>）表1中排放限值</w:t>
                  </w:r>
                </w:p>
              </w:tc>
            </w:tr>
            <w:tr w14:paraId="22D5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935" w:type="pct"/>
                  <w:vMerge w:val="continue"/>
                  <w:vAlign w:val="center"/>
                </w:tcPr>
                <w:p w14:paraId="1BEDA2E3">
                  <w:pPr>
                    <w:pStyle w:val="32"/>
                    <w:pageBreakBefore w:val="0"/>
                    <w:kinsoku/>
                    <w:overflowPunct/>
                    <w:topLinePunct w:val="0"/>
                    <w:bidi w:val="0"/>
                    <w:spacing w:after="0"/>
                    <w:ind w:left="0" w:leftChars="0" w:right="0" w:firstLine="0" w:firstLineChars="0"/>
                    <w:jc w:val="center"/>
                    <w:rPr>
                      <w:rFonts w:hint="default" w:ascii="Times New Roman" w:hAnsi="Times New Roman" w:cs="Times New Roman"/>
                      <w:bCs/>
                      <w:color w:val="000000" w:themeColor="text1"/>
                      <w14:textFill>
                        <w14:solidFill>
                          <w14:schemeClr w14:val="tx1"/>
                        </w14:solidFill>
                      </w14:textFill>
                    </w:rPr>
                  </w:pPr>
                </w:p>
              </w:tc>
              <w:tc>
                <w:tcPr>
                  <w:tcW w:w="966" w:type="pct"/>
                  <w:vAlign w:val="center"/>
                </w:tcPr>
                <w:p w14:paraId="44311E11">
                  <w:pPr>
                    <w:pStyle w:val="32"/>
                    <w:pageBreakBefore w:val="0"/>
                    <w:kinsoku/>
                    <w:overflowPunct/>
                    <w:topLinePunct w:val="0"/>
                    <w:bidi w:val="0"/>
                    <w:spacing w:after="0"/>
                    <w:ind w:left="0" w:leftChars="0" w:right="0" w:firstLine="0" w:firstLineChars="0"/>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70</w:t>
                  </w:r>
                </w:p>
              </w:tc>
              <w:tc>
                <w:tcPr>
                  <w:tcW w:w="858" w:type="pct"/>
                  <w:vAlign w:val="center"/>
                </w:tcPr>
                <w:p w14:paraId="502AC439">
                  <w:pPr>
                    <w:pStyle w:val="32"/>
                    <w:pageBreakBefore w:val="0"/>
                    <w:kinsoku/>
                    <w:overflowPunct/>
                    <w:topLinePunct w:val="0"/>
                    <w:bidi w:val="0"/>
                    <w:spacing w:after="0"/>
                    <w:ind w:left="0" w:leftChars="0" w:right="0" w:firstLine="0" w:firstLineChars="0"/>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55</w:t>
                  </w:r>
                </w:p>
              </w:tc>
              <w:tc>
                <w:tcPr>
                  <w:tcW w:w="2238" w:type="pct"/>
                  <w:vMerge w:val="continue"/>
                  <w:vAlign w:val="center"/>
                </w:tcPr>
                <w:p w14:paraId="18EBEB58">
                  <w:pPr>
                    <w:pStyle w:val="32"/>
                    <w:pageBreakBefore w:val="0"/>
                    <w:kinsoku/>
                    <w:overflowPunct/>
                    <w:topLinePunct w:val="0"/>
                    <w:bidi w:val="0"/>
                    <w:spacing w:after="0"/>
                    <w:ind w:left="0" w:leftChars="0" w:right="0" w:firstLine="0" w:firstLineChars="0"/>
                    <w:jc w:val="center"/>
                    <w:rPr>
                      <w:rFonts w:hint="default" w:ascii="Times New Roman" w:hAnsi="Times New Roman" w:cs="Times New Roman"/>
                      <w:bCs/>
                      <w:color w:val="000000" w:themeColor="text1"/>
                      <w:sz w:val="24"/>
                      <w14:textFill>
                        <w14:solidFill>
                          <w14:schemeClr w14:val="tx1"/>
                        </w14:solidFill>
                      </w14:textFill>
                    </w:rPr>
                  </w:pPr>
                </w:p>
              </w:tc>
            </w:tr>
          </w:tbl>
          <w:p w14:paraId="2A7BFB33">
            <w:pPr>
              <w:pageBreakBefore w:val="0"/>
              <w:kinsoku/>
              <w:overflowPunct/>
              <w:topLinePunct w:val="0"/>
              <w:bidi w:val="0"/>
              <w:adjustRightInd w:val="0"/>
              <w:snapToGrid w:val="0"/>
              <w:spacing w:line="336" w:lineRule="auto"/>
              <w:ind w:left="0" w:leftChars="0"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（2）运营期</w:t>
            </w:r>
          </w:p>
          <w:p w14:paraId="438454F6">
            <w:pPr>
              <w:pageBreakBefore w:val="0"/>
              <w:kinsoku/>
              <w:overflowPunct/>
              <w:topLinePunct w:val="0"/>
              <w:bidi w:val="0"/>
              <w:adjustRightInd w:val="0"/>
              <w:snapToGrid w:val="0"/>
              <w:spacing w:line="336" w:lineRule="auto"/>
              <w:ind w:left="0" w:leftChars="0" w:right="0"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本项目位于玉溪市红塔区研和街道可官社区可官一组，</w:t>
            </w:r>
            <w:r>
              <w:rPr>
                <w:rFonts w:hint="default" w:ascii="Times New Roman" w:hAnsi="Times New Roman" w:cs="Times New Roman"/>
                <w:color w:val="000000" w:themeColor="text1"/>
                <w:kern w:val="0"/>
                <w:sz w:val="24"/>
                <w:lang w:eastAsia="zh-CN"/>
                <w14:textFill>
                  <w14:solidFill>
                    <w14:schemeClr w14:val="tx1"/>
                  </w14:solidFill>
                </w14:textFill>
              </w:rPr>
              <w:t>属于</w:t>
            </w:r>
            <w:r>
              <w:rPr>
                <w:rFonts w:hint="default" w:ascii="Times New Roman" w:hAnsi="Times New Roman" w:cs="Times New Roman"/>
                <w:color w:val="000000" w:themeColor="text1"/>
                <w:kern w:val="0"/>
                <w:sz w:val="24"/>
                <w:lang w:val="en-US" w:eastAsia="zh-CN"/>
                <w14:textFill>
                  <w14:solidFill>
                    <w14:schemeClr w14:val="tx1"/>
                  </w14:solidFill>
                </w14:textFill>
              </w:rPr>
              <w:t>云南红塔产业园区研和片区地块三</w:t>
            </w:r>
            <w:r>
              <w:rPr>
                <w:rFonts w:hint="default"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项目营运期噪声排放执行《工业企业厂界环境噪声排放标准》（GB12348-2008）</w:t>
            </w:r>
            <w:r>
              <w:rPr>
                <w:rFonts w:hint="default" w:ascii="Times New Roman" w:hAnsi="Times New Roman" w:cs="Times New Roman"/>
                <w:color w:val="000000" w:themeColor="text1"/>
                <w:kern w:val="0"/>
                <w:sz w:val="24"/>
                <w:lang w:val="en-US" w:eastAsia="zh-CN"/>
                <w14:textFill>
                  <w14:solidFill>
                    <w14:schemeClr w14:val="tx1"/>
                  </w14:solidFill>
                </w14:textFill>
              </w:rPr>
              <w:t>3</w:t>
            </w:r>
            <w:r>
              <w:rPr>
                <w:rFonts w:hint="default" w:ascii="Times New Roman" w:hAnsi="Times New Roman" w:cs="Times New Roman"/>
                <w:color w:val="000000" w:themeColor="text1"/>
                <w:kern w:val="0"/>
                <w:sz w:val="24"/>
                <w14:textFill>
                  <w14:solidFill>
                    <w14:schemeClr w14:val="tx1"/>
                  </w14:solidFill>
                </w14:textFill>
              </w:rPr>
              <w:t>类标准，标准限值详见表。</w:t>
            </w:r>
          </w:p>
          <w:p w14:paraId="3757C6D2">
            <w:pPr>
              <w:pStyle w:val="45"/>
              <w:pageBreakBefore w:val="0"/>
              <w:kinsoku/>
              <w:overflowPunct/>
              <w:topLinePunct w:val="0"/>
              <w:bidi w:val="0"/>
              <w:spacing w:before="0"/>
              <w:ind w:left="0" w:leftChars="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表3-1</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 xml:space="preserve">  工业企业厂界环境噪声排放标准    单位：dB（A）</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6"/>
              <w:gridCol w:w="2770"/>
              <w:gridCol w:w="2219"/>
            </w:tblGrid>
            <w:tr w14:paraId="1BA08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8" w:type="dxa"/>
                  <w:vMerge w:val="restart"/>
                  <w:vAlign w:val="center"/>
                </w:tcPr>
                <w:p w14:paraId="1AAFF382">
                  <w:pPr>
                    <w:pageBreakBefore w:val="0"/>
                    <w:tabs>
                      <w:tab w:val="left" w:pos="0"/>
                    </w:tabs>
                    <w:kinsoku/>
                    <w:overflowPunct/>
                    <w:topLinePunct w:val="0"/>
                    <w:bidi w:val="0"/>
                    <w:adjustRightInd w:val="0"/>
                    <w:snapToGrid w:val="0"/>
                    <w:ind w:left="0" w:leftChars="0" w:right="0"/>
                    <w:jc w:val="center"/>
                    <w:rPr>
                      <w:rFonts w:hint="default" w:ascii="Times New Roman" w:hAnsi="Times New Roman" w:cs="Times New Roman"/>
                      <w:b/>
                      <w:color w:val="000000" w:themeColor="text1"/>
                      <w:kern w:val="21"/>
                      <w:szCs w:val="21"/>
                      <w14:textFill>
                        <w14:solidFill>
                          <w14:schemeClr w14:val="tx1"/>
                        </w14:solidFill>
                      </w14:textFill>
                    </w:rPr>
                  </w:pPr>
                  <w:r>
                    <w:rPr>
                      <w:rFonts w:hint="default" w:ascii="Times New Roman" w:hAnsi="Times New Roman" w:cs="Times New Roman"/>
                      <w:b/>
                      <w:color w:val="000000" w:themeColor="text1"/>
                      <w:kern w:val="21"/>
                      <w:szCs w:val="21"/>
                      <w14:textFill>
                        <w14:solidFill>
                          <w14:schemeClr w14:val="tx1"/>
                        </w14:solidFill>
                      </w14:textFill>
                    </w:rPr>
                    <w:t>类别</w:t>
                  </w:r>
                </w:p>
              </w:tc>
              <w:tc>
                <w:tcPr>
                  <w:tcW w:w="5176" w:type="dxa"/>
                  <w:gridSpan w:val="2"/>
                  <w:vAlign w:val="center"/>
                </w:tcPr>
                <w:p w14:paraId="4AC1404D">
                  <w:pPr>
                    <w:pageBreakBefore w:val="0"/>
                    <w:tabs>
                      <w:tab w:val="left" w:pos="0"/>
                    </w:tabs>
                    <w:kinsoku/>
                    <w:overflowPunct/>
                    <w:topLinePunct w:val="0"/>
                    <w:bidi w:val="0"/>
                    <w:adjustRightInd w:val="0"/>
                    <w:snapToGrid w:val="0"/>
                    <w:ind w:left="0" w:leftChars="0" w:right="0"/>
                    <w:jc w:val="center"/>
                    <w:rPr>
                      <w:rFonts w:hint="default" w:ascii="Times New Roman" w:hAnsi="Times New Roman" w:cs="Times New Roman"/>
                      <w:b/>
                      <w:color w:val="000000" w:themeColor="text1"/>
                      <w:kern w:val="21"/>
                      <w:szCs w:val="21"/>
                      <w14:textFill>
                        <w14:solidFill>
                          <w14:schemeClr w14:val="tx1"/>
                        </w14:solidFill>
                      </w14:textFill>
                    </w:rPr>
                  </w:pPr>
                  <w:r>
                    <w:rPr>
                      <w:rFonts w:hint="default" w:ascii="Times New Roman" w:hAnsi="Times New Roman" w:cs="Times New Roman"/>
                      <w:b/>
                      <w:color w:val="000000" w:themeColor="text1"/>
                      <w:kern w:val="21"/>
                      <w:szCs w:val="21"/>
                      <w14:textFill>
                        <w14:solidFill>
                          <w14:schemeClr w14:val="tx1"/>
                        </w14:solidFill>
                      </w14:textFill>
                    </w:rPr>
                    <w:t>时段</w:t>
                  </w:r>
                </w:p>
              </w:tc>
            </w:tr>
            <w:tr w14:paraId="6FCE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8" w:type="dxa"/>
                  <w:vMerge w:val="continue"/>
                  <w:vAlign w:val="center"/>
                </w:tcPr>
                <w:p w14:paraId="70051B00">
                  <w:pPr>
                    <w:pageBreakBefore w:val="0"/>
                    <w:tabs>
                      <w:tab w:val="left" w:pos="0"/>
                    </w:tabs>
                    <w:kinsoku/>
                    <w:overflowPunct/>
                    <w:topLinePunct w:val="0"/>
                    <w:bidi w:val="0"/>
                    <w:adjustRightInd w:val="0"/>
                    <w:snapToGrid w:val="0"/>
                    <w:ind w:left="0" w:leftChars="0" w:right="0"/>
                    <w:jc w:val="center"/>
                    <w:rPr>
                      <w:rFonts w:hint="default" w:ascii="Times New Roman" w:hAnsi="Times New Roman" w:cs="Times New Roman"/>
                      <w:b/>
                      <w:color w:val="000000" w:themeColor="text1"/>
                      <w:kern w:val="21"/>
                      <w:szCs w:val="21"/>
                      <w14:textFill>
                        <w14:solidFill>
                          <w14:schemeClr w14:val="tx1"/>
                        </w14:solidFill>
                      </w14:textFill>
                    </w:rPr>
                  </w:pPr>
                </w:p>
              </w:tc>
              <w:tc>
                <w:tcPr>
                  <w:tcW w:w="2876" w:type="dxa"/>
                  <w:vAlign w:val="center"/>
                </w:tcPr>
                <w:p w14:paraId="21549725">
                  <w:pPr>
                    <w:pageBreakBefore w:val="0"/>
                    <w:tabs>
                      <w:tab w:val="left" w:pos="0"/>
                    </w:tabs>
                    <w:kinsoku/>
                    <w:overflowPunct/>
                    <w:topLinePunct w:val="0"/>
                    <w:bidi w:val="0"/>
                    <w:adjustRightInd w:val="0"/>
                    <w:snapToGrid w:val="0"/>
                    <w:ind w:left="0" w:leftChars="0" w:right="0"/>
                    <w:jc w:val="center"/>
                    <w:rPr>
                      <w:rFonts w:hint="default" w:ascii="Times New Roman" w:hAnsi="Times New Roman" w:cs="Times New Roman"/>
                      <w:b/>
                      <w:color w:val="000000" w:themeColor="text1"/>
                      <w:kern w:val="21"/>
                      <w:szCs w:val="21"/>
                      <w14:textFill>
                        <w14:solidFill>
                          <w14:schemeClr w14:val="tx1"/>
                        </w14:solidFill>
                      </w14:textFill>
                    </w:rPr>
                  </w:pPr>
                  <w:r>
                    <w:rPr>
                      <w:rFonts w:hint="default" w:ascii="Times New Roman" w:hAnsi="Times New Roman" w:cs="Times New Roman"/>
                      <w:b/>
                      <w:color w:val="000000" w:themeColor="text1"/>
                      <w:kern w:val="21"/>
                      <w:szCs w:val="21"/>
                      <w14:textFill>
                        <w14:solidFill>
                          <w14:schemeClr w14:val="tx1"/>
                        </w14:solidFill>
                      </w14:textFill>
                    </w:rPr>
                    <w:t>昼间</w:t>
                  </w:r>
                </w:p>
              </w:tc>
              <w:tc>
                <w:tcPr>
                  <w:tcW w:w="2300" w:type="dxa"/>
                  <w:vAlign w:val="center"/>
                </w:tcPr>
                <w:p w14:paraId="5457F18F">
                  <w:pPr>
                    <w:pageBreakBefore w:val="0"/>
                    <w:tabs>
                      <w:tab w:val="left" w:pos="0"/>
                    </w:tabs>
                    <w:kinsoku/>
                    <w:overflowPunct/>
                    <w:topLinePunct w:val="0"/>
                    <w:bidi w:val="0"/>
                    <w:adjustRightInd w:val="0"/>
                    <w:snapToGrid w:val="0"/>
                    <w:ind w:left="0" w:leftChars="0" w:right="0"/>
                    <w:jc w:val="center"/>
                    <w:rPr>
                      <w:rFonts w:hint="default" w:ascii="Times New Roman" w:hAnsi="Times New Roman" w:cs="Times New Roman"/>
                      <w:b/>
                      <w:color w:val="000000" w:themeColor="text1"/>
                      <w:kern w:val="21"/>
                      <w:szCs w:val="21"/>
                      <w14:textFill>
                        <w14:solidFill>
                          <w14:schemeClr w14:val="tx1"/>
                        </w14:solidFill>
                      </w14:textFill>
                    </w:rPr>
                  </w:pPr>
                  <w:r>
                    <w:rPr>
                      <w:rFonts w:hint="default" w:ascii="Times New Roman" w:hAnsi="Times New Roman" w:cs="Times New Roman"/>
                      <w:b/>
                      <w:color w:val="000000" w:themeColor="text1"/>
                      <w:kern w:val="21"/>
                      <w:szCs w:val="21"/>
                      <w14:textFill>
                        <w14:solidFill>
                          <w14:schemeClr w14:val="tx1"/>
                        </w14:solidFill>
                      </w14:textFill>
                    </w:rPr>
                    <w:t>夜间</w:t>
                  </w:r>
                </w:p>
              </w:tc>
            </w:tr>
            <w:tr w14:paraId="2EA23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8" w:type="dxa"/>
                  <w:vAlign w:val="center"/>
                </w:tcPr>
                <w:p w14:paraId="636BA324">
                  <w:pPr>
                    <w:pageBreakBefore w:val="0"/>
                    <w:tabs>
                      <w:tab w:val="left" w:pos="0"/>
                    </w:tabs>
                    <w:kinsoku/>
                    <w:overflowPunct/>
                    <w:topLinePunct w:val="0"/>
                    <w:bidi w:val="0"/>
                    <w:adjustRightInd w:val="0"/>
                    <w:snapToGrid w:val="0"/>
                    <w:ind w:left="0" w:leftChars="0" w:right="0"/>
                    <w:jc w:val="center"/>
                    <w:rPr>
                      <w:rFonts w:hint="default" w:ascii="Times New Roman" w:hAnsi="Times New Roman" w:cs="Times New Roman"/>
                      <w:bCs/>
                      <w:color w:val="000000" w:themeColor="text1"/>
                      <w:kern w:val="21"/>
                      <w:szCs w:val="21"/>
                      <w14:textFill>
                        <w14:solidFill>
                          <w14:schemeClr w14:val="tx1"/>
                        </w14:solidFill>
                      </w14:textFill>
                    </w:rPr>
                  </w:pPr>
                  <w:r>
                    <w:rPr>
                      <w:rFonts w:hint="default" w:ascii="Times New Roman" w:hAnsi="Times New Roman" w:cs="Times New Roman"/>
                      <w:bCs/>
                      <w:color w:val="000000" w:themeColor="text1"/>
                      <w:kern w:val="21"/>
                      <w:szCs w:val="21"/>
                      <w:lang w:val="en-US" w:eastAsia="zh-CN"/>
                      <w14:textFill>
                        <w14:solidFill>
                          <w14:schemeClr w14:val="tx1"/>
                        </w14:solidFill>
                      </w14:textFill>
                    </w:rPr>
                    <w:t>3</w:t>
                  </w:r>
                  <w:r>
                    <w:rPr>
                      <w:rFonts w:hint="default" w:ascii="Times New Roman" w:hAnsi="Times New Roman" w:cs="Times New Roman"/>
                      <w:bCs/>
                      <w:color w:val="000000" w:themeColor="text1"/>
                      <w:kern w:val="21"/>
                      <w:szCs w:val="21"/>
                      <w14:textFill>
                        <w14:solidFill>
                          <w14:schemeClr w14:val="tx1"/>
                        </w14:solidFill>
                      </w14:textFill>
                    </w:rPr>
                    <w:t>类</w:t>
                  </w:r>
                </w:p>
              </w:tc>
              <w:tc>
                <w:tcPr>
                  <w:tcW w:w="2876" w:type="dxa"/>
                  <w:vAlign w:val="center"/>
                </w:tcPr>
                <w:p w14:paraId="62295313">
                  <w:pPr>
                    <w:pageBreakBefore w:val="0"/>
                    <w:tabs>
                      <w:tab w:val="left" w:pos="0"/>
                    </w:tabs>
                    <w:kinsoku/>
                    <w:overflowPunct/>
                    <w:topLinePunct w:val="0"/>
                    <w:bidi w:val="0"/>
                    <w:adjustRightInd w:val="0"/>
                    <w:snapToGrid w:val="0"/>
                    <w:ind w:left="0" w:leftChars="0" w:right="0"/>
                    <w:jc w:val="center"/>
                    <w:rPr>
                      <w:rFonts w:hint="default" w:ascii="Times New Roman" w:hAnsi="Times New Roman" w:eastAsia="宋体" w:cs="Times New Roman"/>
                      <w:bCs/>
                      <w:color w:val="000000" w:themeColor="text1"/>
                      <w:kern w:val="21"/>
                      <w:szCs w:val="21"/>
                      <w:lang w:val="en-US" w:eastAsia="zh-CN"/>
                      <w14:textFill>
                        <w14:solidFill>
                          <w14:schemeClr w14:val="tx1"/>
                        </w14:solidFill>
                      </w14:textFill>
                    </w:rPr>
                  </w:pPr>
                  <w:r>
                    <w:rPr>
                      <w:rFonts w:hint="default" w:ascii="Times New Roman" w:hAnsi="Times New Roman" w:cs="Times New Roman"/>
                      <w:bCs/>
                      <w:color w:val="000000" w:themeColor="text1"/>
                      <w:kern w:val="21"/>
                      <w:szCs w:val="21"/>
                      <w:lang w:val="en-US" w:eastAsia="zh-CN"/>
                      <w14:textFill>
                        <w14:solidFill>
                          <w14:schemeClr w14:val="tx1"/>
                        </w14:solidFill>
                      </w14:textFill>
                    </w:rPr>
                    <w:t>65</w:t>
                  </w:r>
                </w:p>
              </w:tc>
              <w:tc>
                <w:tcPr>
                  <w:tcW w:w="2300" w:type="dxa"/>
                  <w:vAlign w:val="center"/>
                </w:tcPr>
                <w:p w14:paraId="2CFDE549">
                  <w:pPr>
                    <w:pageBreakBefore w:val="0"/>
                    <w:tabs>
                      <w:tab w:val="left" w:pos="0"/>
                    </w:tabs>
                    <w:kinsoku/>
                    <w:overflowPunct/>
                    <w:topLinePunct w:val="0"/>
                    <w:bidi w:val="0"/>
                    <w:adjustRightInd w:val="0"/>
                    <w:snapToGrid w:val="0"/>
                    <w:ind w:left="0" w:leftChars="0" w:right="0"/>
                    <w:jc w:val="center"/>
                    <w:rPr>
                      <w:rFonts w:hint="default" w:ascii="Times New Roman" w:hAnsi="Times New Roman" w:eastAsia="宋体" w:cs="Times New Roman"/>
                      <w:bCs/>
                      <w:color w:val="000000" w:themeColor="text1"/>
                      <w:kern w:val="21"/>
                      <w:szCs w:val="21"/>
                      <w:lang w:eastAsia="zh-CN"/>
                      <w14:textFill>
                        <w14:solidFill>
                          <w14:schemeClr w14:val="tx1"/>
                        </w14:solidFill>
                      </w14:textFill>
                    </w:rPr>
                  </w:pPr>
                  <w:r>
                    <w:rPr>
                      <w:rFonts w:hint="default" w:ascii="Times New Roman" w:hAnsi="Times New Roman" w:cs="Times New Roman"/>
                      <w:bCs/>
                      <w:color w:val="000000" w:themeColor="text1"/>
                      <w:kern w:val="21"/>
                      <w:szCs w:val="21"/>
                      <w14:textFill>
                        <w14:solidFill>
                          <w14:schemeClr w14:val="tx1"/>
                        </w14:solidFill>
                      </w14:textFill>
                    </w:rPr>
                    <w:t>5</w:t>
                  </w:r>
                  <w:r>
                    <w:rPr>
                      <w:rFonts w:hint="default" w:ascii="Times New Roman" w:hAnsi="Times New Roman" w:cs="Times New Roman"/>
                      <w:bCs/>
                      <w:color w:val="000000" w:themeColor="text1"/>
                      <w:kern w:val="21"/>
                      <w:szCs w:val="21"/>
                      <w:lang w:val="en-US" w:eastAsia="zh-CN"/>
                      <w14:textFill>
                        <w14:solidFill>
                          <w14:schemeClr w14:val="tx1"/>
                        </w14:solidFill>
                      </w14:textFill>
                    </w:rPr>
                    <w:t>5</w:t>
                  </w:r>
                </w:p>
              </w:tc>
            </w:tr>
          </w:tbl>
          <w:p w14:paraId="1B60C4DE">
            <w:pPr>
              <w:pStyle w:val="19"/>
              <w:pageBreakBefore w:val="0"/>
              <w:kinsoku/>
              <w:overflowPunct/>
              <w:topLinePunct w:val="0"/>
              <w:bidi w:val="0"/>
              <w:adjustRightInd w:val="0"/>
              <w:snapToGrid w:val="0"/>
              <w:spacing w:line="336" w:lineRule="auto"/>
              <w:ind w:left="0" w:leftChars="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4、固废</w:t>
            </w:r>
          </w:p>
          <w:p w14:paraId="7295DD43">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一般固体废物按照相关要求妥善处置，</w:t>
            </w:r>
            <w:r>
              <w:rPr>
                <w:rFonts w:hint="default" w:ascii="Times New Roman" w:hAnsi="Times New Roman" w:cs="Times New Roman"/>
                <w:bCs/>
                <w:color w:val="000000" w:themeColor="text1"/>
                <w:sz w:val="24"/>
                <w14:textFill>
                  <w14:solidFill>
                    <w14:schemeClr w14:val="tx1"/>
                  </w14:solidFill>
                </w14:textFill>
              </w:rPr>
              <w:t>项目产生的生产固废执行</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一般固体废物分类与代码</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（GB</w:t>
            </w:r>
            <w:r>
              <w:rPr>
                <w:rFonts w:hint="default" w:ascii="Times New Roman" w:hAnsi="Times New Roman" w:cs="Times New Roman"/>
                <w:bCs/>
                <w:color w:val="000000" w:themeColor="text1"/>
                <w:sz w:val="24"/>
                <w:lang w:val="en-US"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T39198-2020）。</w:t>
            </w:r>
          </w:p>
          <w:p w14:paraId="2169C641">
            <w:pPr>
              <w:pStyle w:val="44"/>
              <w:pageBreakBefore w:val="0"/>
              <w:kinsoku/>
              <w:overflowPunct/>
              <w:topLinePunct w:val="0"/>
              <w:bidi w:val="0"/>
              <w:ind w:left="0" w:leftChars="0" w:right="0" w:firstLine="480"/>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危险废物暂存执行《危险废物贮存污染控制标准》（GB18597-2023）；危险废物</w:t>
            </w:r>
            <w:r>
              <w:rPr>
                <w:rFonts w:hint="default" w:ascii="Times New Roman" w:hAnsi="Times New Roman" w:eastAsia="宋体" w:cs="Times New Roman"/>
                <w:color w:val="000000" w:themeColor="text1"/>
                <w:sz w:val="24"/>
                <w:szCs w:val="24"/>
                <w:lang w:eastAsia="zh-CN"/>
                <w14:textFill>
                  <w14:solidFill>
                    <w14:schemeClr w14:val="tx1"/>
                  </w14:solidFill>
                </w14:textFill>
              </w:rPr>
              <w:t>转移执行《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HYPERLINK "http://www.baidu.com/link?url=Pco9v5HWkHgho6WTiGPeCSFrpB5Cje6cOxv-a6L2IaHlEn2UBHqdOMh8vBGWx4Wt_ox5Wxb0XZ7GSNWNzlQ-C2Fn0AVQ3iOCNW7ynuLBD_u6C3kkkLCBMoYG6-wY2et2xOP25wCykS3x-78hpZ5fixsOtk1o4YFNoRZKJUh-Xo5ok6K49zldirJwrhM6skjJ" \t "https://www.baidu.com/_blank"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危险废物转移管理办法</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2022.1.1</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危险废物台账执行《危险废物管理计划和管理台账制定技术导则》（JH1259-2022）</w:t>
            </w:r>
            <w:r>
              <w:rPr>
                <w:rFonts w:hint="default" w:ascii="Times New Roman" w:hAnsi="Times New Roman" w:cs="Times New Roman"/>
                <w:color w:val="000000" w:themeColor="text1"/>
                <w:sz w:val="24"/>
                <w:lang w:val="zh-CN"/>
                <w14:textFill>
                  <w14:solidFill>
                    <w14:schemeClr w14:val="tx1"/>
                  </w14:solidFill>
                </w14:textFill>
              </w:rPr>
              <w:t>。</w:t>
            </w:r>
          </w:p>
        </w:tc>
      </w:tr>
      <w:tr w14:paraId="31A8B7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vAlign w:val="center"/>
          </w:tcPr>
          <w:p w14:paraId="437C7F5B">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总量</w:t>
            </w:r>
          </w:p>
          <w:p w14:paraId="58A78F80">
            <w:pPr>
              <w:pageBreakBefore w:val="0"/>
              <w:kinsoku/>
              <w:overflowPunct/>
              <w:topLinePunct w:val="0"/>
              <w:bidi w:val="0"/>
              <w:adjustRightInd w:val="0"/>
              <w:snapToGrid w:val="0"/>
              <w:ind w:left="0" w:leftChars="0" w:right="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控制</w:t>
            </w:r>
          </w:p>
          <w:p w14:paraId="1A716BB7">
            <w:pPr>
              <w:pageBreakBefore w:val="0"/>
              <w:kinsoku/>
              <w:overflowPunct/>
              <w:topLinePunct w:val="0"/>
              <w:bidi w:val="0"/>
              <w:adjustRightInd w:val="0"/>
              <w:snapToGrid w:val="0"/>
              <w:ind w:left="0" w:leftChars="0" w:right="0" w:rightChars="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指标</w:t>
            </w:r>
          </w:p>
        </w:tc>
        <w:tc>
          <w:tcPr>
            <w:tcW w:w="8321" w:type="dxa"/>
            <w:vAlign w:val="center"/>
          </w:tcPr>
          <w:p w14:paraId="2E4F9501">
            <w:pPr>
              <w:widowControl/>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参照污染物“达标排放”的原则和《“十四五”污染减排综合工作方案编制技术指南》的通知，“十四五”期间主要总量控制指标为VOCs、NO</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X</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、COD及 NH</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-N，对上述四项主要污染物实施国家总量控制，统一要求，统一考核。 </w:t>
            </w:r>
          </w:p>
          <w:p w14:paraId="0CC96C00">
            <w:pPr>
              <w:widowControl/>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根据本项目的排污特征，结合国家污染物排放总量控制原则，列出本项目建议执行的总量控制指标：</w:t>
            </w:r>
          </w:p>
          <w:p w14:paraId="4B8C5BFE">
            <w:pPr>
              <w:pageBreakBefore w:val="0"/>
              <w:kinsoku/>
              <w:overflowPunct/>
              <w:topLinePunct w:val="0"/>
              <w:bidi w:val="0"/>
              <w:adjustRightInd w:val="0"/>
              <w:snapToGrid w:val="0"/>
              <w:spacing w:line="348" w:lineRule="auto"/>
              <w:ind w:left="0" w:leftChars="0" w:right="0"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1、废气</w:t>
            </w:r>
          </w:p>
          <w:p w14:paraId="5D66AEAA">
            <w:pPr>
              <w:pageBreakBefore w:val="0"/>
              <w:kinsoku/>
              <w:overflowPunct/>
              <w:topLinePunct w:val="0"/>
              <w:bidi w:val="0"/>
              <w:spacing w:line="360" w:lineRule="auto"/>
              <w:ind w:left="0" w:leftChars="0" w:right="0" w:firstLine="484" w:firstLineChars="202"/>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废气：</w:t>
            </w:r>
            <w:r>
              <w:rPr>
                <w:rFonts w:hint="eastAsia" w:ascii="Times New Roman" w:hAnsi="Times New Roman" w:eastAsia="宋体" w:cs="Times New Roman"/>
                <w:b w:val="0"/>
                <w:bCs w:val="0"/>
                <w:color w:val="000000" w:themeColor="text1"/>
                <w:kern w:val="24"/>
                <w:sz w:val="24"/>
                <w:szCs w:val="24"/>
                <w:lang w:val="en-US" w:eastAsia="zh-CN"/>
                <w14:textFill>
                  <w14:solidFill>
                    <w14:schemeClr w14:val="tx1"/>
                  </w14:solidFill>
                </w14:textFill>
              </w:rPr>
              <w:t>本项目废气量为1920万m</w:t>
            </w:r>
            <w:r>
              <w:rPr>
                <w:rFonts w:hint="eastAsia" w:ascii="Times New Roman" w:hAnsi="Times New Roman" w:eastAsia="宋体" w:cs="Times New Roman"/>
                <w:b w:val="0"/>
                <w:bCs w:val="0"/>
                <w:color w:val="000000" w:themeColor="text1"/>
                <w:kern w:val="24"/>
                <w:sz w:val="24"/>
                <w:szCs w:val="24"/>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kern w:val="24"/>
                <w:sz w:val="24"/>
                <w:szCs w:val="24"/>
                <w:lang w:val="en-US" w:eastAsia="zh-CN"/>
                <w14:textFill>
                  <w14:solidFill>
                    <w14:schemeClr w14:val="tx1"/>
                  </w14:solidFill>
                </w14:textFill>
              </w:rPr>
              <w:t>/a。</w:t>
            </w:r>
            <w:r>
              <w:rPr>
                <w:rFonts w:hint="default" w:ascii="Times New Roman" w:hAnsi="Times New Roman" w:eastAsia="宋体" w:cs="Times New Roman"/>
                <w:color w:val="000000" w:themeColor="text1"/>
                <w:sz w:val="24"/>
                <w:lang w:eastAsia="zh-CN"/>
                <w14:textFill>
                  <w14:solidFill>
                    <w14:schemeClr w14:val="tx1"/>
                  </w14:solidFill>
                </w14:textFill>
              </w:rPr>
              <w:t>颗粒物排放量为0.63</w:t>
            </w:r>
            <w:r>
              <w:rPr>
                <w:rFonts w:hint="eastAsia" w:cs="Times New Roman"/>
                <w:color w:val="000000" w:themeColor="text1"/>
                <w:sz w:val="24"/>
                <w:lang w:val="en-US" w:eastAsia="zh-CN"/>
                <w14:textFill>
                  <w14:solidFill>
                    <w14:schemeClr w14:val="tx1"/>
                  </w14:solidFill>
                </w14:textFill>
              </w:rPr>
              <w:t>7</w:t>
            </w:r>
            <w:r>
              <w:rPr>
                <w:rFonts w:hint="default" w:ascii="Times New Roman" w:hAnsi="Times New Roman" w:eastAsia="宋体" w:cs="Times New Roman"/>
                <w:color w:val="000000" w:themeColor="text1"/>
                <w:sz w:val="24"/>
                <w:lang w:eastAsia="zh-CN"/>
                <w14:textFill>
                  <w14:solidFill>
                    <w14:schemeClr w14:val="tx1"/>
                  </w14:solidFill>
                </w14:textFill>
              </w:rPr>
              <w:t>t/a，SO</w:t>
            </w:r>
            <w:r>
              <w:rPr>
                <w:rFonts w:hint="default" w:ascii="Times New Roman" w:hAnsi="Times New Roman" w:eastAsia="宋体" w:cs="Times New Roman"/>
                <w:color w:val="000000" w:themeColor="text1"/>
                <w:sz w:val="24"/>
                <w:vertAlign w:val="subscript"/>
                <w:lang w:eastAsia="zh-CN"/>
                <w14:textFill>
                  <w14:solidFill>
                    <w14:schemeClr w14:val="tx1"/>
                  </w14:solidFill>
                </w14:textFill>
              </w:rPr>
              <w:t>2</w:t>
            </w:r>
            <w:r>
              <w:rPr>
                <w:rFonts w:hint="default" w:ascii="Times New Roman" w:hAnsi="Times New Roman" w:eastAsia="宋体" w:cs="Times New Roman"/>
                <w:color w:val="000000" w:themeColor="text1"/>
                <w:sz w:val="24"/>
                <w:lang w:eastAsia="zh-CN"/>
                <w14:textFill>
                  <w14:solidFill>
                    <w14:schemeClr w14:val="tx1"/>
                  </w14:solidFill>
                </w14:textFill>
              </w:rPr>
              <w:t>排放量为</w:t>
            </w:r>
            <w:r>
              <w:rPr>
                <w:rFonts w:hint="default" w:ascii="Times New Roman" w:hAnsi="Times New Roman" w:eastAsia="宋体" w:cs="Times New Roman"/>
                <w:color w:val="000000" w:themeColor="text1"/>
                <w:sz w:val="24"/>
                <w:lang w:val="en-US" w:eastAsia="zh-CN"/>
                <w14:textFill>
                  <w14:solidFill>
                    <w14:schemeClr w14:val="tx1"/>
                  </w14:solidFill>
                </w14:textFill>
              </w:rPr>
              <w:t>0.026</w:t>
            </w:r>
            <w:r>
              <w:rPr>
                <w:rFonts w:hint="default" w:ascii="Times New Roman" w:hAnsi="Times New Roman" w:eastAsia="宋体" w:cs="Times New Roman"/>
                <w:color w:val="000000" w:themeColor="text1"/>
                <w:sz w:val="24"/>
                <w:lang w:eastAsia="zh-CN"/>
                <w14:textFill>
                  <w14:solidFill>
                    <w14:schemeClr w14:val="tx1"/>
                  </w14:solidFill>
                </w14:textFill>
              </w:rPr>
              <w:t>t/a、NOx排放量为</w:t>
            </w:r>
            <w:r>
              <w:rPr>
                <w:rFonts w:hint="default" w:ascii="Times New Roman" w:hAnsi="Times New Roman" w:eastAsia="宋体" w:cs="Times New Roman"/>
                <w:color w:val="000000" w:themeColor="text1"/>
                <w:sz w:val="24"/>
                <w:lang w:val="en-US" w:eastAsia="zh-CN"/>
                <w14:textFill>
                  <w14:solidFill>
                    <w14:schemeClr w14:val="tx1"/>
                  </w14:solidFill>
                </w14:textFill>
              </w:rPr>
              <w:t>0.</w:t>
            </w:r>
            <w:r>
              <w:rPr>
                <w:rFonts w:hint="eastAsia" w:cs="Times New Roman"/>
                <w:color w:val="000000" w:themeColor="text1"/>
                <w:sz w:val="24"/>
                <w:lang w:val="en-US" w:eastAsia="zh-CN"/>
                <w14:textFill>
                  <w14:solidFill>
                    <w14:schemeClr w14:val="tx1"/>
                  </w14:solidFill>
                </w14:textFill>
              </w:rPr>
              <w:t>331</w:t>
            </w:r>
            <w:r>
              <w:rPr>
                <w:rFonts w:hint="default" w:ascii="Times New Roman" w:hAnsi="Times New Roman" w:eastAsia="宋体" w:cs="Times New Roman"/>
                <w:color w:val="000000" w:themeColor="text1"/>
                <w:sz w:val="24"/>
                <w:lang w:eastAsia="zh-CN"/>
                <w14:textFill>
                  <w14:solidFill>
                    <w14:schemeClr w14:val="tx1"/>
                  </w14:solidFill>
                </w14:textFill>
              </w:rPr>
              <w:t>t/a，非甲烷总烃排放量为</w:t>
            </w:r>
            <w:r>
              <w:rPr>
                <w:rFonts w:hint="default" w:ascii="Times New Roman" w:hAnsi="Times New Roman" w:eastAsia="宋体" w:cs="Times New Roman"/>
                <w:color w:val="000000" w:themeColor="text1"/>
                <w:sz w:val="24"/>
                <w:lang w:val="en-US" w:eastAsia="zh-CN"/>
                <w14:textFill>
                  <w14:solidFill>
                    <w14:schemeClr w14:val="tx1"/>
                  </w14:solidFill>
                </w14:textFill>
              </w:rPr>
              <w:t>0.1</w:t>
            </w:r>
            <w:r>
              <w:rPr>
                <w:rFonts w:hint="eastAsia" w:cs="Times New Roman"/>
                <w:color w:val="000000" w:themeColor="text1"/>
                <w:sz w:val="24"/>
                <w:lang w:val="en-US" w:eastAsia="zh-CN"/>
                <w14:textFill>
                  <w14:solidFill>
                    <w14:schemeClr w14:val="tx1"/>
                  </w14:solidFill>
                </w14:textFill>
              </w:rPr>
              <w:t>74</w:t>
            </w:r>
            <w:r>
              <w:rPr>
                <w:rFonts w:hint="default" w:ascii="Times New Roman" w:hAnsi="Times New Roman" w:eastAsia="宋体" w:cs="Times New Roman"/>
                <w:color w:val="000000" w:themeColor="text1"/>
                <w:sz w:val="24"/>
                <w:lang w:val="en-US" w:eastAsia="zh-CN"/>
                <w14:textFill>
                  <w14:solidFill>
                    <w14:schemeClr w14:val="tx1"/>
                  </w14:solidFill>
                </w14:textFill>
              </w:rPr>
              <w:t>t/a。</w:t>
            </w:r>
          </w:p>
          <w:p w14:paraId="56F8E60C">
            <w:pPr>
              <w:pageBreakBefore w:val="0"/>
              <w:kinsoku/>
              <w:overflowPunct/>
              <w:topLinePunct w:val="0"/>
              <w:bidi w:val="0"/>
              <w:adjustRightInd w:val="0"/>
              <w:snapToGrid w:val="0"/>
              <w:spacing w:line="348" w:lineRule="auto"/>
              <w:ind w:left="0" w:leftChars="0" w:right="0"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2、废水</w:t>
            </w:r>
          </w:p>
          <w:p w14:paraId="2416B1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本项目设置1个1m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化粪池，</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1个1m</w:t>
            </w:r>
            <w:r>
              <w:rPr>
                <w:rFonts w:hint="default" w:ascii="Times New Roman" w:hAnsi="Times New Roman"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收集池</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，1个处理能力为1m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/d的一体化生活污水处理设施，</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生活污水经化粪池收集后进入一体化生活污水处理设施，</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经处理达《城市污水再生利用 城市杂用水水质》（GB/T18920-2020）</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绿化标准后进入收集池</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，回用于绿化，不外排。</w:t>
            </w:r>
          </w:p>
          <w:p w14:paraId="3A9102A1">
            <w:pPr>
              <w:pageBreakBefore w:val="0"/>
              <w:kinsoku/>
              <w:overflowPunct/>
              <w:topLinePunct w:val="0"/>
              <w:bidi w:val="0"/>
              <w:spacing w:line="360" w:lineRule="auto"/>
              <w:ind w:left="0" w:leftChars="0" w:right="0"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生产过程中水压试验、气密试验用水循环使用，定期补充新鲜水，不外排。喷淋塔定期补充新鲜水，循环使用，废液每年更换一次，废液经收集后暂存于危废暂存间，定期交由有危废资质的单位进行处置。</w:t>
            </w:r>
          </w:p>
          <w:p w14:paraId="5271CA85">
            <w:pPr>
              <w:pageBreakBefore w:val="0"/>
              <w:kinsoku/>
              <w:overflowPunct/>
              <w:topLinePunct w:val="0"/>
              <w:bidi w:val="0"/>
              <w:spacing w:line="360" w:lineRule="auto"/>
              <w:ind w:left="0" w:leftChars="0"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因此</w:t>
            </w:r>
            <w:r>
              <w:rPr>
                <w:rFonts w:hint="default" w:ascii="Times New Roman" w:hAnsi="Times New Roman" w:cs="Times New Roman"/>
                <w:color w:val="000000" w:themeColor="text1"/>
                <w:sz w:val="24"/>
                <w:lang w:eastAsia="zh-CN"/>
                <w14:textFill>
                  <w14:solidFill>
                    <w14:schemeClr w14:val="tx1"/>
                  </w14:solidFill>
                </w14:textFill>
              </w:rPr>
              <w:t>，本项目</w:t>
            </w:r>
            <w:r>
              <w:rPr>
                <w:rFonts w:hint="default" w:ascii="Times New Roman" w:hAnsi="Times New Roman" w:cs="Times New Roman"/>
                <w:color w:val="000000" w:themeColor="text1"/>
                <w:sz w:val="24"/>
                <w14:textFill>
                  <w14:solidFill>
                    <w14:schemeClr w14:val="tx1"/>
                  </w14:solidFill>
                </w14:textFill>
              </w:rPr>
              <w:t>不设总量控制指标</w:t>
            </w:r>
            <w:r>
              <w:rPr>
                <w:rFonts w:hint="default" w:ascii="Times New Roman" w:hAnsi="Times New Roman" w:cs="Times New Roman"/>
                <w:color w:val="000000" w:themeColor="text1"/>
                <w:kern w:val="0"/>
                <w:sz w:val="24"/>
                <w14:textFill>
                  <w14:solidFill>
                    <w14:schemeClr w14:val="tx1"/>
                  </w14:solidFill>
                </w14:textFill>
              </w:rPr>
              <w:t>。</w:t>
            </w:r>
          </w:p>
          <w:p w14:paraId="6D4C977A">
            <w:pPr>
              <w:pageBreakBefore w:val="0"/>
              <w:kinsoku/>
              <w:overflowPunct/>
              <w:topLinePunct w:val="0"/>
              <w:bidi w:val="0"/>
              <w:adjustRightInd w:val="0"/>
              <w:snapToGrid w:val="0"/>
              <w:spacing w:line="348" w:lineRule="auto"/>
              <w:ind w:left="0" w:leftChars="0" w:right="0"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3、固体废物</w:t>
            </w:r>
          </w:p>
          <w:p w14:paraId="61CE5F28">
            <w:pPr>
              <w:pStyle w:val="44"/>
              <w:pageBreakBefore w:val="0"/>
              <w:kinsoku/>
              <w:overflowPunct/>
              <w:topLinePunct w:val="0"/>
              <w:bidi w:val="0"/>
              <w:ind w:left="0" w:leftChars="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本项目固体废物处置率100%，不设总量控制指标。</w:t>
            </w:r>
          </w:p>
          <w:p w14:paraId="3E303127">
            <w:pPr>
              <w:pStyle w:val="44"/>
              <w:pageBreakBefore w:val="0"/>
              <w:kinsoku/>
              <w:overflowPunct/>
              <w:topLinePunct w:val="0"/>
              <w:bidi w:val="0"/>
              <w:ind w:left="0" w:leftChars="0" w:right="0" w:firstLine="480"/>
              <w:rPr>
                <w:rFonts w:hint="default" w:ascii="Times New Roman" w:hAnsi="Times New Roman" w:cs="Times New Roman"/>
                <w:color w:val="000000" w:themeColor="text1"/>
                <w14:textFill>
                  <w14:solidFill>
                    <w14:schemeClr w14:val="tx1"/>
                  </w14:solidFill>
                </w14:textFill>
              </w:rPr>
            </w:pPr>
          </w:p>
          <w:p w14:paraId="36F7610E">
            <w:pPr>
              <w:pStyle w:val="44"/>
              <w:pageBreakBefore w:val="0"/>
              <w:kinsoku/>
              <w:overflowPunct/>
              <w:topLinePunct w:val="0"/>
              <w:bidi w:val="0"/>
              <w:ind w:left="0" w:leftChars="0" w:right="0" w:firstLine="480"/>
              <w:rPr>
                <w:rFonts w:hint="default" w:ascii="Times New Roman" w:hAnsi="Times New Roman" w:cs="Times New Roman"/>
                <w:color w:val="000000" w:themeColor="text1"/>
                <w14:textFill>
                  <w14:solidFill>
                    <w14:schemeClr w14:val="tx1"/>
                  </w14:solidFill>
                </w14:textFill>
              </w:rPr>
            </w:pPr>
          </w:p>
          <w:p w14:paraId="2B42051D">
            <w:pPr>
              <w:pStyle w:val="44"/>
              <w:pageBreakBefore w:val="0"/>
              <w:kinsoku/>
              <w:overflowPunct/>
              <w:topLinePunct w:val="0"/>
              <w:bidi w:val="0"/>
              <w:ind w:left="0" w:leftChars="0" w:right="0" w:firstLine="480"/>
              <w:rPr>
                <w:rFonts w:hint="default" w:ascii="Times New Roman" w:hAnsi="Times New Roman" w:cs="Times New Roman"/>
                <w:color w:val="000000" w:themeColor="text1"/>
                <w14:textFill>
                  <w14:solidFill>
                    <w14:schemeClr w14:val="tx1"/>
                  </w14:solidFill>
                </w14:textFill>
              </w:rPr>
            </w:pPr>
          </w:p>
          <w:p w14:paraId="41E44CF8">
            <w:pPr>
              <w:pStyle w:val="44"/>
              <w:pageBreakBefore w:val="0"/>
              <w:kinsoku/>
              <w:overflowPunct/>
              <w:topLinePunct w:val="0"/>
              <w:bidi w:val="0"/>
              <w:ind w:left="0" w:leftChars="0" w:right="0" w:firstLine="480"/>
              <w:rPr>
                <w:rFonts w:hint="default" w:ascii="Times New Roman" w:hAnsi="Times New Roman" w:cs="Times New Roman"/>
                <w:color w:val="000000" w:themeColor="text1"/>
                <w14:textFill>
                  <w14:solidFill>
                    <w14:schemeClr w14:val="tx1"/>
                  </w14:solidFill>
                </w14:textFill>
              </w:rPr>
            </w:pPr>
          </w:p>
          <w:p w14:paraId="4AE7375A">
            <w:pPr>
              <w:pStyle w:val="44"/>
              <w:pageBreakBefore w:val="0"/>
              <w:kinsoku/>
              <w:overflowPunct/>
              <w:topLinePunct w:val="0"/>
              <w:bidi w:val="0"/>
              <w:ind w:left="0" w:leftChars="0" w:right="0" w:firstLine="480"/>
              <w:rPr>
                <w:rFonts w:hint="default" w:ascii="Times New Roman" w:hAnsi="Times New Roman" w:cs="Times New Roman"/>
                <w:color w:val="000000" w:themeColor="text1"/>
                <w14:textFill>
                  <w14:solidFill>
                    <w14:schemeClr w14:val="tx1"/>
                  </w14:solidFill>
                </w14:textFill>
              </w:rPr>
            </w:pPr>
          </w:p>
          <w:p w14:paraId="100589ED">
            <w:pPr>
              <w:pStyle w:val="44"/>
              <w:pageBreakBefore w:val="0"/>
              <w:kinsoku/>
              <w:overflowPunct/>
              <w:topLinePunct w:val="0"/>
              <w:bidi w:val="0"/>
              <w:ind w:left="0" w:leftChars="0" w:right="0" w:firstLine="480"/>
              <w:rPr>
                <w:rFonts w:hint="default" w:ascii="Times New Roman" w:hAnsi="Times New Roman" w:cs="Times New Roman"/>
                <w:color w:val="000000" w:themeColor="text1"/>
                <w14:textFill>
                  <w14:solidFill>
                    <w14:schemeClr w14:val="tx1"/>
                  </w14:solidFill>
                </w14:textFill>
              </w:rPr>
            </w:pPr>
          </w:p>
          <w:p w14:paraId="27B8332E">
            <w:pPr>
              <w:pStyle w:val="44"/>
              <w:pageBreakBefore w:val="0"/>
              <w:kinsoku/>
              <w:overflowPunct/>
              <w:topLinePunct w:val="0"/>
              <w:bidi w:val="0"/>
              <w:ind w:left="0" w:leftChars="0" w:right="0" w:firstLine="480"/>
              <w:rPr>
                <w:rFonts w:hint="default" w:ascii="Times New Roman" w:hAnsi="Times New Roman" w:cs="Times New Roman"/>
                <w:color w:val="000000" w:themeColor="text1"/>
                <w14:textFill>
                  <w14:solidFill>
                    <w14:schemeClr w14:val="tx1"/>
                  </w14:solidFill>
                </w14:textFill>
              </w:rPr>
            </w:pPr>
          </w:p>
          <w:p w14:paraId="3DC7B9DA">
            <w:pPr>
              <w:pStyle w:val="44"/>
              <w:pageBreakBefore w:val="0"/>
              <w:kinsoku/>
              <w:overflowPunct/>
              <w:topLinePunct w:val="0"/>
              <w:bidi w:val="0"/>
              <w:ind w:left="0" w:leftChars="0" w:right="0" w:firstLine="480"/>
              <w:rPr>
                <w:rFonts w:hint="default" w:ascii="Times New Roman" w:hAnsi="Times New Roman" w:cs="Times New Roman"/>
                <w:color w:val="000000" w:themeColor="text1"/>
                <w14:textFill>
                  <w14:solidFill>
                    <w14:schemeClr w14:val="tx1"/>
                  </w14:solidFill>
                </w14:textFill>
              </w:rPr>
            </w:pPr>
          </w:p>
          <w:p w14:paraId="46300209">
            <w:pPr>
              <w:pStyle w:val="44"/>
              <w:pageBreakBefore w:val="0"/>
              <w:kinsoku/>
              <w:overflowPunct/>
              <w:topLinePunct w:val="0"/>
              <w:bidi w:val="0"/>
              <w:ind w:left="0" w:leftChars="0" w:right="0" w:firstLine="480"/>
              <w:rPr>
                <w:rFonts w:hint="default" w:ascii="Times New Roman" w:hAnsi="Times New Roman" w:cs="Times New Roman"/>
                <w:color w:val="000000" w:themeColor="text1"/>
                <w14:textFill>
                  <w14:solidFill>
                    <w14:schemeClr w14:val="tx1"/>
                  </w14:solidFill>
                </w14:textFill>
              </w:rPr>
            </w:pPr>
          </w:p>
          <w:p w14:paraId="0C99D7A8">
            <w:pPr>
              <w:pStyle w:val="44"/>
              <w:pageBreakBefore w:val="0"/>
              <w:kinsoku/>
              <w:overflowPunct/>
              <w:topLinePunct w:val="0"/>
              <w:bidi w:val="0"/>
              <w:ind w:left="0" w:leftChars="0" w:right="0" w:firstLine="480"/>
              <w:rPr>
                <w:rFonts w:hint="default" w:ascii="Times New Roman" w:hAnsi="Times New Roman" w:cs="Times New Roman"/>
                <w:color w:val="000000" w:themeColor="text1"/>
                <w14:textFill>
                  <w14:solidFill>
                    <w14:schemeClr w14:val="tx1"/>
                  </w14:solidFill>
                </w14:textFill>
              </w:rPr>
            </w:pPr>
          </w:p>
          <w:p w14:paraId="0D5A11C8">
            <w:pPr>
              <w:pStyle w:val="44"/>
              <w:pageBreakBefore w:val="0"/>
              <w:kinsoku/>
              <w:overflowPunct/>
              <w:topLinePunct w:val="0"/>
              <w:bidi w:val="0"/>
              <w:ind w:left="0" w:leftChars="0" w:right="0" w:firstLine="480"/>
              <w:rPr>
                <w:rFonts w:hint="default" w:ascii="Times New Roman" w:hAnsi="Times New Roman" w:cs="Times New Roman"/>
                <w:color w:val="000000" w:themeColor="text1"/>
                <w14:textFill>
                  <w14:solidFill>
                    <w14:schemeClr w14:val="tx1"/>
                  </w14:solidFill>
                </w14:textFill>
              </w:rPr>
            </w:pPr>
          </w:p>
          <w:p w14:paraId="3A1B2968">
            <w:pPr>
              <w:pStyle w:val="44"/>
              <w:pageBreakBefore w:val="0"/>
              <w:kinsoku/>
              <w:overflowPunct/>
              <w:topLinePunct w:val="0"/>
              <w:bidi w:val="0"/>
              <w:ind w:left="0" w:leftChars="0" w:right="0" w:firstLine="480"/>
              <w:rPr>
                <w:rFonts w:hint="default" w:ascii="Times New Roman" w:hAnsi="Times New Roman" w:cs="Times New Roman"/>
                <w:color w:val="000000" w:themeColor="text1"/>
                <w14:textFill>
                  <w14:solidFill>
                    <w14:schemeClr w14:val="tx1"/>
                  </w14:solidFill>
                </w14:textFill>
              </w:rPr>
            </w:pPr>
          </w:p>
          <w:p w14:paraId="699102C9">
            <w:pPr>
              <w:pStyle w:val="44"/>
              <w:pageBreakBefore w:val="0"/>
              <w:kinsoku/>
              <w:overflowPunct/>
              <w:topLinePunct w:val="0"/>
              <w:bidi w:val="0"/>
              <w:ind w:left="0" w:leftChars="0" w:right="0" w:firstLine="480"/>
              <w:rPr>
                <w:rFonts w:hint="default" w:ascii="Times New Roman" w:hAnsi="Times New Roman" w:cs="Times New Roman"/>
                <w:color w:val="000000" w:themeColor="text1"/>
                <w14:textFill>
                  <w14:solidFill>
                    <w14:schemeClr w14:val="tx1"/>
                  </w14:solidFill>
                </w14:textFill>
              </w:rPr>
            </w:pPr>
          </w:p>
          <w:p w14:paraId="1A83FA97">
            <w:pPr>
              <w:pStyle w:val="44"/>
              <w:pageBreakBefore w:val="0"/>
              <w:kinsoku/>
              <w:overflowPunct/>
              <w:topLinePunct w:val="0"/>
              <w:bidi w:val="0"/>
              <w:ind w:left="0" w:leftChars="0" w:right="0" w:firstLine="480"/>
              <w:rPr>
                <w:rFonts w:hint="default" w:ascii="Times New Roman" w:hAnsi="Times New Roman" w:cs="Times New Roman"/>
                <w:color w:val="000000" w:themeColor="text1"/>
                <w14:textFill>
                  <w14:solidFill>
                    <w14:schemeClr w14:val="tx1"/>
                  </w14:solidFill>
                </w14:textFill>
              </w:rPr>
            </w:pPr>
          </w:p>
          <w:p w14:paraId="0F46A705">
            <w:pPr>
              <w:pStyle w:val="44"/>
              <w:pageBreakBefore w:val="0"/>
              <w:kinsoku/>
              <w:overflowPunct/>
              <w:topLinePunct w:val="0"/>
              <w:bidi w:val="0"/>
              <w:ind w:left="0" w:leftChars="0" w:right="0" w:firstLine="480"/>
              <w:rPr>
                <w:rFonts w:hint="default" w:ascii="Times New Roman" w:hAnsi="Times New Roman" w:cs="Times New Roman"/>
                <w:color w:val="000000" w:themeColor="text1"/>
                <w14:textFill>
                  <w14:solidFill>
                    <w14:schemeClr w14:val="tx1"/>
                  </w14:solidFill>
                </w14:textFill>
              </w:rPr>
            </w:pPr>
          </w:p>
          <w:p w14:paraId="7497F4B5">
            <w:pPr>
              <w:pStyle w:val="44"/>
              <w:pageBreakBefore w:val="0"/>
              <w:kinsoku/>
              <w:overflowPunct/>
              <w:topLinePunct w:val="0"/>
              <w:bidi w:val="0"/>
              <w:ind w:left="0" w:leftChars="0" w:right="0" w:firstLine="480"/>
              <w:rPr>
                <w:rFonts w:hint="default" w:ascii="Times New Roman" w:hAnsi="Times New Roman" w:cs="Times New Roman"/>
                <w:color w:val="000000" w:themeColor="text1"/>
                <w14:textFill>
                  <w14:solidFill>
                    <w14:schemeClr w14:val="tx1"/>
                  </w14:solidFill>
                </w14:textFill>
              </w:rPr>
            </w:pPr>
          </w:p>
          <w:p w14:paraId="67DC6A3E">
            <w:pPr>
              <w:pStyle w:val="44"/>
              <w:pageBreakBefore w:val="0"/>
              <w:kinsoku/>
              <w:overflowPunct/>
              <w:topLinePunct w:val="0"/>
              <w:bidi w:val="0"/>
              <w:ind w:left="0" w:leftChars="0" w:right="0" w:firstLine="480"/>
              <w:rPr>
                <w:rFonts w:hint="default" w:ascii="Times New Roman" w:hAnsi="Times New Roman" w:cs="Times New Roman"/>
                <w:color w:val="000000" w:themeColor="text1"/>
                <w14:textFill>
                  <w14:solidFill>
                    <w14:schemeClr w14:val="tx1"/>
                  </w14:solidFill>
                </w14:textFill>
              </w:rPr>
            </w:pPr>
          </w:p>
          <w:p w14:paraId="4F9A7DB7">
            <w:pPr>
              <w:pStyle w:val="44"/>
              <w:pageBreakBefore w:val="0"/>
              <w:kinsoku/>
              <w:overflowPunct/>
              <w:topLinePunct w:val="0"/>
              <w:bidi w:val="0"/>
              <w:ind w:left="0" w:leftChars="0" w:right="0" w:firstLine="480"/>
              <w:rPr>
                <w:rFonts w:hint="eastAsia" w:ascii="Times New Roman" w:hAnsi="Times New Roman" w:eastAsia="宋体" w:cs="Times New Roman"/>
                <w:color w:val="000000" w:themeColor="text1"/>
                <w:sz w:val="24"/>
                <w:lang w:eastAsia="zh-CN"/>
                <w14:textFill>
                  <w14:solidFill>
                    <w14:schemeClr w14:val="tx1"/>
                  </w14:solidFill>
                </w14:textFill>
              </w:rPr>
            </w:pPr>
          </w:p>
        </w:tc>
      </w:tr>
    </w:tbl>
    <w:p w14:paraId="0639A97A">
      <w:pPr>
        <w:pStyle w:val="42"/>
        <w:pageBreakBefore w:val="0"/>
        <w:kinsoku/>
        <w:overflowPunct/>
        <w:topLinePunct w:val="0"/>
        <w:bidi w:val="0"/>
        <w:spacing w:before="0" w:after="0"/>
        <w:ind w:left="0" w:leftChars="0" w:right="0"/>
        <w:rPr>
          <w:rFonts w:hint="default" w:ascii="Times New Roman" w:hAnsi="Times New Roman" w:cs="Times New Roman"/>
          <w:color w:val="000000" w:themeColor="text1"/>
          <w:lang w:eastAsia="zh-CN"/>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0DF2DF0B">
      <w:pPr>
        <w:pStyle w:val="29"/>
        <w:pageBreakBefore w:val="0"/>
        <w:kinsoku/>
        <w:overflowPunct/>
        <w:topLinePunct w:val="0"/>
        <w:bidi w:val="0"/>
        <w:adjustRightInd w:val="0"/>
        <w:snapToGrid w:val="0"/>
        <w:spacing w:before="0" w:beforeAutospacing="0" w:after="0" w:afterAutospacing="0"/>
        <w:ind w:left="0" w:leftChars="0" w:right="0"/>
        <w:jc w:val="center"/>
        <w:outlineLvl w:val="0"/>
        <w:rPr>
          <w:rFonts w:hint="default" w:ascii="Times New Roman" w:hAnsi="Times New Roman" w:cs="Times New Roman"/>
          <w:snapToGrid w:val="0"/>
          <w:color w:val="000000" w:themeColor="text1"/>
          <w:sz w:val="30"/>
          <w:szCs w:val="30"/>
          <w14:textFill>
            <w14:solidFill>
              <w14:schemeClr w14:val="tx1"/>
            </w14:solidFill>
          </w14:textFill>
        </w:rPr>
      </w:pPr>
      <w:bookmarkStart w:id="12" w:name="_Toc6112"/>
      <w:bookmarkStart w:id="13" w:name="_Toc32349"/>
      <w:r>
        <w:rPr>
          <w:rFonts w:hint="default" w:ascii="Times New Roman" w:hAnsi="Times New Roman" w:cs="Times New Roman"/>
          <w:b/>
          <w:bCs/>
          <w:snapToGrid w:val="0"/>
          <w:color w:val="000000" w:themeColor="text1"/>
          <w:sz w:val="30"/>
          <w:szCs w:val="30"/>
          <w14:textFill>
            <w14:solidFill>
              <w14:schemeClr w14:val="tx1"/>
            </w14:solidFill>
          </w14:textFill>
        </w:rPr>
        <w:t>四、主要环境影响和保护措施</w:t>
      </w:r>
      <w:bookmarkEnd w:id="12"/>
      <w:bookmarkEnd w:id="13"/>
    </w:p>
    <w:tbl>
      <w:tblPr>
        <w:tblStyle w:val="33"/>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296"/>
      </w:tblGrid>
      <w:tr w14:paraId="44D936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0" w:type="dxa"/>
            <w:tcMar>
              <w:left w:w="28" w:type="dxa"/>
              <w:right w:w="28" w:type="dxa"/>
            </w:tcMar>
            <w:vAlign w:val="center"/>
          </w:tcPr>
          <w:p w14:paraId="5070C190">
            <w:pPr>
              <w:pStyle w:val="29"/>
              <w:pageBreakBefore w:val="0"/>
              <w:kinsoku/>
              <w:overflowPunct/>
              <w:topLinePunct w:val="0"/>
              <w:bidi w:val="0"/>
              <w:adjustRightInd w:val="0"/>
              <w:snapToGrid w:val="0"/>
              <w:spacing w:before="0" w:beforeAutospacing="0" w:after="0" w:afterAutospacing="0"/>
              <w:ind w:left="0" w:leftChars="0" w:right="0"/>
              <w:jc w:val="center"/>
              <w:rPr>
                <w:rFonts w:hint="default" w:ascii="Times New Roman" w:hAnsi="Times New Roman" w:cs="Times New Roman"/>
                <w:color w:val="000000" w:themeColor="text1"/>
                <w:kern w:val="2"/>
                <w:szCs w:val="24"/>
                <w14:textFill>
                  <w14:solidFill>
                    <w14:schemeClr w14:val="tx1"/>
                  </w14:solidFill>
                </w14:textFill>
              </w:rPr>
            </w:pPr>
            <w:r>
              <w:rPr>
                <w:rFonts w:hint="default" w:ascii="Times New Roman" w:hAnsi="Times New Roman" w:cs="Times New Roman"/>
                <w:color w:val="000000" w:themeColor="text1"/>
                <w:kern w:val="2"/>
                <w:szCs w:val="24"/>
                <w14:textFill>
                  <w14:solidFill>
                    <w14:schemeClr w14:val="tx1"/>
                  </w14:solidFill>
                </w14:textFill>
              </w:rPr>
              <w:t>施工</w:t>
            </w:r>
          </w:p>
          <w:p w14:paraId="666746EC">
            <w:pPr>
              <w:pStyle w:val="29"/>
              <w:pageBreakBefore w:val="0"/>
              <w:kinsoku/>
              <w:overflowPunct/>
              <w:topLinePunct w:val="0"/>
              <w:bidi w:val="0"/>
              <w:adjustRightInd w:val="0"/>
              <w:snapToGrid w:val="0"/>
              <w:spacing w:before="0" w:beforeAutospacing="0" w:after="0" w:afterAutospacing="0"/>
              <w:ind w:left="0" w:leftChars="0" w:right="0"/>
              <w:jc w:val="center"/>
              <w:rPr>
                <w:rFonts w:hint="default" w:ascii="Times New Roman" w:hAnsi="Times New Roman" w:cs="Times New Roman"/>
                <w:color w:val="000000" w:themeColor="text1"/>
                <w:kern w:val="2"/>
                <w:szCs w:val="24"/>
                <w14:textFill>
                  <w14:solidFill>
                    <w14:schemeClr w14:val="tx1"/>
                  </w14:solidFill>
                </w14:textFill>
              </w:rPr>
            </w:pPr>
            <w:r>
              <w:rPr>
                <w:rFonts w:hint="default" w:ascii="Times New Roman" w:hAnsi="Times New Roman" w:cs="Times New Roman"/>
                <w:color w:val="000000" w:themeColor="text1"/>
                <w:kern w:val="2"/>
                <w:szCs w:val="24"/>
                <w14:textFill>
                  <w14:solidFill>
                    <w14:schemeClr w14:val="tx1"/>
                  </w14:solidFill>
                </w14:textFill>
              </w:rPr>
              <w:t>期环</w:t>
            </w:r>
          </w:p>
          <w:p w14:paraId="0BA029DE">
            <w:pPr>
              <w:pStyle w:val="29"/>
              <w:pageBreakBefore w:val="0"/>
              <w:kinsoku/>
              <w:overflowPunct/>
              <w:topLinePunct w:val="0"/>
              <w:bidi w:val="0"/>
              <w:adjustRightInd w:val="0"/>
              <w:snapToGrid w:val="0"/>
              <w:spacing w:before="0" w:beforeAutospacing="0" w:after="0" w:afterAutospacing="0"/>
              <w:ind w:left="0" w:leftChars="0" w:right="0"/>
              <w:jc w:val="center"/>
              <w:rPr>
                <w:rFonts w:hint="default" w:ascii="Times New Roman" w:hAnsi="Times New Roman" w:cs="Times New Roman"/>
                <w:color w:val="000000" w:themeColor="text1"/>
                <w:kern w:val="2"/>
                <w:szCs w:val="24"/>
                <w14:textFill>
                  <w14:solidFill>
                    <w14:schemeClr w14:val="tx1"/>
                  </w14:solidFill>
                </w14:textFill>
              </w:rPr>
            </w:pPr>
            <w:r>
              <w:rPr>
                <w:rFonts w:hint="default" w:ascii="Times New Roman" w:hAnsi="Times New Roman" w:cs="Times New Roman"/>
                <w:color w:val="000000" w:themeColor="text1"/>
                <w:kern w:val="2"/>
                <w:szCs w:val="24"/>
                <w14:textFill>
                  <w14:solidFill>
                    <w14:schemeClr w14:val="tx1"/>
                  </w14:solidFill>
                </w14:textFill>
              </w:rPr>
              <w:t>境保</w:t>
            </w:r>
          </w:p>
          <w:p w14:paraId="664C9EFC">
            <w:pPr>
              <w:pStyle w:val="29"/>
              <w:pageBreakBefore w:val="0"/>
              <w:kinsoku/>
              <w:overflowPunct/>
              <w:topLinePunct w:val="0"/>
              <w:bidi w:val="0"/>
              <w:adjustRightInd w:val="0"/>
              <w:snapToGrid w:val="0"/>
              <w:spacing w:before="0" w:beforeAutospacing="0" w:after="0" w:afterAutospacing="0"/>
              <w:ind w:left="0" w:leftChars="0" w:right="0"/>
              <w:jc w:val="center"/>
              <w:rPr>
                <w:rFonts w:hint="default" w:ascii="Times New Roman" w:hAnsi="Times New Roman" w:cs="Times New Roman"/>
                <w:color w:val="000000" w:themeColor="text1"/>
                <w:kern w:val="2"/>
                <w:szCs w:val="24"/>
                <w14:textFill>
                  <w14:solidFill>
                    <w14:schemeClr w14:val="tx1"/>
                  </w14:solidFill>
                </w14:textFill>
              </w:rPr>
            </w:pPr>
            <w:r>
              <w:rPr>
                <w:rFonts w:hint="default" w:ascii="Times New Roman" w:hAnsi="Times New Roman" w:cs="Times New Roman"/>
                <w:color w:val="000000" w:themeColor="text1"/>
                <w:kern w:val="2"/>
                <w:szCs w:val="24"/>
                <w14:textFill>
                  <w14:solidFill>
                    <w14:schemeClr w14:val="tx1"/>
                  </w14:solidFill>
                </w14:textFill>
              </w:rPr>
              <w:t>护措</w:t>
            </w:r>
          </w:p>
          <w:p w14:paraId="0A70F2A4">
            <w:pPr>
              <w:pStyle w:val="29"/>
              <w:pageBreakBefore w:val="0"/>
              <w:kinsoku/>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Cs/>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Cs w:val="24"/>
                <w14:textFill>
                  <w14:solidFill>
                    <w14:schemeClr w14:val="tx1"/>
                  </w14:solidFill>
                </w14:textFill>
              </w:rPr>
              <w:t>施</w:t>
            </w:r>
          </w:p>
        </w:tc>
        <w:tc>
          <w:tcPr>
            <w:tcW w:w="8281" w:type="dxa"/>
            <w:shd w:val="clear" w:color="auto" w:fill="auto"/>
            <w:vAlign w:val="center"/>
          </w:tcPr>
          <w:p w14:paraId="78A43B93">
            <w:pPr>
              <w:pageBreakBefore w:val="0"/>
              <w:kinsoku/>
              <w:overflowPunct/>
              <w:topLinePunct w:val="0"/>
              <w:bidi w:val="0"/>
              <w:spacing w:line="360" w:lineRule="auto"/>
              <w:ind w:left="0" w:leftChars="0" w:right="0" w:firstLine="482" w:firstLineChars="200"/>
              <w:jc w:val="left"/>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w:t>
            </w:r>
            <w:r>
              <w:rPr>
                <w:rFonts w:hint="default" w:ascii="Times New Roman" w:hAnsi="Times New Roman" w:cs="Times New Roman"/>
                <w:b/>
                <w:color w:val="000000" w:themeColor="text1"/>
                <w:kern w:val="24"/>
                <w:sz w:val="24"/>
                <w14:textFill>
                  <w14:solidFill>
                    <w14:schemeClr w14:val="tx1"/>
                  </w14:solidFill>
                </w14:textFill>
              </w:rPr>
              <w:t>施工期大气环境保护措施</w:t>
            </w:r>
          </w:p>
          <w:p w14:paraId="79EB2BF5">
            <w:pPr>
              <w:pStyle w:val="31"/>
              <w:pageBreakBefore w:val="0"/>
              <w:kinsoku/>
              <w:overflowPunct/>
              <w:topLinePunct w:val="0"/>
              <w:bidi w:val="0"/>
              <w:snapToGrid/>
              <w:spacing w:after="0" w:line="360" w:lineRule="auto"/>
              <w:ind w:left="0" w:leftChars="0" w:right="0" w:firstLine="480" w:firstLineChars="200"/>
              <w:rPr>
                <w:rFonts w:hint="default" w:ascii="Times New Roman" w:hAnsi="Times New Roman" w:cs="Times New Roman"/>
                <w:color w:val="000000" w:themeColor="text1"/>
                <w:kern w:val="2"/>
                <w:sz w:val="24"/>
                <w:szCs w:val="24"/>
                <w14:textFill>
                  <w14:solidFill>
                    <w14:schemeClr w14:val="tx1"/>
                  </w14:solidFill>
                </w14:textFill>
              </w:rPr>
            </w:pPr>
            <w:r>
              <w:rPr>
                <w:rFonts w:hint="default" w:ascii="Times New Roman" w:hAnsi="Times New Roman" w:cs="Times New Roman"/>
                <w:color w:val="000000" w:themeColor="text1"/>
                <w:kern w:val="2"/>
                <w:sz w:val="24"/>
                <w:szCs w:val="24"/>
                <w14:textFill>
                  <w14:solidFill>
                    <w14:schemeClr w14:val="tx1"/>
                  </w14:solidFill>
                </w14:textFill>
              </w:rPr>
              <w:t>项目施工过程中废气主要为施工扬尘、运输扬尘以及施工机械尾气，为进一步减小施工扬尘对周围大气环境的影响，环评提出如下对策措施：</w:t>
            </w:r>
          </w:p>
          <w:p w14:paraId="5E4CCC53">
            <w:pPr>
              <w:pStyle w:val="31"/>
              <w:pageBreakBefore w:val="0"/>
              <w:kinsoku/>
              <w:overflowPunct/>
              <w:topLinePunct w:val="0"/>
              <w:bidi w:val="0"/>
              <w:snapToGrid/>
              <w:spacing w:after="0" w:line="360" w:lineRule="auto"/>
              <w:ind w:left="0" w:leftChars="0" w:right="0" w:firstLine="480" w:firstLineChars="200"/>
              <w:rPr>
                <w:rFonts w:hint="default" w:ascii="Times New Roman" w:hAnsi="Times New Roman" w:eastAsia="宋体" w:cs="Times New Roman"/>
                <w:color w:val="000000" w:themeColor="text1"/>
                <w:kern w:val="2"/>
                <w:sz w:val="24"/>
                <w:szCs w:val="24"/>
                <w:lang w:eastAsia="zh-CN"/>
                <w14:textFill>
                  <w14:solidFill>
                    <w14:schemeClr w14:val="tx1"/>
                  </w14:solidFill>
                </w14:textFill>
              </w:rPr>
            </w:pPr>
            <w:r>
              <w:rPr>
                <w:rFonts w:hint="default" w:ascii="Times New Roman" w:hAnsi="Times New Roman" w:cs="Times New Roman"/>
                <w:color w:val="000000" w:themeColor="text1"/>
                <w:kern w:val="2"/>
                <w:sz w:val="24"/>
                <w:szCs w:val="24"/>
                <w14:textFill>
                  <w14:solidFill>
                    <w14:schemeClr w14:val="tx1"/>
                  </w14:solidFill>
                </w14:textFill>
              </w:rPr>
              <w:t>①</w:t>
            </w:r>
            <w:r>
              <w:rPr>
                <w:rFonts w:hint="default" w:ascii="Times New Roman" w:hAnsi="Times New Roman" w:cs="Times New Roman"/>
                <w:color w:val="000000" w:themeColor="text1"/>
                <w:kern w:val="2"/>
                <w:sz w:val="24"/>
                <w:szCs w:val="24"/>
                <w:lang w:eastAsia="zh-CN"/>
                <w14:textFill>
                  <w14:solidFill>
                    <w14:schemeClr w14:val="tx1"/>
                  </w14:solidFill>
                </w14:textFill>
              </w:rPr>
              <w:t>根据相关要求，施工过程中需做到“六个百分百”：</w:t>
            </w:r>
            <w:r>
              <w:rPr>
                <w:rFonts w:hint="default" w:ascii="Times New Roman" w:hAnsi="Times New Roman" w:cs="Times New Roman"/>
                <w:color w:val="000000" w:themeColor="text1"/>
                <w:kern w:val="2"/>
                <w:sz w:val="24"/>
                <w:szCs w:val="24"/>
                <w14:textFill>
                  <w14:solidFill>
                    <w14:schemeClr w14:val="tx1"/>
                  </w14:solidFill>
                </w14:textFill>
              </w:rPr>
              <w:t>施工工地100％围挡</w:t>
            </w:r>
            <w:r>
              <w:rPr>
                <w:rFonts w:hint="default" w:ascii="Times New Roman" w:hAnsi="Times New Roman" w:cs="Times New Roman"/>
                <w:color w:val="000000" w:themeColor="text1"/>
                <w:kern w:val="2"/>
                <w:sz w:val="24"/>
                <w:szCs w:val="24"/>
                <w:lang w:eastAsia="zh-CN"/>
                <w14:textFill>
                  <w14:solidFill>
                    <w14:schemeClr w14:val="tx1"/>
                  </w14:solidFill>
                </w14:textFill>
              </w:rPr>
              <w:t>；</w:t>
            </w:r>
            <w:r>
              <w:rPr>
                <w:rFonts w:hint="default" w:ascii="Times New Roman" w:hAnsi="Times New Roman" w:cs="Times New Roman"/>
                <w:color w:val="000000" w:themeColor="text1"/>
                <w:kern w:val="2"/>
                <w:sz w:val="24"/>
                <w:szCs w:val="24"/>
                <w14:textFill>
                  <w14:solidFill>
                    <w14:schemeClr w14:val="tx1"/>
                  </w14:solidFill>
                </w14:textFill>
              </w:rPr>
              <w:t>散装物料堆放100%覆盖</w:t>
            </w:r>
            <w:r>
              <w:rPr>
                <w:rFonts w:hint="default" w:ascii="Times New Roman" w:hAnsi="Times New Roman" w:cs="Times New Roman"/>
                <w:color w:val="000000" w:themeColor="text1"/>
                <w:kern w:val="2"/>
                <w:sz w:val="24"/>
                <w:szCs w:val="24"/>
                <w:lang w:eastAsia="zh-CN"/>
                <w14:textFill>
                  <w14:solidFill>
                    <w14:schemeClr w14:val="tx1"/>
                  </w14:solidFill>
                </w14:textFill>
              </w:rPr>
              <w:t>；</w:t>
            </w:r>
            <w:r>
              <w:rPr>
                <w:rFonts w:hint="default" w:ascii="Times New Roman" w:hAnsi="Times New Roman" w:cs="Times New Roman"/>
                <w:color w:val="000000" w:themeColor="text1"/>
                <w:kern w:val="2"/>
                <w:sz w:val="24"/>
                <w:szCs w:val="24"/>
                <w14:textFill>
                  <w14:solidFill>
                    <w14:schemeClr w14:val="tx1"/>
                  </w14:solidFill>
                </w14:textFill>
              </w:rPr>
              <w:t>出入口车辆100%清洗</w:t>
            </w:r>
            <w:r>
              <w:rPr>
                <w:rFonts w:hint="default" w:ascii="Times New Roman" w:hAnsi="Times New Roman" w:cs="Times New Roman"/>
                <w:color w:val="000000" w:themeColor="text1"/>
                <w:kern w:val="2"/>
                <w:sz w:val="24"/>
                <w:szCs w:val="24"/>
                <w:lang w:eastAsia="zh-CN"/>
                <w14:textFill>
                  <w14:solidFill>
                    <w14:schemeClr w14:val="tx1"/>
                  </w14:solidFill>
                </w14:textFill>
              </w:rPr>
              <w:t>；</w:t>
            </w:r>
            <w:r>
              <w:rPr>
                <w:rFonts w:hint="default" w:ascii="Times New Roman" w:hAnsi="Times New Roman" w:cs="Times New Roman"/>
                <w:color w:val="000000" w:themeColor="text1"/>
                <w:kern w:val="2"/>
                <w:sz w:val="24"/>
                <w:szCs w:val="24"/>
                <w14:textFill>
                  <w14:solidFill>
                    <w14:schemeClr w14:val="tx1"/>
                  </w14:solidFill>
                </w14:textFill>
              </w:rPr>
              <w:t>施工现场路面100%硬化</w:t>
            </w:r>
            <w:r>
              <w:rPr>
                <w:rFonts w:hint="default" w:ascii="Times New Roman" w:hAnsi="Times New Roman" w:cs="Times New Roman"/>
                <w:color w:val="000000" w:themeColor="text1"/>
                <w:kern w:val="2"/>
                <w:sz w:val="24"/>
                <w:szCs w:val="24"/>
                <w:lang w:eastAsia="zh-CN"/>
                <w14:textFill>
                  <w14:solidFill>
                    <w14:schemeClr w14:val="tx1"/>
                  </w14:solidFill>
                </w14:textFill>
              </w:rPr>
              <w:t>；</w:t>
            </w:r>
            <w:r>
              <w:rPr>
                <w:rFonts w:hint="default" w:ascii="Times New Roman" w:hAnsi="Times New Roman" w:cs="Times New Roman"/>
                <w:color w:val="000000" w:themeColor="text1"/>
                <w:kern w:val="2"/>
                <w:sz w:val="24"/>
                <w:szCs w:val="24"/>
                <w14:textFill>
                  <w14:solidFill>
                    <w14:schemeClr w14:val="tx1"/>
                  </w14:solidFill>
                </w14:textFill>
              </w:rPr>
              <w:t>土方开挖100%湿法作业</w:t>
            </w:r>
            <w:r>
              <w:rPr>
                <w:rFonts w:hint="default" w:ascii="Times New Roman" w:hAnsi="Times New Roman" w:cs="Times New Roman"/>
                <w:color w:val="000000" w:themeColor="text1"/>
                <w:kern w:val="2"/>
                <w:sz w:val="24"/>
                <w:szCs w:val="24"/>
                <w:lang w:eastAsia="zh-CN"/>
                <w14:textFill>
                  <w14:solidFill>
                    <w14:schemeClr w14:val="tx1"/>
                  </w14:solidFill>
                </w14:textFill>
              </w:rPr>
              <w:t>；</w:t>
            </w:r>
            <w:r>
              <w:rPr>
                <w:rFonts w:hint="default" w:ascii="Times New Roman" w:hAnsi="Times New Roman" w:cs="Times New Roman"/>
                <w:color w:val="000000" w:themeColor="text1"/>
                <w:kern w:val="2"/>
                <w:sz w:val="24"/>
                <w:szCs w:val="24"/>
                <w14:textFill>
                  <w14:solidFill>
                    <w14:schemeClr w14:val="tx1"/>
                  </w14:solidFill>
                </w14:textFill>
              </w:rPr>
              <w:t>渣土车辆100%密闭运输</w:t>
            </w:r>
            <w:r>
              <w:rPr>
                <w:rFonts w:hint="default" w:ascii="Times New Roman" w:hAnsi="Times New Roman" w:cs="Times New Roman"/>
                <w:color w:val="000000" w:themeColor="text1"/>
                <w:kern w:val="2"/>
                <w:sz w:val="24"/>
                <w:szCs w:val="24"/>
                <w:lang w:eastAsia="zh-CN"/>
                <w14:textFill>
                  <w14:solidFill>
                    <w14:schemeClr w14:val="tx1"/>
                  </w14:solidFill>
                </w14:textFill>
              </w:rPr>
              <w:t>。</w:t>
            </w:r>
          </w:p>
          <w:p w14:paraId="6B009756">
            <w:pPr>
              <w:pStyle w:val="31"/>
              <w:pageBreakBefore w:val="0"/>
              <w:kinsoku/>
              <w:overflowPunct/>
              <w:topLinePunct w:val="0"/>
              <w:bidi w:val="0"/>
              <w:snapToGrid/>
              <w:spacing w:after="0" w:line="360" w:lineRule="auto"/>
              <w:ind w:left="0" w:leftChars="0" w:right="0" w:firstLine="480" w:firstLineChars="200"/>
              <w:rPr>
                <w:rFonts w:hint="default" w:ascii="Times New Roman" w:hAnsi="Times New Roman" w:eastAsia="宋体" w:cs="Times New Roman"/>
                <w:b w:val="0"/>
                <w:bCs w:val="0"/>
                <w:color w:val="000000" w:themeColor="text1"/>
                <w:kern w:val="2"/>
                <w:sz w:val="24"/>
                <w:szCs w:val="24"/>
                <w:lang w:eastAsia="zh-CN"/>
                <w14:textFill>
                  <w14:solidFill>
                    <w14:schemeClr w14:val="tx1"/>
                  </w14:solidFill>
                </w14:textFill>
              </w:rPr>
            </w:pPr>
            <w:r>
              <w:rPr>
                <w:rFonts w:hint="default" w:ascii="Times New Roman" w:hAnsi="Times New Roman" w:cs="Times New Roman"/>
                <w:color w:val="000000" w:themeColor="text1"/>
                <w:kern w:val="2"/>
                <w:sz w:val="24"/>
                <w:szCs w:val="24"/>
                <w14:textFill>
                  <w14:solidFill>
                    <w14:schemeClr w14:val="tx1"/>
                  </w14:solidFill>
                </w14:textFill>
              </w:rPr>
              <w:t>②</w:t>
            </w:r>
            <w:r>
              <w:rPr>
                <w:rFonts w:hint="default" w:ascii="Times New Roman" w:hAnsi="Times New Roman" w:cs="Times New Roman"/>
                <w:color w:val="000000" w:themeColor="text1"/>
                <w:kern w:val="2"/>
                <w:sz w:val="24"/>
                <w:szCs w:val="24"/>
                <w:lang w:eastAsia="zh-CN"/>
                <w14:textFill>
                  <w14:solidFill>
                    <w14:schemeClr w14:val="tx1"/>
                  </w14:solidFill>
                </w14:textFill>
              </w:rPr>
              <w:t>原有项目拆除过程中，需设置围挡，拆除过程需及时进行洒水降尘，减少扬尘污染。</w:t>
            </w:r>
            <w:r>
              <w:rPr>
                <w:rFonts w:hint="default" w:ascii="Times New Roman" w:hAnsi="Times New Roman" w:cs="Times New Roman"/>
                <w:b w:val="0"/>
                <w:bCs w:val="0"/>
                <w:color w:val="000000" w:themeColor="text1"/>
                <w:kern w:val="2"/>
                <w:sz w:val="24"/>
                <w:szCs w:val="24"/>
                <w14:textFill>
                  <w14:solidFill>
                    <w14:schemeClr w14:val="tx1"/>
                  </w14:solidFill>
                </w14:textFill>
              </w:rPr>
              <w:t>对已完成拆除的</w:t>
            </w:r>
            <w:r>
              <w:rPr>
                <w:rFonts w:hint="default" w:ascii="Times New Roman" w:hAnsi="Times New Roman" w:cs="Times New Roman"/>
                <w:b w:val="0"/>
                <w:bCs w:val="0"/>
                <w:color w:val="000000" w:themeColor="text1"/>
                <w:kern w:val="2"/>
                <w:sz w:val="24"/>
                <w:szCs w:val="24"/>
                <w:lang w:eastAsia="zh-CN"/>
                <w14:textFill>
                  <w14:solidFill>
                    <w14:schemeClr w14:val="tx1"/>
                  </w14:solidFill>
                </w14:textFill>
              </w:rPr>
              <w:t>地面</w:t>
            </w:r>
            <w:r>
              <w:rPr>
                <w:rFonts w:hint="default" w:ascii="Times New Roman" w:hAnsi="Times New Roman" w:cs="Times New Roman"/>
                <w:b w:val="0"/>
                <w:bCs w:val="0"/>
                <w:color w:val="000000" w:themeColor="text1"/>
                <w:kern w:val="2"/>
                <w:sz w:val="24"/>
                <w:szCs w:val="24"/>
                <w14:textFill>
                  <w14:solidFill>
                    <w14:schemeClr w14:val="tx1"/>
                  </w14:solidFill>
                </w14:textFill>
              </w:rPr>
              <w:t>进行防尘网覆盖，防止砖渣起尘</w:t>
            </w:r>
            <w:r>
              <w:rPr>
                <w:rFonts w:hint="default" w:ascii="Times New Roman" w:hAnsi="Times New Roman" w:cs="Times New Roman"/>
                <w:b w:val="0"/>
                <w:bCs w:val="0"/>
                <w:color w:val="000000" w:themeColor="text1"/>
                <w:kern w:val="2"/>
                <w:sz w:val="24"/>
                <w:szCs w:val="24"/>
                <w:lang w:eastAsia="zh-CN"/>
                <w14:textFill>
                  <w14:solidFill>
                    <w14:schemeClr w14:val="tx1"/>
                  </w14:solidFill>
                </w14:textFill>
              </w:rPr>
              <w:t>。</w:t>
            </w:r>
            <w:r>
              <w:rPr>
                <w:rFonts w:hint="default" w:ascii="Times New Roman" w:hAnsi="Times New Roman" w:eastAsia="Arial" w:cs="Times New Roman"/>
                <w:b w:val="0"/>
                <w:bCs w:val="0"/>
                <w:i w:val="0"/>
                <w:iCs w:val="0"/>
                <w:caps w:val="0"/>
                <w:color w:val="000000" w:themeColor="text1"/>
                <w:spacing w:val="0"/>
                <w:sz w:val="21"/>
                <w:szCs w:val="21"/>
                <w:shd w:val="clear" w:fill="FFFFFF"/>
                <w14:textFill>
                  <w14:solidFill>
                    <w14:schemeClr w14:val="tx1"/>
                  </w14:solidFill>
                </w14:textFill>
              </w:rPr>
              <w:t>‌</w:t>
            </w:r>
          </w:p>
          <w:p w14:paraId="2336CF87">
            <w:pPr>
              <w:pageBreakBefore w:val="0"/>
              <w:kinsoku/>
              <w:overflowPunct/>
              <w:topLinePunct w:val="0"/>
              <w:bidi w:val="0"/>
              <w:spacing w:line="360" w:lineRule="auto"/>
              <w:ind w:left="0" w:leftChars="0"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kern w:val="2"/>
                <w:sz w:val="24"/>
                <w:szCs w:val="24"/>
                <w14:textFill>
                  <w14:solidFill>
                    <w14:schemeClr w14:val="tx1"/>
                  </w14:solidFill>
                </w14:textFill>
              </w:rPr>
              <w:t>③</w:t>
            </w:r>
            <w:r>
              <w:rPr>
                <w:rFonts w:hint="default" w:ascii="Times New Roman" w:hAnsi="Times New Roman" w:cs="Times New Roman"/>
                <w:color w:val="000000" w:themeColor="text1"/>
                <w:sz w:val="24"/>
                <w14:textFill>
                  <w14:solidFill>
                    <w14:schemeClr w14:val="tx1"/>
                  </w14:solidFill>
                </w14:textFill>
              </w:rPr>
              <w:t>应及时处理、清运建筑垃圾、以减少占地，防止粉尘污染，改善施工场地的环境。</w:t>
            </w:r>
          </w:p>
          <w:p w14:paraId="79D4EEE8">
            <w:pPr>
              <w:pageBreakBefore w:val="0"/>
              <w:kinsoku/>
              <w:overflowPunct/>
              <w:topLinePunct w:val="0"/>
              <w:bidi w:val="0"/>
              <w:spacing w:line="360" w:lineRule="auto"/>
              <w:ind w:left="0" w:leftChars="0" w:right="0" w:firstLine="480" w:firstLineChars="200"/>
              <w:rPr>
                <w:rFonts w:hint="default" w:ascii="Times New Roman" w:hAnsi="Times New Roman" w:cs="Times New Roman"/>
                <w:color w:val="000000" w:themeColor="text1"/>
                <w:kern w:val="2"/>
                <w:sz w:val="24"/>
                <w:szCs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④</w:t>
            </w:r>
            <w:r>
              <w:rPr>
                <w:rFonts w:hint="default" w:ascii="Times New Roman" w:hAnsi="Times New Roman" w:cs="Times New Roman"/>
                <w:color w:val="000000" w:themeColor="text1"/>
                <w:sz w:val="24"/>
                <w:lang w:eastAsia="zh-CN"/>
                <w14:textFill>
                  <w14:solidFill>
                    <w14:schemeClr w14:val="tx1"/>
                  </w14:solidFill>
                </w14:textFill>
              </w:rPr>
              <w:t>及时</w:t>
            </w:r>
            <w:r>
              <w:rPr>
                <w:rFonts w:hint="default" w:ascii="Times New Roman" w:hAnsi="Times New Roman" w:cs="Times New Roman"/>
                <w:color w:val="000000" w:themeColor="text1"/>
                <w:sz w:val="24"/>
                <w14:textFill>
                  <w14:solidFill>
                    <w14:schemeClr w14:val="tx1"/>
                  </w14:solidFill>
                </w14:textFill>
              </w:rPr>
              <w:t>对易起尘物料采取防尘网遮盖、定期洒水降尘的抑尘措施</w:t>
            </w:r>
            <w:r>
              <w:rPr>
                <w:rFonts w:hint="default" w:ascii="Times New Roman" w:hAnsi="Times New Roman" w:cs="Times New Roman"/>
                <w:color w:val="000000" w:themeColor="text1"/>
                <w:kern w:val="2"/>
                <w:sz w:val="24"/>
                <w:szCs w:val="24"/>
                <w:lang w:eastAsia="zh-CN"/>
                <w14:textFill>
                  <w14:solidFill>
                    <w14:schemeClr w14:val="tx1"/>
                  </w14:solidFill>
                </w14:textFill>
              </w:rPr>
              <w:t>。</w:t>
            </w:r>
            <w:r>
              <w:rPr>
                <w:rFonts w:hint="default" w:ascii="Times New Roman" w:hAnsi="Times New Roman" w:cs="Times New Roman"/>
                <w:color w:val="000000" w:themeColor="text1"/>
                <w:kern w:val="2"/>
                <w:sz w:val="24"/>
                <w:szCs w:val="24"/>
                <w14:textFill>
                  <w14:solidFill>
                    <w14:schemeClr w14:val="tx1"/>
                  </w14:solidFill>
                </w14:textFill>
              </w:rPr>
              <w:t xml:space="preserve"> </w:t>
            </w:r>
          </w:p>
          <w:p w14:paraId="62823476">
            <w:pPr>
              <w:pStyle w:val="31"/>
              <w:pageBreakBefore w:val="0"/>
              <w:kinsoku/>
              <w:overflowPunct/>
              <w:topLinePunct w:val="0"/>
              <w:bidi w:val="0"/>
              <w:snapToGrid/>
              <w:spacing w:after="0" w:line="360" w:lineRule="auto"/>
              <w:ind w:left="0" w:leftChars="0" w:right="0" w:firstLine="480" w:firstLineChars="200"/>
              <w:rPr>
                <w:rFonts w:hint="default" w:ascii="Times New Roman" w:hAnsi="Times New Roman" w:cs="Times New Roman"/>
                <w:color w:val="000000" w:themeColor="text1"/>
                <w:kern w:val="2"/>
                <w:sz w:val="24"/>
                <w:szCs w:val="24"/>
                <w14:textFill>
                  <w14:solidFill>
                    <w14:schemeClr w14:val="tx1"/>
                  </w14:solidFill>
                </w14:textFill>
              </w:rPr>
            </w:pPr>
            <w:r>
              <w:rPr>
                <w:rFonts w:hint="default" w:ascii="Times New Roman" w:hAnsi="Times New Roman" w:cs="Times New Roman"/>
                <w:color w:val="000000" w:themeColor="text1"/>
                <w:kern w:val="2"/>
                <w:sz w:val="24"/>
                <w:szCs w:val="24"/>
                <w14:textFill>
                  <w14:solidFill>
                    <w14:schemeClr w14:val="tx1"/>
                  </w14:solidFill>
                </w14:textFill>
              </w:rPr>
              <w:t>施工期大气污染防治措施可行性分析：根据类似项目及实践经验，上述大气污染防治措施技术比较成熟、简单有效，故采取的措施是可行的。</w:t>
            </w:r>
          </w:p>
          <w:p w14:paraId="0D44F377">
            <w:pPr>
              <w:pStyle w:val="31"/>
              <w:pageBreakBefore w:val="0"/>
              <w:kinsoku/>
              <w:overflowPunct/>
              <w:topLinePunct w:val="0"/>
              <w:bidi w:val="0"/>
              <w:snapToGrid/>
              <w:spacing w:after="0" w:line="360" w:lineRule="auto"/>
              <w:ind w:left="0" w:leftChars="0" w:right="0"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w:t>
            </w:r>
            <w:r>
              <w:rPr>
                <w:rFonts w:hint="default" w:ascii="Times New Roman" w:hAnsi="Times New Roman" w:cs="Times New Roman"/>
                <w:b/>
                <w:color w:val="000000" w:themeColor="text1"/>
                <w:kern w:val="24"/>
                <w:sz w:val="24"/>
                <w14:textFill>
                  <w14:solidFill>
                    <w14:schemeClr w14:val="tx1"/>
                  </w14:solidFill>
                </w14:textFill>
              </w:rPr>
              <w:t>施工期废水环境保护措施</w:t>
            </w:r>
          </w:p>
          <w:p w14:paraId="25286616">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本项目租用现有空置厂房进行建设，厂房地面均已水泥硬化，施工工期短暂，工艺简单，施工期的施工人员均是临时安排，产生的废水主要为生活清洗污水，</w:t>
            </w:r>
            <w:r>
              <w:rPr>
                <w:rFonts w:hint="default" w:ascii="Times New Roman" w:hAnsi="Times New Roman" w:cs="Times New Roman"/>
                <w:color w:val="000000" w:themeColor="text1"/>
                <w:sz w:val="24"/>
                <w:lang w:eastAsia="zh-CN"/>
                <w14:textFill>
                  <w14:solidFill>
                    <w14:schemeClr w14:val="tx1"/>
                  </w14:solidFill>
                </w14:textFill>
              </w:rPr>
              <w:t>本环评建议施工过程中设置</w:t>
            </w:r>
            <w:r>
              <w:rPr>
                <w:rFonts w:hint="default" w:ascii="Times New Roman" w:hAnsi="Times New Roman" w:cs="Times New Roman"/>
                <w:color w:val="000000" w:themeColor="text1"/>
                <w:sz w:val="24"/>
                <w:lang w:val="en-US" w:eastAsia="zh-CN"/>
                <w14:textFill>
                  <w14:solidFill>
                    <w14:schemeClr w14:val="tx1"/>
                  </w14:solidFill>
                </w14:textFill>
              </w:rPr>
              <w:t>1个临时沉淀池，生活清洗废水经沉淀后用于施工场地洒水降尘，不外排。</w:t>
            </w:r>
          </w:p>
          <w:p w14:paraId="2BA6A708">
            <w:pPr>
              <w:pStyle w:val="20"/>
              <w:pageBreakBefore w:val="0"/>
              <w:kinsoku/>
              <w:overflowPunct/>
              <w:topLinePunct w:val="0"/>
              <w:bidi w:val="0"/>
              <w:adjustRightInd/>
              <w:spacing w:line="360" w:lineRule="auto"/>
              <w:ind w:left="0" w:leftChars="0" w:right="0"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施工期地表水污染防治措施可行性分析：根据类似项目及实践经验，上述地表水污染防治措施技术比较成熟、简单有效，故采取的措施是可行的。</w:t>
            </w:r>
          </w:p>
          <w:p w14:paraId="085374E7">
            <w:pPr>
              <w:pStyle w:val="6"/>
              <w:pageBreakBefore w:val="0"/>
              <w:kinsoku/>
              <w:overflowPunct/>
              <w:topLinePunct w:val="0"/>
              <w:bidi w:val="0"/>
              <w:spacing w:line="360" w:lineRule="auto"/>
              <w:ind w:left="0" w:leftChars="0" w:right="0" w:firstLine="482"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kern w:val="24"/>
                <w14:textFill>
                  <w14:solidFill>
                    <w14:schemeClr w14:val="tx1"/>
                  </w14:solidFill>
                </w14:textFill>
              </w:rPr>
              <w:t>施工期噪声环境保护措施</w:t>
            </w:r>
          </w:p>
          <w:p w14:paraId="1E719A65">
            <w:pPr>
              <w:pStyle w:val="20"/>
              <w:pageBreakBefore w:val="0"/>
              <w:kinsoku/>
              <w:overflowPunct/>
              <w:topLinePunct w:val="0"/>
              <w:bidi w:val="0"/>
              <w:adjustRightInd/>
              <w:spacing w:line="360" w:lineRule="auto"/>
              <w:ind w:left="0" w:leftChars="0" w:right="0"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施工噪声主要来源于施工机械和运输车辆产生的噪声和振动，在不同施工阶段，由于施工机械的数量、构成动作等的随机性，导致了噪声产生的随机性和无规律性，施工期间噪声成无组织、不连续释放；车辆运输中产生的噪声与车辆发动机有关，更具有不规律性，为无组织、不连续释放。根据项目特点，提出以下治理措施和要求：</w:t>
            </w:r>
          </w:p>
          <w:p w14:paraId="066FDD92">
            <w:pPr>
              <w:pStyle w:val="20"/>
              <w:pageBreakBefore w:val="0"/>
              <w:kinsoku/>
              <w:overflowPunct/>
              <w:topLinePunct w:val="0"/>
              <w:bidi w:val="0"/>
              <w:adjustRightInd/>
              <w:spacing w:line="360" w:lineRule="auto"/>
              <w:ind w:left="0" w:leftChars="0" w:right="0" w:firstLine="480" w:firstLineChars="200"/>
              <w:rPr>
                <w:rFonts w:hint="default" w:ascii="Times New Roman" w:hAnsi="Times New Roman" w:eastAsia="宋体" w:cs="Times New Roman"/>
                <w:color w:val="000000" w:themeColor="text1"/>
                <w:kern w:val="24"/>
                <w14:textFill>
                  <w14:solidFill>
                    <w14:schemeClr w14:val="tx1"/>
                  </w14:solidFill>
                </w14:textFill>
              </w:rPr>
            </w:pPr>
            <w:r>
              <w:rPr>
                <w:rFonts w:hint="default" w:ascii="Times New Roman" w:hAnsi="Times New Roman" w:eastAsia="宋体" w:cs="Times New Roman"/>
                <w:color w:val="000000" w:themeColor="text1"/>
                <w:kern w:val="24"/>
                <w14:textFill>
                  <w14:solidFill>
                    <w14:schemeClr w14:val="tx1"/>
                  </w14:solidFill>
                </w14:textFill>
              </w:rPr>
              <w:t>①科学合理地安排施工步骤，优化施工方式，尽量减短噪声持续排放的时间；</w:t>
            </w:r>
          </w:p>
          <w:p w14:paraId="799EC504">
            <w:pPr>
              <w:pStyle w:val="20"/>
              <w:pageBreakBefore w:val="0"/>
              <w:kinsoku/>
              <w:overflowPunct/>
              <w:topLinePunct w:val="0"/>
              <w:bidi w:val="0"/>
              <w:adjustRightInd/>
              <w:spacing w:line="360" w:lineRule="auto"/>
              <w:ind w:left="0" w:leftChars="0" w:right="0" w:firstLine="480" w:firstLineChars="200"/>
              <w:rPr>
                <w:rFonts w:hint="default" w:ascii="Times New Roman" w:hAnsi="Times New Roman" w:eastAsia="宋体" w:cs="Times New Roman"/>
                <w:color w:val="000000" w:themeColor="text1"/>
                <w:kern w:val="24"/>
                <w:lang w:eastAsia="zh-CN"/>
                <w14:textFill>
                  <w14:solidFill>
                    <w14:schemeClr w14:val="tx1"/>
                  </w14:solidFill>
                </w14:textFill>
              </w:rPr>
            </w:pPr>
            <w:r>
              <w:rPr>
                <w:rFonts w:hint="default" w:ascii="Times New Roman" w:hAnsi="Times New Roman" w:eastAsia="宋体" w:cs="Times New Roman"/>
                <w:color w:val="000000" w:themeColor="text1"/>
                <w:kern w:val="24"/>
                <w14:textFill>
                  <w14:solidFill>
                    <w14:schemeClr w14:val="tx1"/>
                  </w14:solidFill>
                </w14:textFill>
              </w:rPr>
              <w:t>②项目在进行物料</w:t>
            </w:r>
            <w:r>
              <w:rPr>
                <w:rFonts w:hint="default" w:ascii="Times New Roman" w:hAnsi="Times New Roman" w:cs="Times New Roman"/>
                <w:color w:val="000000" w:themeColor="text1"/>
                <w:kern w:val="24"/>
                <w:lang w:eastAsia="zh-CN"/>
                <w14:textFill>
                  <w14:solidFill>
                    <w14:schemeClr w14:val="tx1"/>
                  </w14:solidFill>
                </w14:textFill>
              </w:rPr>
              <w:t>、建筑垃圾</w:t>
            </w:r>
            <w:r>
              <w:rPr>
                <w:rFonts w:hint="default" w:ascii="Times New Roman" w:hAnsi="Times New Roman" w:eastAsia="宋体" w:cs="Times New Roman"/>
                <w:color w:val="000000" w:themeColor="text1"/>
                <w:kern w:val="24"/>
                <w14:textFill>
                  <w14:solidFill>
                    <w14:schemeClr w14:val="tx1"/>
                  </w14:solidFill>
                </w14:textFill>
              </w:rPr>
              <w:t>运输时，应合理安排运输时间，并避免在夜间及交通拥挤时段进行</w:t>
            </w:r>
            <w:r>
              <w:rPr>
                <w:rFonts w:hint="default" w:ascii="Times New Roman" w:hAnsi="Times New Roman" w:cs="Times New Roman"/>
                <w:color w:val="000000" w:themeColor="text1"/>
                <w:kern w:val="24"/>
                <w:lang w:eastAsia="zh-CN"/>
                <w14:textFill>
                  <w14:solidFill>
                    <w14:schemeClr w14:val="tx1"/>
                  </w14:solidFill>
                </w14:textFill>
              </w:rPr>
              <w:t>；</w:t>
            </w:r>
          </w:p>
          <w:p w14:paraId="51DAC67C">
            <w:pPr>
              <w:pStyle w:val="20"/>
              <w:pageBreakBefore w:val="0"/>
              <w:kinsoku/>
              <w:overflowPunct/>
              <w:topLinePunct w:val="0"/>
              <w:bidi w:val="0"/>
              <w:adjustRightInd/>
              <w:spacing w:line="360" w:lineRule="auto"/>
              <w:ind w:left="0" w:leftChars="0" w:right="0" w:firstLine="480" w:firstLineChars="200"/>
              <w:rPr>
                <w:rFonts w:hint="default" w:ascii="Times New Roman" w:hAnsi="Times New Roman" w:eastAsia="宋体" w:cs="Times New Roman"/>
                <w:color w:val="000000" w:themeColor="text1"/>
                <w:kern w:val="24"/>
                <w14:textFill>
                  <w14:solidFill>
                    <w14:schemeClr w14:val="tx1"/>
                  </w14:solidFill>
                </w14:textFill>
              </w:rPr>
            </w:pPr>
            <w:r>
              <w:rPr>
                <w:rFonts w:hint="default" w:ascii="Times New Roman" w:hAnsi="Times New Roman" w:eastAsia="宋体" w:cs="Times New Roman"/>
                <w:color w:val="000000" w:themeColor="text1"/>
                <w:kern w:val="24"/>
                <w14:textFill>
                  <w14:solidFill>
                    <w14:schemeClr w14:val="tx1"/>
                  </w14:solidFill>
                </w14:textFill>
              </w:rPr>
              <w:t>③采用低噪声施工工艺；并合理布置施工作业面、合理安排施工时间；在施工机械设备与基础或连接部位之间采用减震措施，可减少动量，降低噪声；</w:t>
            </w:r>
          </w:p>
          <w:p w14:paraId="5053A676">
            <w:pPr>
              <w:pStyle w:val="20"/>
              <w:pageBreakBefore w:val="0"/>
              <w:kinsoku/>
              <w:overflowPunct/>
              <w:topLinePunct w:val="0"/>
              <w:bidi w:val="0"/>
              <w:adjustRightInd/>
              <w:spacing w:line="360" w:lineRule="auto"/>
              <w:ind w:left="0" w:leftChars="0" w:right="0" w:firstLine="480" w:firstLineChars="200"/>
              <w:rPr>
                <w:rFonts w:hint="default" w:ascii="Times New Roman" w:hAnsi="Times New Roman" w:eastAsia="宋体" w:cs="Times New Roman"/>
                <w:color w:val="000000" w:themeColor="text1"/>
                <w:kern w:val="24"/>
                <w14:textFill>
                  <w14:solidFill>
                    <w14:schemeClr w14:val="tx1"/>
                  </w14:solidFill>
                </w14:textFill>
              </w:rPr>
            </w:pPr>
            <w:r>
              <w:rPr>
                <w:rFonts w:hint="default" w:ascii="Times New Roman" w:hAnsi="Times New Roman" w:eastAsia="宋体" w:cs="Times New Roman"/>
                <w:color w:val="000000" w:themeColor="text1"/>
                <w:kern w:val="24"/>
                <w14:textFill>
                  <w14:solidFill>
                    <w14:schemeClr w14:val="tx1"/>
                  </w14:solidFill>
                </w14:textFill>
              </w:rPr>
              <w:t>④项目还应该加强对施工人员的管理，做到文明施工，避免人为噪声的产生；</w:t>
            </w:r>
          </w:p>
          <w:p w14:paraId="49C18E62">
            <w:pPr>
              <w:pStyle w:val="20"/>
              <w:pageBreakBefore w:val="0"/>
              <w:kinsoku/>
              <w:overflowPunct/>
              <w:topLinePunct w:val="0"/>
              <w:bidi w:val="0"/>
              <w:adjustRightInd/>
              <w:spacing w:line="360" w:lineRule="auto"/>
              <w:ind w:left="0" w:leftChars="0" w:right="0" w:firstLine="480" w:firstLineChars="200"/>
              <w:rPr>
                <w:rFonts w:hint="default" w:ascii="Times New Roman" w:hAnsi="Times New Roman" w:eastAsia="宋体" w:cs="Times New Roman"/>
                <w:color w:val="000000" w:themeColor="text1"/>
                <w:kern w:val="24"/>
                <w14:textFill>
                  <w14:solidFill>
                    <w14:schemeClr w14:val="tx1"/>
                  </w14:solidFill>
                </w14:textFill>
              </w:rPr>
            </w:pPr>
            <w:r>
              <w:rPr>
                <w:rFonts w:hint="default" w:ascii="Times New Roman" w:hAnsi="Times New Roman" w:cs="Times New Roman"/>
                <w:color w:val="000000" w:themeColor="text1"/>
                <w:kern w:val="24"/>
                <w:lang w:eastAsia="zh-CN"/>
                <w14:textFill>
                  <w14:solidFill>
                    <w14:schemeClr w14:val="tx1"/>
                  </w14:solidFill>
                </w14:textFill>
              </w:rPr>
              <w:t>⑤</w:t>
            </w:r>
            <w:r>
              <w:rPr>
                <w:rFonts w:hint="default" w:ascii="Times New Roman" w:hAnsi="Times New Roman" w:eastAsia="宋体" w:cs="Times New Roman"/>
                <w:color w:val="000000" w:themeColor="text1"/>
                <w:kern w:val="24"/>
                <w14:textFill>
                  <w14:solidFill>
                    <w14:schemeClr w14:val="tx1"/>
                  </w14:solidFill>
                </w14:textFill>
              </w:rPr>
              <w:t>施工场地的施工车辆出入现场时应限速、禁鸣；文明施工，避免因施工噪声产生纠纷。</w:t>
            </w:r>
          </w:p>
          <w:p w14:paraId="4260B50B">
            <w:pPr>
              <w:pStyle w:val="20"/>
              <w:pageBreakBefore w:val="0"/>
              <w:kinsoku/>
              <w:overflowPunct/>
              <w:topLinePunct w:val="0"/>
              <w:bidi w:val="0"/>
              <w:adjustRightInd/>
              <w:spacing w:line="360" w:lineRule="auto"/>
              <w:ind w:left="0" w:leftChars="0" w:right="0" w:firstLine="480" w:firstLineChars="200"/>
              <w:rPr>
                <w:rFonts w:hint="default" w:ascii="Times New Roman" w:hAnsi="Times New Roman" w:eastAsia="宋体" w:cs="Times New Roman"/>
                <w:color w:val="000000" w:themeColor="text1"/>
                <w:kern w:val="24"/>
                <w14:textFill>
                  <w14:solidFill>
                    <w14:schemeClr w14:val="tx1"/>
                  </w14:solidFill>
                </w14:textFill>
              </w:rPr>
            </w:pPr>
            <w:r>
              <w:rPr>
                <w:rFonts w:hint="default" w:ascii="Times New Roman" w:hAnsi="Times New Roman" w:eastAsia="宋体" w:cs="Times New Roman"/>
                <w:color w:val="000000" w:themeColor="text1"/>
                <w:kern w:val="24"/>
                <w14:textFill>
                  <w14:solidFill>
                    <w14:schemeClr w14:val="tx1"/>
                  </w14:solidFill>
                </w14:textFill>
              </w:rPr>
              <w:t>施工期噪声污染防治措施可行性分析：以上采取防治措施技术比较成熟、简单有效，</w:t>
            </w:r>
            <w:r>
              <w:rPr>
                <w:rFonts w:hint="default" w:ascii="Times New Roman" w:hAnsi="Times New Roman" w:eastAsia="宋体" w:cs="Times New Roman"/>
                <w:color w:val="000000" w:themeColor="text1"/>
                <w14:textFill>
                  <w14:solidFill>
                    <w14:schemeClr w14:val="tx1"/>
                  </w14:solidFill>
                </w14:textFill>
              </w:rPr>
              <w:t>故采取的措施是可行的</w:t>
            </w:r>
            <w:r>
              <w:rPr>
                <w:rFonts w:hint="default" w:ascii="Times New Roman" w:hAnsi="Times New Roman" w:eastAsia="宋体" w:cs="Times New Roman"/>
                <w:color w:val="000000" w:themeColor="text1"/>
                <w:kern w:val="24"/>
                <w14:textFill>
                  <w14:solidFill>
                    <w14:schemeClr w14:val="tx1"/>
                  </w14:solidFill>
                </w14:textFill>
              </w:rPr>
              <w:t>。</w:t>
            </w:r>
          </w:p>
          <w:p w14:paraId="62D6FF08">
            <w:pPr>
              <w:pStyle w:val="6"/>
              <w:pageBreakBefore w:val="0"/>
              <w:kinsoku/>
              <w:overflowPunct/>
              <w:topLinePunct w:val="0"/>
              <w:bidi w:val="0"/>
              <w:spacing w:line="360" w:lineRule="auto"/>
              <w:ind w:left="0" w:leftChars="0" w:right="0" w:firstLine="482"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kern w:val="24"/>
                <w14:textFill>
                  <w14:solidFill>
                    <w14:schemeClr w14:val="tx1"/>
                  </w14:solidFill>
                </w14:textFill>
              </w:rPr>
              <w:t>施工期固体废物环境保护措施</w:t>
            </w:r>
          </w:p>
          <w:p w14:paraId="76813777">
            <w:pPr>
              <w:pStyle w:val="44"/>
              <w:ind w:firstLine="48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针对施工期固体废物要求采取如下措施：</w:t>
            </w:r>
          </w:p>
          <w:p w14:paraId="40AF9E91">
            <w:pPr>
              <w:pStyle w:val="29"/>
              <w:keepLines/>
              <w:pageBreakBefore w:val="0"/>
              <w:widowControl w:val="0"/>
              <w:tabs>
                <w:tab w:val="left" w:pos="4830"/>
              </w:tabs>
              <w:kinsoku/>
              <w:overflowPunct/>
              <w:topLinePunct w:val="0"/>
              <w:bidi w:val="0"/>
              <w:spacing w:before="0" w:beforeAutospacing="0" w:after="0" w:afterAutospacing="0" w:line="360" w:lineRule="auto"/>
              <w:ind w:left="0" w:leftChars="0" w:right="0" w:firstLine="480" w:firstLineChars="200"/>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①建筑垃圾分类集中堆存，能回收利用的部分交回收商进行收购处置；不能回收利用的建筑垃圾，运至住建部门指定地点堆放。建筑垃圾严格处置，禁止与生活垃圾混合处置，禁止随意丢弃</w:t>
            </w:r>
            <w:r>
              <w:rPr>
                <w:rFonts w:hint="default" w:ascii="Times New Roman" w:hAnsi="Times New Roman" w:cs="Times New Roman"/>
                <w:color w:val="000000" w:themeColor="text1"/>
                <w:lang w:eastAsia="zh-CN"/>
                <w14:textFill>
                  <w14:solidFill>
                    <w14:schemeClr w14:val="tx1"/>
                  </w14:solidFill>
                </w14:textFill>
              </w:rPr>
              <w:t>。</w:t>
            </w:r>
          </w:p>
          <w:p w14:paraId="6DCD5AC4">
            <w:pPr>
              <w:pStyle w:val="29"/>
              <w:keepLines/>
              <w:pageBreakBefore w:val="0"/>
              <w:widowControl w:val="0"/>
              <w:tabs>
                <w:tab w:val="left" w:pos="4830"/>
              </w:tabs>
              <w:kinsoku/>
              <w:overflowPunct/>
              <w:topLinePunct w:val="0"/>
              <w:bidi w:val="0"/>
              <w:spacing w:before="0" w:beforeAutospacing="0" w:after="0" w:afterAutospacing="0" w:line="360" w:lineRule="auto"/>
              <w:ind w:left="0" w:leftChars="0" w:right="0" w:firstLine="48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②施工场地内设置垃圾桶，废包装物、施工人员生活垃圾收集于垃圾桶中，定期清运妥善处理。</w:t>
            </w:r>
          </w:p>
          <w:p w14:paraId="6179DCB0">
            <w:pPr>
              <w:pStyle w:val="20"/>
              <w:pageBreakBefore w:val="0"/>
              <w:kinsoku/>
              <w:overflowPunct/>
              <w:topLinePunct w:val="0"/>
              <w:autoSpaceDE/>
              <w:autoSpaceDN/>
              <w:bidi w:val="0"/>
              <w:adjustRightInd/>
              <w:spacing w:line="360" w:lineRule="auto"/>
              <w:ind w:left="0" w:leftChars="0" w:right="0" w:rightChars="0" w:firstLine="480" w:firstLineChars="200"/>
              <w:rPr>
                <w:rFonts w:hint="default" w:ascii="Times New Roman" w:hAnsi="Times New Roman" w:eastAsia="宋体" w:cs="Times New Roman"/>
                <w:bCs/>
                <w:color w:val="000000" w:themeColor="text1"/>
                <w:spacing w:val="-10"/>
                <w:kern w:val="2"/>
                <w:sz w:val="24"/>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4"/>
                <w14:textFill>
                  <w14:solidFill>
                    <w14:schemeClr w14:val="tx1"/>
                  </w14:solidFill>
                </w14:textFill>
              </w:rPr>
              <w:t>施工期固体污染防治措施可行性分析：项目施工期产生的固体废弃物较少，且项目区设置有相应固体废弃物收集措施，可做到固体废弃物处置率100%，</w:t>
            </w:r>
            <w:r>
              <w:rPr>
                <w:rFonts w:hint="default" w:ascii="Times New Roman" w:hAnsi="Times New Roman" w:eastAsia="宋体" w:cs="Times New Roman"/>
                <w:color w:val="000000" w:themeColor="text1"/>
                <w14:textFill>
                  <w14:solidFill>
                    <w14:schemeClr w14:val="tx1"/>
                  </w14:solidFill>
                </w14:textFill>
              </w:rPr>
              <w:t>故采取的措施</w:t>
            </w:r>
            <w:r>
              <w:rPr>
                <w:rFonts w:hint="default" w:ascii="Times New Roman" w:hAnsi="Times New Roman" w:eastAsia="宋体" w:cs="Times New Roman"/>
                <w:color w:val="000000" w:themeColor="text1"/>
                <w:kern w:val="0"/>
                <w:szCs w:val="20"/>
                <w14:textFill>
                  <w14:solidFill>
                    <w14:schemeClr w14:val="tx1"/>
                  </w14:solidFill>
                </w14:textFill>
              </w:rPr>
              <w:t>是可</w:t>
            </w:r>
            <w:r>
              <w:rPr>
                <w:rFonts w:hint="default" w:ascii="Times New Roman" w:hAnsi="Times New Roman" w:eastAsia="宋体" w:cs="Times New Roman"/>
                <w:color w:val="000000" w:themeColor="text1"/>
                <w14:textFill>
                  <w14:solidFill>
                    <w14:schemeClr w14:val="tx1"/>
                  </w14:solidFill>
                </w14:textFill>
              </w:rPr>
              <w:t>行的</w:t>
            </w:r>
            <w:r>
              <w:rPr>
                <w:rFonts w:hint="default" w:ascii="Times New Roman" w:hAnsi="Times New Roman" w:eastAsia="宋体" w:cs="Times New Roman"/>
                <w:color w:val="000000" w:themeColor="text1"/>
                <w:kern w:val="24"/>
                <w14:textFill>
                  <w14:solidFill>
                    <w14:schemeClr w14:val="tx1"/>
                  </w14:solidFill>
                </w14:textFill>
              </w:rPr>
              <w:t>。</w:t>
            </w:r>
          </w:p>
        </w:tc>
      </w:tr>
      <w:tr w14:paraId="7907D3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dxa"/>
            <w:tcMar>
              <w:left w:w="28" w:type="dxa"/>
              <w:right w:w="28" w:type="dxa"/>
            </w:tcMar>
            <w:vAlign w:val="center"/>
          </w:tcPr>
          <w:p w14:paraId="7F82AD62">
            <w:pPr>
              <w:pageBreakBefore w:val="0"/>
              <w:kinsoku/>
              <w:overflowPunct/>
              <w:topLinePunct w:val="0"/>
              <w:bidi w:val="0"/>
              <w:adjustRightInd w:val="0"/>
              <w:snapToGrid w:val="0"/>
              <w:ind w:left="0" w:leftChars="0" w:right="0"/>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运营</w:t>
            </w:r>
          </w:p>
          <w:p w14:paraId="0D833E18">
            <w:pPr>
              <w:pageBreakBefore w:val="0"/>
              <w:kinsoku/>
              <w:overflowPunct/>
              <w:topLinePunct w:val="0"/>
              <w:bidi w:val="0"/>
              <w:adjustRightInd w:val="0"/>
              <w:snapToGrid w:val="0"/>
              <w:ind w:left="0" w:leftChars="0" w:right="0"/>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期环</w:t>
            </w:r>
          </w:p>
          <w:p w14:paraId="1A5B8111">
            <w:pPr>
              <w:pageBreakBefore w:val="0"/>
              <w:kinsoku/>
              <w:overflowPunct/>
              <w:topLinePunct w:val="0"/>
              <w:bidi w:val="0"/>
              <w:adjustRightInd w:val="0"/>
              <w:snapToGrid w:val="0"/>
              <w:ind w:left="0" w:leftChars="0" w:right="0"/>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境影</w:t>
            </w:r>
          </w:p>
          <w:p w14:paraId="0749EBE5">
            <w:pPr>
              <w:pageBreakBefore w:val="0"/>
              <w:kinsoku/>
              <w:overflowPunct/>
              <w:topLinePunct w:val="0"/>
              <w:bidi w:val="0"/>
              <w:adjustRightInd w:val="0"/>
              <w:snapToGrid w:val="0"/>
              <w:ind w:left="0" w:leftChars="0" w:right="0"/>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响和</w:t>
            </w:r>
          </w:p>
          <w:p w14:paraId="487EC760">
            <w:pPr>
              <w:pageBreakBefore w:val="0"/>
              <w:kinsoku/>
              <w:overflowPunct/>
              <w:topLinePunct w:val="0"/>
              <w:bidi w:val="0"/>
              <w:adjustRightInd w:val="0"/>
              <w:snapToGrid w:val="0"/>
              <w:ind w:left="0" w:leftChars="0" w:right="0"/>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保护</w:t>
            </w:r>
          </w:p>
          <w:p w14:paraId="5FD7D78B">
            <w:pPr>
              <w:pStyle w:val="29"/>
              <w:pageBreakBefore w:val="0"/>
              <w:kinsoku/>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kern w:val="2"/>
                <w:szCs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措施</w:t>
            </w:r>
          </w:p>
        </w:tc>
        <w:tc>
          <w:tcPr>
            <w:tcW w:w="8281" w:type="dxa"/>
            <w:shd w:val="clear" w:color="auto" w:fill="auto"/>
            <w:vAlign w:val="center"/>
          </w:tcPr>
          <w:p w14:paraId="075CF3EC">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lang w:val="en-US" w:eastAsia="zh-CN"/>
                <w14:textFill>
                  <w14:solidFill>
                    <w14:schemeClr w14:val="tx1"/>
                  </w14:solidFill>
                </w14:textFill>
              </w:rPr>
              <w:t>1</w:t>
            </w:r>
            <w:r>
              <w:rPr>
                <w:rFonts w:hint="eastAsia" w:cs="Times New Roman"/>
                <w:b/>
                <w:color w:val="000000" w:themeColor="text1"/>
                <w:sz w:val="24"/>
                <w:lang w:val="en-US" w:eastAsia="zh-CN"/>
                <w14:textFill>
                  <w14:solidFill>
                    <w14:schemeClr w14:val="tx1"/>
                  </w14:solidFill>
                </w14:textFill>
              </w:rPr>
              <w:t>、运营期</w:t>
            </w:r>
            <w:r>
              <w:rPr>
                <w:rFonts w:hint="default" w:ascii="Times New Roman" w:hAnsi="Times New Roman" w:cs="Times New Roman"/>
                <w:b/>
                <w:color w:val="000000" w:themeColor="text1"/>
                <w:sz w:val="24"/>
                <w14:textFill>
                  <w14:solidFill>
                    <w14:schemeClr w14:val="tx1"/>
                  </w14:solidFill>
                </w14:textFill>
              </w:rPr>
              <w:t>气环境影响</w:t>
            </w:r>
          </w:p>
          <w:p w14:paraId="180ACE30">
            <w:pPr>
              <w:pStyle w:val="19"/>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w:t>
            </w:r>
            <w:r>
              <w:rPr>
                <w:rFonts w:hint="default" w:ascii="Times New Roman" w:hAnsi="Times New Roman" w:cs="Times New Roman"/>
                <w:b/>
                <w:bCs/>
                <w:color w:val="000000" w:themeColor="text1"/>
                <w:sz w:val="24"/>
                <w:lang w:val="en-US" w:eastAsia="zh-CN"/>
                <w14:textFill>
                  <w14:solidFill>
                    <w14:schemeClr w14:val="tx1"/>
                  </w14:solidFill>
                </w14:textFill>
              </w:rPr>
              <w:t>1</w:t>
            </w:r>
            <w:r>
              <w:rPr>
                <w:rFonts w:hint="default" w:ascii="Times New Roman" w:hAnsi="Times New Roman" w:cs="Times New Roman"/>
                <w:b/>
                <w:bCs/>
                <w:color w:val="000000" w:themeColor="text1"/>
                <w:sz w:val="24"/>
                <w:lang w:eastAsia="zh-CN"/>
                <w14:textFill>
                  <w14:solidFill>
                    <w14:schemeClr w14:val="tx1"/>
                  </w14:solidFill>
                </w14:textFill>
              </w:rPr>
              <w:t>）</w:t>
            </w:r>
            <w:r>
              <w:rPr>
                <w:rFonts w:hint="default" w:ascii="Times New Roman" w:hAnsi="Times New Roman" w:cs="Times New Roman"/>
                <w:b/>
                <w:bCs/>
                <w:color w:val="000000" w:themeColor="text1"/>
                <w:sz w:val="24"/>
                <w14:textFill>
                  <w14:solidFill>
                    <w14:schemeClr w14:val="tx1"/>
                  </w14:solidFill>
                </w14:textFill>
              </w:rPr>
              <w:t>废气产排情况</w:t>
            </w:r>
          </w:p>
          <w:p w14:paraId="5A4F7998">
            <w:pPr>
              <w:pStyle w:val="20"/>
              <w:pageBreakBefore w:val="0"/>
              <w:kinsoku/>
              <w:overflowPunct/>
              <w:topLinePunct w:val="0"/>
              <w:autoSpaceDE/>
              <w:autoSpaceDN/>
              <w:bidi w:val="0"/>
              <w:adjustRightInd/>
              <w:spacing w:line="360" w:lineRule="auto"/>
              <w:ind w:left="0" w:leftChars="0" w:right="0" w:rightChars="0" w:firstLine="480" w:firstLineChars="200"/>
              <w:rPr>
                <w:rFonts w:hint="default" w:ascii="Times New Roman" w:hAnsi="Times New Roman" w:eastAsia="宋体" w:cs="Times New Roman"/>
                <w:color w:val="000000" w:themeColor="text1"/>
                <w:kern w:val="24"/>
                <w:lang w:val="en-US" w:eastAsia="zh-CN"/>
                <w14:textFill>
                  <w14:solidFill>
                    <w14:schemeClr w14:val="tx1"/>
                  </w14:solidFill>
                </w14:textFill>
              </w:rPr>
            </w:pPr>
            <w:r>
              <w:rPr>
                <w:rFonts w:hint="default" w:ascii="Times New Roman" w:hAnsi="Times New Roman" w:eastAsia="宋体" w:cs="Times New Roman"/>
                <w:color w:val="000000" w:themeColor="text1"/>
                <w:kern w:val="24"/>
                <w:lang w:val="en-US" w:eastAsia="zh-CN"/>
                <w14:textFill>
                  <w14:solidFill>
                    <w14:schemeClr w14:val="tx1"/>
                  </w14:solidFill>
                </w14:textFill>
              </w:rPr>
              <w:t>本项目废气主要为有组织、无组织两种形式排放，其中有组织废气包括焚烧炉废气（颗粒物、SO</w:t>
            </w:r>
            <w:r>
              <w:rPr>
                <w:rFonts w:hint="default" w:ascii="Times New Roman" w:hAnsi="Times New Roman" w:eastAsia="宋体" w:cs="Times New Roman"/>
                <w:color w:val="000000" w:themeColor="text1"/>
                <w:kern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kern w:val="24"/>
                <w:lang w:val="en-US" w:eastAsia="zh-CN"/>
                <w14:textFill>
                  <w14:solidFill>
                    <w14:schemeClr w14:val="tx1"/>
                  </w14:solidFill>
                </w14:textFill>
              </w:rPr>
              <w:t>、NO</w:t>
            </w:r>
            <w:r>
              <w:rPr>
                <w:rFonts w:hint="default" w:ascii="Times New Roman" w:hAnsi="Times New Roman" w:eastAsia="宋体" w:cs="Times New Roman"/>
                <w:color w:val="000000" w:themeColor="text1"/>
                <w:kern w:val="24"/>
                <w:vertAlign w:val="subscript"/>
                <w:lang w:val="en-US" w:eastAsia="zh-CN"/>
                <w14:textFill>
                  <w14:solidFill>
                    <w14:schemeClr w14:val="tx1"/>
                  </w14:solidFill>
                </w14:textFill>
              </w:rPr>
              <w:t>X</w:t>
            </w:r>
            <w:r>
              <w:rPr>
                <w:rFonts w:hint="default" w:ascii="Times New Roman" w:hAnsi="Times New Roman" w:eastAsia="宋体" w:cs="Times New Roman"/>
                <w:color w:val="000000" w:themeColor="text1"/>
                <w:kern w:val="24"/>
                <w:lang w:val="en-US" w:eastAsia="zh-CN"/>
                <w14:textFill>
                  <w14:solidFill>
                    <w14:schemeClr w14:val="tx1"/>
                  </w14:solidFill>
                </w14:textFill>
              </w:rPr>
              <w:t>、</w:t>
            </w:r>
            <w:r>
              <w:rPr>
                <w:rFonts w:hint="eastAsia" w:cs="Times New Roman"/>
                <w:color w:val="000000" w:themeColor="text1"/>
                <w:kern w:val="24"/>
                <w:lang w:val="en-US" w:eastAsia="zh-CN"/>
                <w14:textFill>
                  <w14:solidFill>
                    <w14:schemeClr w14:val="tx1"/>
                  </w14:solidFill>
                </w14:textFill>
              </w:rPr>
              <w:t>微量非甲烷总烃</w:t>
            </w:r>
            <w:r>
              <w:rPr>
                <w:rFonts w:hint="default" w:ascii="Times New Roman" w:hAnsi="Times New Roman" w:eastAsia="宋体" w:cs="Times New Roman"/>
                <w:color w:val="000000" w:themeColor="text1"/>
                <w:kern w:val="24"/>
                <w:lang w:val="en-US" w:eastAsia="zh-CN"/>
                <w14:textFill>
                  <w14:solidFill>
                    <w14:schemeClr w14:val="tx1"/>
                  </w14:solidFill>
                </w14:textFill>
              </w:rPr>
              <w:t>）、抛丸除锈颗粒物、喷塑颗粒物、固化废气（颗粒物、SO</w:t>
            </w:r>
            <w:r>
              <w:rPr>
                <w:rFonts w:hint="default" w:ascii="Times New Roman" w:hAnsi="Times New Roman" w:eastAsia="宋体" w:cs="Times New Roman"/>
                <w:color w:val="000000" w:themeColor="text1"/>
                <w:kern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kern w:val="24"/>
                <w:lang w:val="en-US" w:eastAsia="zh-CN"/>
                <w14:textFill>
                  <w14:solidFill>
                    <w14:schemeClr w14:val="tx1"/>
                  </w14:solidFill>
                </w14:textFill>
              </w:rPr>
              <w:t>、NO</w:t>
            </w:r>
            <w:r>
              <w:rPr>
                <w:rFonts w:hint="default" w:ascii="Times New Roman" w:hAnsi="Times New Roman" w:eastAsia="宋体" w:cs="Times New Roman"/>
                <w:color w:val="000000" w:themeColor="text1"/>
                <w:kern w:val="24"/>
                <w:vertAlign w:val="subscript"/>
                <w:lang w:val="en-US" w:eastAsia="zh-CN"/>
                <w14:textFill>
                  <w14:solidFill>
                    <w14:schemeClr w14:val="tx1"/>
                  </w14:solidFill>
                </w14:textFill>
              </w:rPr>
              <w:t>X</w:t>
            </w:r>
            <w:r>
              <w:rPr>
                <w:rFonts w:hint="default" w:ascii="Times New Roman" w:hAnsi="Times New Roman" w:eastAsia="宋体" w:cs="Times New Roman"/>
                <w:color w:val="000000" w:themeColor="text1"/>
                <w:kern w:val="24"/>
                <w:lang w:val="en-US" w:eastAsia="zh-CN"/>
                <w14:textFill>
                  <w14:solidFill>
                    <w14:schemeClr w14:val="tx1"/>
                  </w14:solidFill>
                </w14:textFill>
              </w:rPr>
              <w:t>、非甲烷总烃）；无组织废气为</w:t>
            </w:r>
            <w:r>
              <w:rPr>
                <w:rFonts w:hint="eastAsia" w:cs="Times New Roman"/>
                <w:color w:val="000000" w:themeColor="text1"/>
                <w:kern w:val="0"/>
                <w:sz w:val="24"/>
                <w:szCs w:val="24"/>
                <w:lang w:val="en-US" w:eastAsia="zh-CN" w:bidi="ar"/>
                <w14:textFill>
                  <w14:solidFill>
                    <w14:schemeClr w14:val="tx1"/>
                  </w14:solidFill>
                </w14:textFill>
              </w:rPr>
              <w:t>残液回收</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、瓶阀拆卸、气密性试验等环节的逸散泄漏废气</w:t>
            </w:r>
            <w:r>
              <w:rPr>
                <w:rFonts w:hint="default" w:ascii="Times New Roman" w:hAnsi="Times New Roman" w:eastAsia="宋体" w:cs="Times New Roman"/>
                <w:color w:val="000000" w:themeColor="text1"/>
                <w:kern w:val="24"/>
                <w:lang w:val="en-US" w:eastAsia="zh-CN"/>
                <w14:textFill>
                  <w14:solidFill>
                    <w14:schemeClr w14:val="tx1"/>
                  </w14:solidFill>
                </w14:textFill>
              </w:rPr>
              <w:t>、</w:t>
            </w:r>
            <w:r>
              <w:rPr>
                <w:rFonts w:hint="default" w:ascii="Times New Roman" w:hAnsi="Times New Roman" w:cs="Times New Roman"/>
                <w:color w:val="000000" w:themeColor="text1"/>
                <w:kern w:val="24"/>
                <w:lang w:val="en-US" w:eastAsia="zh-CN"/>
                <w14:textFill>
                  <w14:solidFill>
                    <w14:schemeClr w14:val="tx1"/>
                  </w14:solidFill>
                </w14:textFill>
              </w:rPr>
              <w:t>手工刷字</w:t>
            </w:r>
            <w:r>
              <w:rPr>
                <w:rFonts w:hint="default" w:ascii="Times New Roman" w:hAnsi="Times New Roman" w:eastAsia="宋体" w:cs="Times New Roman"/>
                <w:color w:val="000000" w:themeColor="text1"/>
                <w:kern w:val="24"/>
                <w:lang w:val="en-US" w:eastAsia="zh-CN"/>
                <w14:textFill>
                  <w14:solidFill>
                    <w14:schemeClr w14:val="tx1"/>
                  </w14:solidFill>
                </w14:textFill>
              </w:rPr>
              <w:t>废气无组织非甲烷总烃。</w:t>
            </w:r>
            <w:r>
              <w:rPr>
                <w:rFonts w:hint="default" w:ascii="Times New Roman" w:hAnsi="Times New Roman" w:cs="Times New Roman"/>
                <w:color w:val="000000" w:themeColor="text1"/>
                <w:kern w:val="24"/>
                <w:lang w:val="en-US" w:eastAsia="zh-CN"/>
                <w14:textFill>
                  <w14:solidFill>
                    <w14:schemeClr w14:val="tx1"/>
                  </w14:solidFill>
                </w14:textFill>
              </w:rPr>
              <w:t>报废</w:t>
            </w:r>
            <w:r>
              <w:rPr>
                <w:rFonts w:hint="eastAsia" w:ascii="Times New Roman" w:hAnsi="Times New Roman" w:cs="Times New Roman"/>
                <w:color w:val="000000" w:themeColor="text1"/>
                <w:kern w:val="24"/>
                <w:lang w:val="en-US" w:eastAsia="zh-CN"/>
                <w14:textFill>
                  <w14:solidFill>
                    <w14:schemeClr w14:val="tx1"/>
                  </w14:solidFill>
                </w14:textFill>
              </w:rPr>
              <w:t>液化石油气钢瓶</w:t>
            </w:r>
            <w:r>
              <w:rPr>
                <w:rFonts w:hint="default" w:ascii="Times New Roman" w:hAnsi="Times New Roman" w:cs="Times New Roman"/>
                <w:color w:val="000000" w:themeColor="text1"/>
                <w:kern w:val="24"/>
                <w:lang w:val="en-US" w:eastAsia="zh-CN"/>
                <w14:textFill>
                  <w14:solidFill>
                    <w14:schemeClr w14:val="tx1"/>
                  </w14:solidFill>
                </w14:textFill>
              </w:rPr>
              <w:t>和不合格</w:t>
            </w:r>
            <w:r>
              <w:rPr>
                <w:rFonts w:hint="eastAsia" w:ascii="Times New Roman" w:hAnsi="Times New Roman" w:cs="Times New Roman"/>
                <w:color w:val="000000" w:themeColor="text1"/>
                <w:kern w:val="24"/>
                <w:lang w:val="en-US" w:eastAsia="zh-CN"/>
                <w14:textFill>
                  <w14:solidFill>
                    <w14:schemeClr w14:val="tx1"/>
                  </w14:solidFill>
                </w14:textFill>
              </w:rPr>
              <w:t>液化石油气钢瓶</w:t>
            </w:r>
            <w:r>
              <w:rPr>
                <w:rFonts w:hint="default" w:ascii="Times New Roman" w:hAnsi="Times New Roman" w:cs="Times New Roman"/>
                <w:color w:val="000000" w:themeColor="text1"/>
                <w:kern w:val="24"/>
                <w:lang w:val="en-US" w:eastAsia="zh-CN"/>
                <w14:textFill>
                  <w14:solidFill>
                    <w14:schemeClr w14:val="tx1"/>
                  </w14:solidFill>
                </w14:textFill>
              </w:rPr>
              <w:t>进入压扁区压扁，不进行破碎，该环节无粉尘产生。</w:t>
            </w:r>
          </w:p>
          <w:p w14:paraId="01AEDE5E">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cs="Times New Roman"/>
                <w:b/>
                <w:color w:val="000000" w:themeColor="text1"/>
                <w:sz w:val="24"/>
                <w:lang w:val="en-US" w:eastAsia="zh-CN"/>
                <w14:textFill>
                  <w14:solidFill>
                    <w14:schemeClr w14:val="tx1"/>
                  </w14:solidFill>
                </w14:textFill>
              </w:rPr>
            </w:pPr>
            <w:r>
              <w:rPr>
                <w:rFonts w:hint="default" w:ascii="Times New Roman" w:hAnsi="Times New Roman" w:cs="Times New Roman"/>
                <w:b/>
                <w:color w:val="000000" w:themeColor="text1"/>
                <w:sz w:val="24"/>
                <w:lang w:val="en-US" w:eastAsia="zh-CN"/>
                <w14:textFill>
                  <w14:solidFill>
                    <w14:schemeClr w14:val="tx1"/>
                  </w14:solidFill>
                </w14:textFill>
              </w:rPr>
              <w:t>1）焚烧炉废气</w:t>
            </w:r>
          </w:p>
          <w:p w14:paraId="1BB22D51">
            <w:pPr>
              <w:pStyle w:val="20"/>
              <w:pageBreakBefore w:val="0"/>
              <w:kinsoku/>
              <w:overflowPunct/>
              <w:topLinePunct w:val="0"/>
              <w:autoSpaceDE/>
              <w:autoSpaceDN/>
              <w:bidi w:val="0"/>
              <w:adjustRightInd/>
              <w:spacing w:line="360" w:lineRule="auto"/>
              <w:ind w:left="0" w:leftChars="0" w:right="0" w:rightChars="0" w:firstLine="480" w:firstLineChars="200"/>
              <w:rPr>
                <w:rFonts w:hint="default" w:ascii="Times New Roman" w:hAnsi="Times New Roman" w:eastAsia="宋体" w:cs="Times New Roman"/>
                <w:color w:val="000000" w:themeColor="text1"/>
                <w:kern w:val="24"/>
                <w:lang w:val="en-US" w:eastAsia="zh-CN"/>
                <w14:textFill>
                  <w14:solidFill>
                    <w14:schemeClr w14:val="tx1"/>
                  </w14:solidFill>
                </w14:textFill>
              </w:rPr>
            </w:pPr>
            <w:r>
              <w:rPr>
                <w:rFonts w:hint="default" w:ascii="Times New Roman" w:hAnsi="Times New Roman" w:eastAsia="宋体" w:cs="Times New Roman"/>
                <w:color w:val="000000" w:themeColor="text1"/>
                <w:kern w:val="24"/>
                <w:lang w:val="en-US" w:eastAsia="zh-CN"/>
                <w14:textFill>
                  <w14:solidFill>
                    <w14:schemeClr w14:val="tx1"/>
                  </w14:solidFill>
                </w14:textFill>
              </w:rPr>
              <w:t>焚烧炉废气主要为生物质燃烧废气（颗粒物、氮氧化物、二氧化硫）及</w:t>
            </w:r>
            <w:r>
              <w:rPr>
                <w:rFonts w:hint="eastAsia" w:ascii="Times New Roman" w:hAnsi="Times New Roman" w:cs="Times New Roman"/>
                <w:color w:val="000000" w:themeColor="text1"/>
                <w:kern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kern w:val="24"/>
                <w:lang w:val="en-US" w:eastAsia="zh-CN"/>
                <w14:textFill>
                  <w14:solidFill>
                    <w14:schemeClr w14:val="tx1"/>
                  </w14:solidFill>
                </w14:textFill>
              </w:rPr>
              <w:t>表面</w:t>
            </w:r>
            <w:r>
              <w:rPr>
                <w:rFonts w:hint="default" w:ascii="Times New Roman" w:hAnsi="Times New Roman" w:cs="Times New Roman"/>
                <w:color w:val="000000" w:themeColor="text1"/>
                <w:kern w:val="24"/>
                <w:lang w:val="en-US" w:eastAsia="zh-CN"/>
                <w14:textFill>
                  <w14:solidFill>
                    <w14:schemeClr w14:val="tx1"/>
                  </w14:solidFill>
                </w14:textFill>
              </w:rPr>
              <w:t>层</w:t>
            </w:r>
            <w:r>
              <w:rPr>
                <w:rFonts w:hint="default" w:ascii="Times New Roman" w:hAnsi="Times New Roman" w:eastAsia="宋体" w:cs="Times New Roman"/>
                <w:color w:val="000000" w:themeColor="text1"/>
                <w:kern w:val="24"/>
                <w:lang w:val="en-US" w:eastAsia="zh-CN"/>
                <w14:textFill>
                  <w14:solidFill>
                    <w14:schemeClr w14:val="tx1"/>
                  </w14:solidFill>
                </w14:textFill>
              </w:rPr>
              <w:t>焚烧废气。</w:t>
            </w:r>
          </w:p>
          <w:p w14:paraId="31B4A458">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cs="Times New Roman"/>
                <w:b/>
                <w:color w:val="000000" w:themeColor="text1"/>
                <w:sz w:val="24"/>
                <w:lang w:val="en-US" w:eastAsia="zh-CN"/>
                <w14:textFill>
                  <w14:solidFill>
                    <w14:schemeClr w14:val="tx1"/>
                  </w14:solidFill>
                </w14:textFill>
              </w:rPr>
            </w:pPr>
            <w:r>
              <w:rPr>
                <w:rFonts w:hint="default" w:ascii="Times New Roman" w:hAnsi="Times New Roman" w:cs="Times New Roman"/>
                <w:b/>
                <w:color w:val="000000" w:themeColor="text1"/>
                <w:sz w:val="24"/>
                <w:lang w:val="en-US" w:eastAsia="zh-CN"/>
                <w14:textFill>
                  <w14:solidFill>
                    <w14:schemeClr w14:val="tx1"/>
                  </w14:solidFill>
                </w14:textFill>
              </w:rPr>
              <w:t>①生物质燃烧废气</w:t>
            </w:r>
          </w:p>
          <w:p w14:paraId="181B122E">
            <w:pPr>
              <w:pStyle w:val="20"/>
              <w:pageBreakBefore w:val="0"/>
              <w:kinsoku/>
              <w:overflowPunct/>
              <w:topLinePunct w:val="0"/>
              <w:autoSpaceDE/>
              <w:autoSpaceDN/>
              <w:bidi w:val="0"/>
              <w:adjustRightInd/>
              <w:spacing w:line="360" w:lineRule="auto"/>
              <w:ind w:left="0" w:leftChars="0" w:right="0" w:rightChars="0" w:firstLine="480" w:firstLineChars="200"/>
              <w:rPr>
                <w:rFonts w:hint="default" w:ascii="Times New Roman" w:hAnsi="Times New Roman" w:eastAsia="宋体" w:cs="Times New Roman"/>
                <w:color w:val="000000" w:themeColor="text1"/>
                <w:kern w:val="24"/>
                <w:lang w:val="en-US" w:eastAsia="zh-CN"/>
                <w14:textFill>
                  <w14:solidFill>
                    <w14:schemeClr w14:val="tx1"/>
                  </w14:solidFill>
                </w14:textFill>
              </w:rPr>
            </w:pPr>
            <w:r>
              <w:rPr>
                <w:rFonts w:hint="default" w:ascii="Times New Roman" w:hAnsi="Times New Roman" w:eastAsia="宋体" w:cs="Times New Roman"/>
                <w:color w:val="000000" w:themeColor="text1"/>
                <w:kern w:val="24"/>
                <w:lang w:val="en-US" w:eastAsia="zh-CN"/>
                <w14:textFill>
                  <w14:solidFill>
                    <w14:schemeClr w14:val="tx1"/>
                  </w14:solidFill>
                </w14:textFill>
              </w:rPr>
              <w:t>生物质燃料烟气中的污染物指标参照《排放源统计调查产排污核算方法和系数手册》（生态环境部公告2021年第24号）中《33-37，431-434 机械行业系数手册》中生物质工业炉窑产污系数计算，根据工程分析核算，生物质燃料用量为225.375t/a。</w:t>
            </w:r>
            <w:r>
              <w:rPr>
                <w:rFonts w:hint="default" w:ascii="Times New Roman" w:hAnsi="Times New Roman" w:eastAsia="宋体" w:cs="Times New Roman"/>
                <w:color w:val="000000" w:themeColor="text1"/>
                <w:sz w:val="24"/>
                <w:lang w:val="en-US" w:eastAsia="zh-CN"/>
                <w14:textFill>
                  <w14:solidFill>
                    <w14:schemeClr w14:val="tx1"/>
                  </w14:solidFill>
                </w14:textFill>
              </w:rPr>
              <w:t>本项目年运行300天，每天运行8小时，</w:t>
            </w:r>
            <w:r>
              <w:rPr>
                <w:rFonts w:hint="default" w:ascii="Times New Roman" w:hAnsi="Times New Roman" w:eastAsia="宋体" w:cs="Times New Roman"/>
                <w:color w:val="000000" w:themeColor="text1"/>
                <w:kern w:val="24"/>
                <w:lang w:val="en-US" w:eastAsia="zh-CN"/>
                <w14:textFill>
                  <w14:solidFill>
                    <w14:schemeClr w14:val="tx1"/>
                  </w14:solidFill>
                </w14:textFill>
              </w:rPr>
              <w:t>产污系数详见下表</w:t>
            </w:r>
            <w:r>
              <w:rPr>
                <w:rFonts w:hint="default" w:ascii="Times New Roman" w:hAnsi="Times New Roman" w:cs="Times New Roman"/>
                <w:color w:val="000000" w:themeColor="text1"/>
                <w:kern w:val="24"/>
                <w:lang w:val="en-US" w:eastAsia="zh-CN"/>
                <w14:textFill>
                  <w14:solidFill>
                    <w14:schemeClr w14:val="tx1"/>
                  </w14:solidFill>
                </w14:textFill>
              </w:rPr>
              <w:t>。</w:t>
            </w:r>
          </w:p>
          <w:p w14:paraId="2342F2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表4-</w:t>
            </w:r>
            <w:r>
              <w:rPr>
                <w:rFonts w:hint="default" w:ascii="Times New Roman" w:hAnsi="Times New Roman" w:cs="Times New Roman"/>
                <w:b/>
                <w:bCs/>
                <w:color w:val="000000" w:themeColor="text1"/>
                <w:szCs w:val="21"/>
                <w:lang w:val="en-US" w:eastAsia="zh-CN"/>
                <w14:textFill>
                  <w14:solidFill>
                    <w14:schemeClr w14:val="tx1"/>
                  </w14:solidFill>
                </w14:textFill>
              </w:rPr>
              <w:t>2</w:t>
            </w:r>
            <w:r>
              <w:rPr>
                <w:rFonts w:hint="default" w:ascii="Times New Roman" w:hAnsi="Times New Roman" w:cs="Times New Roman"/>
                <w:b/>
                <w:bCs/>
                <w:color w:val="000000" w:themeColor="text1"/>
                <w:szCs w:val="21"/>
                <w14:textFill>
                  <w14:solidFill>
                    <w14:schemeClr w14:val="tx1"/>
                  </w14:solidFill>
                </w14:textFill>
              </w:rPr>
              <w:t xml:space="preserve">  </w:t>
            </w:r>
            <w:r>
              <w:rPr>
                <w:rFonts w:hint="default" w:ascii="Times New Roman" w:hAnsi="Times New Roman" w:eastAsia="宋体" w:cs="Times New Roman"/>
                <w:b/>
                <w:bCs/>
                <w:color w:val="000000" w:themeColor="text1"/>
                <w:szCs w:val="21"/>
                <w:lang w:val="en-US" w:eastAsia="zh-CN"/>
                <w14:textFill>
                  <w14:solidFill>
                    <w14:schemeClr w14:val="tx1"/>
                  </w14:solidFill>
                </w14:textFill>
              </w:rPr>
              <w:t>项目焚烧炉废气污染产污系数</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1045"/>
              <w:gridCol w:w="837"/>
              <w:gridCol w:w="1271"/>
              <w:gridCol w:w="1533"/>
              <w:gridCol w:w="841"/>
              <w:gridCol w:w="1727"/>
            </w:tblGrid>
            <w:tr w14:paraId="581D4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shd w:val="clear" w:color="auto" w:fill="auto"/>
                  <w:vAlign w:val="center"/>
                </w:tcPr>
                <w:p w14:paraId="562AEF92">
                  <w:pPr>
                    <w:pStyle w:val="151"/>
                    <w:widowControl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原料名称</w:t>
                  </w:r>
                </w:p>
              </w:tc>
              <w:tc>
                <w:tcPr>
                  <w:tcW w:w="648" w:type="pct"/>
                  <w:shd w:val="clear" w:color="auto" w:fill="auto"/>
                  <w:vAlign w:val="center"/>
                </w:tcPr>
                <w:p w14:paraId="1BBF8B5B">
                  <w:pPr>
                    <w:pStyle w:val="151"/>
                    <w:widowControl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工艺名称</w:t>
                  </w:r>
                </w:p>
              </w:tc>
              <w:tc>
                <w:tcPr>
                  <w:tcW w:w="519" w:type="pct"/>
                  <w:shd w:val="clear" w:color="auto" w:fill="auto"/>
                  <w:vAlign w:val="center"/>
                </w:tcPr>
                <w:p w14:paraId="7F9C1E9B">
                  <w:pPr>
                    <w:pStyle w:val="151"/>
                    <w:widowControl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规模等级</w:t>
                  </w:r>
                </w:p>
              </w:tc>
              <w:tc>
                <w:tcPr>
                  <w:tcW w:w="788" w:type="pct"/>
                  <w:shd w:val="clear" w:color="auto" w:fill="auto"/>
                  <w:vAlign w:val="center"/>
                </w:tcPr>
                <w:p w14:paraId="76D8465A">
                  <w:pPr>
                    <w:pStyle w:val="151"/>
                    <w:widowControl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污染物指标</w:t>
                  </w:r>
                </w:p>
              </w:tc>
              <w:tc>
                <w:tcPr>
                  <w:tcW w:w="950" w:type="pct"/>
                  <w:shd w:val="clear" w:color="auto" w:fill="auto"/>
                  <w:vAlign w:val="center"/>
                </w:tcPr>
                <w:p w14:paraId="00235319">
                  <w:pPr>
                    <w:pStyle w:val="151"/>
                    <w:widowControl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单位</w:t>
                  </w:r>
                </w:p>
              </w:tc>
              <w:tc>
                <w:tcPr>
                  <w:tcW w:w="521" w:type="pct"/>
                  <w:shd w:val="clear" w:color="auto" w:fill="auto"/>
                  <w:vAlign w:val="center"/>
                </w:tcPr>
                <w:p w14:paraId="57CF54C4">
                  <w:pPr>
                    <w:pStyle w:val="151"/>
                    <w:widowControl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产污系数</w:t>
                  </w:r>
                </w:p>
              </w:tc>
              <w:tc>
                <w:tcPr>
                  <w:tcW w:w="1067" w:type="pct"/>
                  <w:shd w:val="clear" w:color="auto" w:fill="auto"/>
                  <w:vAlign w:val="center"/>
                </w:tcPr>
                <w:p w14:paraId="1E515D91">
                  <w:pPr>
                    <w:pStyle w:val="151"/>
                    <w:widowControl w:val="0"/>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cs="Times New Roman"/>
                      <w:b/>
                      <w:color w:val="000000" w:themeColor="text1"/>
                      <w:sz w:val="21"/>
                      <w:szCs w:val="21"/>
                      <w:lang w:eastAsia="zh-CN"/>
                      <w14:textFill>
                        <w14:solidFill>
                          <w14:schemeClr w14:val="tx1"/>
                        </w14:solidFill>
                      </w14:textFill>
                    </w:rPr>
                    <w:t>产生量</w:t>
                  </w:r>
                </w:p>
              </w:tc>
            </w:tr>
            <w:tr w14:paraId="7867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4" w:type="pct"/>
                  <w:vMerge w:val="restart"/>
                  <w:shd w:val="clear" w:color="auto" w:fill="auto"/>
                  <w:vAlign w:val="center"/>
                </w:tcPr>
                <w:p w14:paraId="70DB7C59">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生物质</w:t>
                  </w:r>
                </w:p>
              </w:tc>
              <w:tc>
                <w:tcPr>
                  <w:tcW w:w="648" w:type="pct"/>
                  <w:vMerge w:val="restart"/>
                  <w:shd w:val="clear" w:color="auto" w:fill="auto"/>
                  <w:vAlign w:val="center"/>
                </w:tcPr>
                <w:p w14:paraId="532AD028">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生物质工业炉窑</w:t>
                  </w:r>
                </w:p>
              </w:tc>
              <w:tc>
                <w:tcPr>
                  <w:tcW w:w="519" w:type="pct"/>
                  <w:vMerge w:val="restart"/>
                  <w:shd w:val="clear" w:color="auto" w:fill="auto"/>
                  <w:vAlign w:val="center"/>
                </w:tcPr>
                <w:p w14:paraId="1A50D1D2">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所有规模</w:t>
                  </w:r>
                </w:p>
              </w:tc>
              <w:tc>
                <w:tcPr>
                  <w:tcW w:w="788" w:type="pct"/>
                  <w:shd w:val="clear" w:color="auto" w:fill="auto"/>
                  <w:vAlign w:val="center"/>
                </w:tcPr>
                <w:p w14:paraId="5BD9D0F9">
                  <w:pPr>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Style w:val="100"/>
                      <w:rFonts w:hint="default" w:ascii="Times New Roman" w:hAnsi="Times New Roman" w:cs="Times New Roman"/>
                      <w:color w:val="000000" w:themeColor="text1"/>
                      <w:sz w:val="21"/>
                      <w:szCs w:val="21"/>
                      <w:lang w:bidi="ar"/>
                      <w14:textFill>
                        <w14:solidFill>
                          <w14:schemeClr w14:val="tx1"/>
                        </w14:solidFill>
                      </w14:textFill>
                    </w:rPr>
                    <w:t>二氧化硫</w:t>
                  </w:r>
                </w:p>
              </w:tc>
              <w:tc>
                <w:tcPr>
                  <w:tcW w:w="950" w:type="pct"/>
                  <w:shd w:val="clear" w:color="auto" w:fill="auto"/>
                  <w:vAlign w:val="center"/>
                </w:tcPr>
                <w:p w14:paraId="5AC6FD52">
                  <w:pPr>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Style w:val="100"/>
                      <w:rFonts w:hint="default" w:ascii="Times New Roman" w:hAnsi="Times New Roman" w:cs="Times New Roman"/>
                      <w:color w:val="000000" w:themeColor="text1"/>
                      <w:sz w:val="21"/>
                      <w:szCs w:val="21"/>
                      <w:lang w:bidi="ar"/>
                      <w14:textFill>
                        <w14:solidFill>
                          <w14:schemeClr w14:val="tx1"/>
                        </w14:solidFill>
                      </w14:textFill>
                    </w:rPr>
                    <w:t>千克</w:t>
                  </w:r>
                  <w:r>
                    <w:rPr>
                      <w:rStyle w:val="114"/>
                      <w:rFonts w:hint="default" w:ascii="Times New Roman" w:hAnsi="Times New Roman" w:cs="Times New Roman"/>
                      <w:color w:val="000000" w:themeColor="text1"/>
                      <w:sz w:val="21"/>
                      <w:szCs w:val="21"/>
                      <w:lang w:bidi="ar"/>
                      <w14:textFill>
                        <w14:solidFill>
                          <w14:schemeClr w14:val="tx1"/>
                        </w14:solidFill>
                      </w14:textFill>
                    </w:rPr>
                    <w:t>/</w:t>
                  </w:r>
                  <w:r>
                    <w:rPr>
                      <w:rStyle w:val="100"/>
                      <w:rFonts w:hint="default" w:ascii="Times New Roman" w:hAnsi="Times New Roman" w:cs="Times New Roman"/>
                      <w:color w:val="000000" w:themeColor="text1"/>
                      <w:sz w:val="21"/>
                      <w:szCs w:val="21"/>
                      <w:lang w:bidi="ar"/>
                      <w14:textFill>
                        <w14:solidFill>
                          <w14:schemeClr w14:val="tx1"/>
                        </w14:solidFill>
                      </w14:textFill>
                    </w:rPr>
                    <w:t>吨</w:t>
                  </w:r>
                  <w:r>
                    <w:rPr>
                      <w:rStyle w:val="114"/>
                      <w:rFonts w:hint="default" w:ascii="Times New Roman" w:hAnsi="Times New Roman" w:cs="Times New Roman"/>
                      <w:color w:val="000000" w:themeColor="text1"/>
                      <w:sz w:val="21"/>
                      <w:szCs w:val="21"/>
                      <w:lang w:bidi="ar"/>
                      <w14:textFill>
                        <w14:solidFill>
                          <w14:schemeClr w14:val="tx1"/>
                        </w14:solidFill>
                      </w14:textFill>
                    </w:rPr>
                    <w:t>-</w:t>
                  </w:r>
                  <w:r>
                    <w:rPr>
                      <w:rStyle w:val="100"/>
                      <w:rFonts w:hint="default" w:ascii="Times New Roman" w:hAnsi="Times New Roman" w:cs="Times New Roman"/>
                      <w:color w:val="000000" w:themeColor="text1"/>
                      <w:sz w:val="21"/>
                      <w:szCs w:val="21"/>
                      <w:lang w:bidi="ar"/>
                      <w14:textFill>
                        <w14:solidFill>
                          <w14:schemeClr w14:val="tx1"/>
                        </w14:solidFill>
                      </w14:textFill>
                    </w:rPr>
                    <w:t>原料</w:t>
                  </w:r>
                </w:p>
              </w:tc>
              <w:tc>
                <w:tcPr>
                  <w:tcW w:w="521" w:type="pct"/>
                  <w:shd w:val="clear" w:color="auto" w:fill="auto"/>
                  <w:vAlign w:val="center"/>
                </w:tcPr>
                <w:p w14:paraId="55013DB5">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17S</w:t>
                  </w:r>
                  <w:r>
                    <w:rPr>
                      <w:rFonts w:hint="default" w:ascii="Times New Roman" w:hAnsi="Times New Roman" w:cs="Times New Roman"/>
                      <w:color w:val="000000" w:themeColor="text1"/>
                      <w:sz w:val="21"/>
                      <w:szCs w:val="21"/>
                      <w:vertAlign w:val="superscript"/>
                      <w14:textFill>
                        <w14:solidFill>
                          <w14:schemeClr w14:val="tx1"/>
                        </w14:solidFill>
                      </w14:textFill>
                    </w:rPr>
                    <w:t>①</w:t>
                  </w:r>
                </w:p>
              </w:tc>
              <w:tc>
                <w:tcPr>
                  <w:tcW w:w="1067" w:type="pct"/>
                  <w:shd w:val="clear" w:color="auto" w:fill="auto"/>
                  <w:vAlign w:val="center"/>
                </w:tcPr>
                <w:p w14:paraId="31927421">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0.12076</w:t>
                  </w:r>
                  <w:r>
                    <w:rPr>
                      <w:rFonts w:hint="default" w:ascii="Times New Roman" w:hAnsi="Times New Roman" w:cs="Times New Roman"/>
                      <w:color w:val="000000" w:themeColor="text1"/>
                      <w:sz w:val="21"/>
                      <w:szCs w:val="21"/>
                      <w:lang w:val="en-US" w:eastAsia="zh-CN"/>
                      <w14:textFill>
                        <w14:solidFill>
                          <w14:schemeClr w14:val="tx1"/>
                        </w14:solidFill>
                      </w14:textFill>
                    </w:rPr>
                    <w:t>t/a</w:t>
                  </w:r>
                </w:p>
              </w:tc>
            </w:tr>
            <w:tr w14:paraId="380F4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continue"/>
                  <w:shd w:val="clear" w:color="auto" w:fill="auto"/>
                  <w:vAlign w:val="center"/>
                </w:tcPr>
                <w:p w14:paraId="0958450C">
                  <w:pPr>
                    <w:jc w:val="center"/>
                    <w:rPr>
                      <w:rFonts w:hint="default" w:ascii="Times New Roman" w:hAnsi="Times New Roman" w:cs="Times New Roman"/>
                      <w:color w:val="000000" w:themeColor="text1"/>
                      <w:sz w:val="21"/>
                      <w:szCs w:val="21"/>
                      <w14:textFill>
                        <w14:solidFill>
                          <w14:schemeClr w14:val="tx1"/>
                        </w14:solidFill>
                      </w14:textFill>
                    </w:rPr>
                  </w:pPr>
                </w:p>
              </w:tc>
              <w:tc>
                <w:tcPr>
                  <w:tcW w:w="648" w:type="pct"/>
                  <w:vMerge w:val="continue"/>
                  <w:shd w:val="clear" w:color="auto" w:fill="auto"/>
                  <w:vAlign w:val="center"/>
                </w:tcPr>
                <w:p w14:paraId="6C344594">
                  <w:pPr>
                    <w:jc w:val="center"/>
                    <w:rPr>
                      <w:rFonts w:hint="default" w:ascii="Times New Roman" w:hAnsi="Times New Roman" w:cs="Times New Roman"/>
                      <w:color w:val="000000" w:themeColor="text1"/>
                      <w:sz w:val="21"/>
                      <w:szCs w:val="21"/>
                      <w14:textFill>
                        <w14:solidFill>
                          <w14:schemeClr w14:val="tx1"/>
                        </w14:solidFill>
                      </w14:textFill>
                    </w:rPr>
                  </w:pPr>
                </w:p>
              </w:tc>
              <w:tc>
                <w:tcPr>
                  <w:tcW w:w="519" w:type="pct"/>
                  <w:vMerge w:val="continue"/>
                  <w:shd w:val="clear" w:color="auto" w:fill="auto"/>
                  <w:vAlign w:val="center"/>
                </w:tcPr>
                <w:p w14:paraId="6808ABFA">
                  <w:pPr>
                    <w:jc w:val="center"/>
                    <w:rPr>
                      <w:rFonts w:hint="default" w:ascii="Times New Roman" w:hAnsi="Times New Roman" w:cs="Times New Roman"/>
                      <w:color w:val="000000" w:themeColor="text1"/>
                      <w:sz w:val="21"/>
                      <w:szCs w:val="21"/>
                      <w14:textFill>
                        <w14:solidFill>
                          <w14:schemeClr w14:val="tx1"/>
                        </w14:solidFill>
                      </w14:textFill>
                    </w:rPr>
                  </w:pPr>
                </w:p>
              </w:tc>
              <w:tc>
                <w:tcPr>
                  <w:tcW w:w="788" w:type="pct"/>
                  <w:shd w:val="clear" w:color="auto" w:fill="auto"/>
                  <w:vAlign w:val="center"/>
                </w:tcPr>
                <w:p w14:paraId="2395483E">
                  <w:pPr>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Style w:val="100"/>
                      <w:rFonts w:hint="default" w:ascii="Times New Roman" w:hAnsi="Times New Roman" w:cs="Times New Roman"/>
                      <w:color w:val="000000" w:themeColor="text1"/>
                      <w:sz w:val="21"/>
                      <w:szCs w:val="21"/>
                      <w:lang w:bidi="ar"/>
                      <w14:textFill>
                        <w14:solidFill>
                          <w14:schemeClr w14:val="tx1"/>
                        </w14:solidFill>
                      </w14:textFill>
                    </w:rPr>
                    <w:t>颗粒物</w:t>
                  </w:r>
                </w:p>
              </w:tc>
              <w:tc>
                <w:tcPr>
                  <w:tcW w:w="950" w:type="pct"/>
                  <w:shd w:val="clear" w:color="auto" w:fill="auto"/>
                  <w:vAlign w:val="center"/>
                </w:tcPr>
                <w:p w14:paraId="11B7F701">
                  <w:pPr>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Style w:val="100"/>
                      <w:rFonts w:hint="default" w:ascii="Times New Roman" w:hAnsi="Times New Roman" w:cs="Times New Roman"/>
                      <w:color w:val="000000" w:themeColor="text1"/>
                      <w:sz w:val="21"/>
                      <w:szCs w:val="21"/>
                      <w:lang w:bidi="ar"/>
                      <w14:textFill>
                        <w14:solidFill>
                          <w14:schemeClr w14:val="tx1"/>
                        </w14:solidFill>
                      </w14:textFill>
                    </w:rPr>
                    <w:t>千克</w:t>
                  </w:r>
                  <w:r>
                    <w:rPr>
                      <w:rStyle w:val="114"/>
                      <w:rFonts w:hint="default" w:ascii="Times New Roman" w:hAnsi="Times New Roman" w:cs="Times New Roman"/>
                      <w:color w:val="000000" w:themeColor="text1"/>
                      <w:sz w:val="21"/>
                      <w:szCs w:val="21"/>
                      <w:lang w:bidi="ar"/>
                      <w14:textFill>
                        <w14:solidFill>
                          <w14:schemeClr w14:val="tx1"/>
                        </w14:solidFill>
                      </w14:textFill>
                    </w:rPr>
                    <w:t>/</w:t>
                  </w:r>
                  <w:r>
                    <w:rPr>
                      <w:rStyle w:val="100"/>
                      <w:rFonts w:hint="default" w:ascii="Times New Roman" w:hAnsi="Times New Roman" w:cs="Times New Roman"/>
                      <w:color w:val="000000" w:themeColor="text1"/>
                      <w:sz w:val="21"/>
                      <w:szCs w:val="21"/>
                      <w:lang w:bidi="ar"/>
                      <w14:textFill>
                        <w14:solidFill>
                          <w14:schemeClr w14:val="tx1"/>
                        </w14:solidFill>
                      </w14:textFill>
                    </w:rPr>
                    <w:t>吨</w:t>
                  </w:r>
                  <w:r>
                    <w:rPr>
                      <w:rStyle w:val="114"/>
                      <w:rFonts w:hint="default" w:ascii="Times New Roman" w:hAnsi="Times New Roman" w:cs="Times New Roman"/>
                      <w:color w:val="000000" w:themeColor="text1"/>
                      <w:sz w:val="21"/>
                      <w:szCs w:val="21"/>
                      <w:lang w:bidi="ar"/>
                      <w14:textFill>
                        <w14:solidFill>
                          <w14:schemeClr w14:val="tx1"/>
                        </w14:solidFill>
                      </w14:textFill>
                    </w:rPr>
                    <w:t>-</w:t>
                  </w:r>
                  <w:r>
                    <w:rPr>
                      <w:rStyle w:val="100"/>
                      <w:rFonts w:hint="default" w:ascii="Times New Roman" w:hAnsi="Times New Roman" w:cs="Times New Roman"/>
                      <w:color w:val="000000" w:themeColor="text1"/>
                      <w:sz w:val="21"/>
                      <w:szCs w:val="21"/>
                      <w:lang w:bidi="ar"/>
                      <w14:textFill>
                        <w14:solidFill>
                          <w14:schemeClr w14:val="tx1"/>
                        </w14:solidFill>
                      </w14:textFill>
                    </w:rPr>
                    <w:t>原料</w:t>
                  </w:r>
                </w:p>
              </w:tc>
              <w:tc>
                <w:tcPr>
                  <w:tcW w:w="521" w:type="pct"/>
                  <w:shd w:val="clear" w:color="auto" w:fill="auto"/>
                  <w:vAlign w:val="center"/>
                </w:tcPr>
                <w:p w14:paraId="4748963E">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37.6</w:t>
                  </w:r>
                </w:p>
              </w:tc>
              <w:tc>
                <w:tcPr>
                  <w:tcW w:w="1067" w:type="pct"/>
                  <w:shd w:val="clear" w:color="auto" w:fill="auto"/>
                  <w:vAlign w:val="center"/>
                </w:tcPr>
                <w:p w14:paraId="645A7A96">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8.4741t/a</w:t>
                  </w:r>
                </w:p>
              </w:tc>
            </w:tr>
            <w:tr w14:paraId="3951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continue"/>
                  <w:shd w:val="clear" w:color="auto" w:fill="auto"/>
                  <w:vAlign w:val="center"/>
                </w:tcPr>
                <w:p w14:paraId="4F8CEC25">
                  <w:pPr>
                    <w:jc w:val="center"/>
                    <w:rPr>
                      <w:rFonts w:hint="default" w:ascii="Times New Roman" w:hAnsi="Times New Roman" w:cs="Times New Roman"/>
                      <w:color w:val="000000" w:themeColor="text1"/>
                      <w:sz w:val="21"/>
                      <w:szCs w:val="21"/>
                      <w14:textFill>
                        <w14:solidFill>
                          <w14:schemeClr w14:val="tx1"/>
                        </w14:solidFill>
                      </w14:textFill>
                    </w:rPr>
                  </w:pPr>
                </w:p>
              </w:tc>
              <w:tc>
                <w:tcPr>
                  <w:tcW w:w="648" w:type="pct"/>
                  <w:vMerge w:val="continue"/>
                  <w:shd w:val="clear" w:color="auto" w:fill="auto"/>
                  <w:vAlign w:val="center"/>
                </w:tcPr>
                <w:p w14:paraId="3F3A90D5">
                  <w:pPr>
                    <w:jc w:val="center"/>
                    <w:rPr>
                      <w:rFonts w:hint="default" w:ascii="Times New Roman" w:hAnsi="Times New Roman" w:cs="Times New Roman"/>
                      <w:color w:val="000000" w:themeColor="text1"/>
                      <w:sz w:val="21"/>
                      <w:szCs w:val="21"/>
                      <w14:textFill>
                        <w14:solidFill>
                          <w14:schemeClr w14:val="tx1"/>
                        </w14:solidFill>
                      </w14:textFill>
                    </w:rPr>
                  </w:pPr>
                </w:p>
              </w:tc>
              <w:tc>
                <w:tcPr>
                  <w:tcW w:w="519" w:type="pct"/>
                  <w:vMerge w:val="continue"/>
                  <w:shd w:val="clear" w:color="auto" w:fill="auto"/>
                  <w:vAlign w:val="center"/>
                </w:tcPr>
                <w:p w14:paraId="25F30986">
                  <w:pPr>
                    <w:jc w:val="center"/>
                    <w:rPr>
                      <w:rFonts w:hint="default" w:ascii="Times New Roman" w:hAnsi="Times New Roman" w:cs="Times New Roman"/>
                      <w:color w:val="000000" w:themeColor="text1"/>
                      <w:sz w:val="21"/>
                      <w:szCs w:val="21"/>
                      <w14:textFill>
                        <w14:solidFill>
                          <w14:schemeClr w14:val="tx1"/>
                        </w14:solidFill>
                      </w14:textFill>
                    </w:rPr>
                  </w:pPr>
                </w:p>
              </w:tc>
              <w:tc>
                <w:tcPr>
                  <w:tcW w:w="788" w:type="pct"/>
                  <w:shd w:val="clear" w:color="auto" w:fill="auto"/>
                  <w:vAlign w:val="center"/>
                </w:tcPr>
                <w:p w14:paraId="3CAC9A28">
                  <w:pPr>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Style w:val="100"/>
                      <w:rFonts w:hint="default" w:ascii="Times New Roman" w:hAnsi="Times New Roman" w:cs="Times New Roman"/>
                      <w:color w:val="000000" w:themeColor="text1"/>
                      <w:sz w:val="21"/>
                      <w:szCs w:val="21"/>
                      <w:lang w:bidi="ar"/>
                      <w14:textFill>
                        <w14:solidFill>
                          <w14:schemeClr w14:val="tx1"/>
                        </w14:solidFill>
                      </w14:textFill>
                    </w:rPr>
                    <w:t>氮氧化物</w:t>
                  </w:r>
                </w:p>
              </w:tc>
              <w:tc>
                <w:tcPr>
                  <w:tcW w:w="950" w:type="pct"/>
                  <w:shd w:val="clear" w:color="auto" w:fill="auto"/>
                  <w:vAlign w:val="center"/>
                </w:tcPr>
                <w:p w14:paraId="01D60467">
                  <w:pPr>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Style w:val="100"/>
                      <w:rFonts w:hint="default" w:ascii="Times New Roman" w:hAnsi="Times New Roman" w:cs="Times New Roman"/>
                      <w:color w:val="000000" w:themeColor="text1"/>
                      <w:sz w:val="21"/>
                      <w:szCs w:val="21"/>
                      <w:lang w:bidi="ar"/>
                      <w14:textFill>
                        <w14:solidFill>
                          <w14:schemeClr w14:val="tx1"/>
                        </w14:solidFill>
                      </w14:textFill>
                    </w:rPr>
                    <w:t>千克</w:t>
                  </w:r>
                  <w:r>
                    <w:rPr>
                      <w:rStyle w:val="114"/>
                      <w:rFonts w:hint="default" w:ascii="Times New Roman" w:hAnsi="Times New Roman" w:cs="Times New Roman"/>
                      <w:color w:val="000000" w:themeColor="text1"/>
                      <w:sz w:val="21"/>
                      <w:szCs w:val="21"/>
                      <w:lang w:bidi="ar"/>
                      <w14:textFill>
                        <w14:solidFill>
                          <w14:schemeClr w14:val="tx1"/>
                        </w14:solidFill>
                      </w14:textFill>
                    </w:rPr>
                    <w:t>/</w:t>
                  </w:r>
                  <w:r>
                    <w:rPr>
                      <w:rStyle w:val="100"/>
                      <w:rFonts w:hint="default" w:ascii="Times New Roman" w:hAnsi="Times New Roman" w:cs="Times New Roman"/>
                      <w:color w:val="000000" w:themeColor="text1"/>
                      <w:sz w:val="21"/>
                      <w:szCs w:val="21"/>
                      <w:lang w:bidi="ar"/>
                      <w14:textFill>
                        <w14:solidFill>
                          <w14:schemeClr w14:val="tx1"/>
                        </w14:solidFill>
                      </w14:textFill>
                    </w:rPr>
                    <w:t>吨</w:t>
                  </w:r>
                  <w:r>
                    <w:rPr>
                      <w:rStyle w:val="114"/>
                      <w:rFonts w:hint="default" w:ascii="Times New Roman" w:hAnsi="Times New Roman" w:cs="Times New Roman"/>
                      <w:color w:val="000000" w:themeColor="text1"/>
                      <w:sz w:val="21"/>
                      <w:szCs w:val="21"/>
                      <w:lang w:bidi="ar"/>
                      <w14:textFill>
                        <w14:solidFill>
                          <w14:schemeClr w14:val="tx1"/>
                        </w14:solidFill>
                      </w14:textFill>
                    </w:rPr>
                    <w:t>-</w:t>
                  </w:r>
                  <w:r>
                    <w:rPr>
                      <w:rStyle w:val="100"/>
                      <w:rFonts w:hint="default" w:ascii="Times New Roman" w:hAnsi="Times New Roman" w:cs="Times New Roman"/>
                      <w:color w:val="000000" w:themeColor="text1"/>
                      <w:sz w:val="21"/>
                      <w:szCs w:val="21"/>
                      <w:lang w:bidi="ar"/>
                      <w14:textFill>
                        <w14:solidFill>
                          <w14:schemeClr w14:val="tx1"/>
                        </w14:solidFill>
                      </w14:textFill>
                    </w:rPr>
                    <w:t>原料</w:t>
                  </w:r>
                </w:p>
              </w:tc>
              <w:tc>
                <w:tcPr>
                  <w:tcW w:w="521" w:type="pct"/>
                  <w:shd w:val="clear" w:color="auto" w:fill="auto"/>
                  <w:vAlign w:val="center"/>
                </w:tcPr>
                <w:p w14:paraId="01C1E8B6">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1.02</w:t>
                  </w:r>
                </w:p>
              </w:tc>
              <w:tc>
                <w:tcPr>
                  <w:tcW w:w="1067" w:type="pct"/>
                  <w:shd w:val="clear" w:color="auto" w:fill="auto"/>
                  <w:vAlign w:val="center"/>
                </w:tcPr>
                <w:p w14:paraId="469D9892">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2299t/a</w:t>
                  </w:r>
                </w:p>
              </w:tc>
            </w:tr>
            <w:tr w14:paraId="45A29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shd w:val="clear" w:color="auto" w:fill="auto"/>
                  <w:vAlign w:val="center"/>
                </w:tcPr>
                <w:p w14:paraId="0BA32048">
                  <w:pPr>
                    <w:spacing w:line="240" w:lineRule="auto"/>
                    <w:ind w:firstLine="420" w:firstLineChars="200"/>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①S——收到基硫分（取值范围 0-100，燃料为气体时，取值范围&gt;=0）</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二氧化硫的产污系数是以含硫量（S%）的形式表示的，其中含硫量（S%）是指生物质收到的基硫分含量，以质量百分数的形式标准，例如生物质含硫量（S%）为S=0.1%，则S=0.1</w:t>
                  </w:r>
                </w:p>
                <w:p w14:paraId="623DD804">
                  <w:pPr>
                    <w:spacing w:line="240" w:lineRule="auto"/>
                    <w:ind w:firstLine="420" w:firstLineChars="20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本项目参照</w:t>
                  </w:r>
                  <w:r>
                    <w:rPr>
                      <w:rFonts w:hint="default" w:ascii="Times New Roman" w:hAnsi="Times New Roman" w:eastAsia="宋体" w:cs="Times New Roman"/>
                      <w:color w:val="000000" w:themeColor="text1"/>
                      <w:sz w:val="21"/>
                      <w:szCs w:val="21"/>
                      <w14:textFill>
                        <w14:solidFill>
                          <w14:schemeClr w14:val="tx1"/>
                        </w14:solidFill>
                      </w14:textFill>
                    </w:rPr>
                    <w:t>生物质燃料</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成分报告</w:t>
                  </w:r>
                  <w:r>
                    <w:rPr>
                      <w:rFonts w:hint="default" w:ascii="Times New Roman" w:hAnsi="Times New Roman" w:eastAsia="宋体" w:cs="Times New Roman"/>
                      <w:color w:val="000000" w:themeColor="text1"/>
                      <w:sz w:val="21"/>
                      <w:szCs w:val="21"/>
                      <w:lang w:eastAsia="zh-CN"/>
                      <w14:textFill>
                        <w14:solidFill>
                          <w14:schemeClr w14:val="tx1"/>
                        </w14:solidFill>
                      </w14:textFill>
                    </w:rPr>
                    <w:t>中</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空干基全硫为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0.03%；根据空干基全硫Sad和收到基硫分Sar换算公式为Sar=Sad（100-Mad）/（100-Mt），根据成分报告，空干基水分Mad为0.91%，全水分Mt为5.7%，本项目收到基全硫取0.03152。</w:t>
                  </w:r>
                </w:p>
              </w:tc>
            </w:tr>
          </w:tbl>
          <w:p w14:paraId="605D9121">
            <w:pPr>
              <w:pageBreakBefore w:val="0"/>
              <w:kinsoku/>
              <w:overflowPunct/>
              <w:topLinePunct w:val="0"/>
              <w:bidi w:val="0"/>
              <w:adjustRightInd w:val="0"/>
              <w:snapToGrid w:val="0"/>
              <w:spacing w:line="360" w:lineRule="auto"/>
              <w:ind w:left="0" w:leftChars="0" w:right="0" w:firstLine="482" w:firstLineChars="20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②</w:t>
            </w:r>
            <w:r>
              <w:rPr>
                <w:rFonts w:hint="eastAsia" w:ascii="Times New Roman" w:hAnsi="Times New Roman" w:cs="Times New Roman"/>
                <w:b/>
                <w:color w:val="000000" w:themeColor="text1"/>
                <w:sz w:val="24"/>
                <w:lang w:val="en-US" w:eastAsia="zh-CN"/>
                <w14:textFill>
                  <w14:solidFill>
                    <w14:schemeClr w14:val="tx1"/>
                  </w14:solidFill>
                </w14:textFill>
              </w:rPr>
              <w:t>液化石油气钢瓶</w:t>
            </w:r>
            <w:r>
              <w:rPr>
                <w:rFonts w:hint="default" w:ascii="Times New Roman" w:hAnsi="Times New Roman" w:eastAsia="宋体" w:cs="Times New Roman"/>
                <w:b/>
                <w:color w:val="000000" w:themeColor="text1"/>
                <w:sz w:val="24"/>
                <w:lang w:val="en-US" w:eastAsia="zh-CN"/>
                <w14:textFill>
                  <w14:solidFill>
                    <w14:schemeClr w14:val="tx1"/>
                  </w14:solidFill>
                </w14:textFill>
              </w:rPr>
              <w:t>表面层焚烧废气</w:t>
            </w:r>
          </w:p>
          <w:p w14:paraId="760CDEFE">
            <w:pPr>
              <w:pStyle w:val="20"/>
              <w:pageBreakBefore w:val="0"/>
              <w:kinsoku/>
              <w:overflowPunct/>
              <w:topLinePunct w:val="0"/>
              <w:autoSpaceDE/>
              <w:autoSpaceDN/>
              <w:bidi w:val="0"/>
              <w:adjustRightInd/>
              <w:spacing w:line="360" w:lineRule="auto"/>
              <w:ind w:left="0" w:leftChars="0" w:right="0" w:rightChars="0" w:firstLine="480" w:firstLineChars="200"/>
              <w:rPr>
                <w:rFonts w:hint="default" w:ascii="Times New Roman" w:hAnsi="Times New Roman" w:eastAsia="宋体" w:cs="Times New Roman"/>
                <w:color w:val="000000" w:themeColor="text1"/>
                <w:kern w:val="24"/>
                <w:lang w:val="en-US" w:eastAsia="zh-CN"/>
                <w14:textFill>
                  <w14:solidFill>
                    <w14:schemeClr w14:val="tx1"/>
                  </w14:solidFill>
                </w14:textFill>
              </w:rPr>
            </w:pPr>
            <w:r>
              <w:rPr>
                <w:rFonts w:hint="eastAsia" w:ascii="Times New Roman" w:hAnsi="Times New Roman" w:cs="Times New Roman"/>
                <w:color w:val="000000" w:themeColor="text1"/>
                <w:kern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kern w:val="24"/>
                <w:lang w:val="en-US" w:eastAsia="zh-CN"/>
                <w14:textFill>
                  <w14:solidFill>
                    <w14:schemeClr w14:val="tx1"/>
                  </w14:solidFill>
                </w14:textFill>
              </w:rPr>
              <w:t>焚烧过程中原有表面喷涂层完全炭化会产生烟尘。</w:t>
            </w:r>
          </w:p>
          <w:p w14:paraId="6AAA5087">
            <w:pPr>
              <w:pStyle w:val="20"/>
              <w:pageBreakBefore w:val="0"/>
              <w:kinsoku/>
              <w:overflowPunct/>
              <w:topLinePunct w:val="0"/>
              <w:autoSpaceDE/>
              <w:autoSpaceDN/>
              <w:bidi w:val="0"/>
              <w:adjustRightInd/>
              <w:spacing w:line="360" w:lineRule="auto"/>
              <w:ind w:left="0" w:leftChars="0" w:right="0" w:rightChars="0" w:firstLine="480" w:firstLineChars="200"/>
              <w:rPr>
                <w:rFonts w:hint="default" w:ascii="Times New Roman" w:hAnsi="Times New Roman" w:eastAsia="宋体" w:cs="Times New Roman"/>
                <w:color w:val="000000" w:themeColor="text1"/>
                <w:kern w:val="24"/>
                <w:lang w:val="en-US" w:eastAsia="zh-CN"/>
                <w14:textFill>
                  <w14:solidFill>
                    <w14:schemeClr w14:val="tx1"/>
                  </w14:solidFill>
                </w14:textFill>
              </w:rPr>
            </w:pPr>
            <w:r>
              <w:rPr>
                <w:rFonts w:hint="eastAsia" w:ascii="Times New Roman" w:hAnsi="Times New Roman" w:cs="Times New Roman"/>
                <w:color w:val="000000" w:themeColor="text1"/>
                <w:kern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kern w:val="24"/>
                <w:lang w:val="en-US" w:eastAsia="zh-CN"/>
                <w14:textFill>
                  <w14:solidFill>
                    <w14:schemeClr w14:val="tx1"/>
                  </w14:solidFill>
                </w14:textFill>
              </w:rPr>
              <w:t>表面涂层粉末涂料的类型为环氧聚酯粉末涂料，由环氧树脂、聚酯树脂、碳酸钙、颜料、助剂组成。环氧树脂的种类繁多，不同类型的环氧树脂的合成方法不同。环氧树脂的合成方法主要有两种:（1）多元酚、多元醇、多元酸或多元胺等含活泼氢原子的化合物与环氧氯丙烷等含环氧基的化合物经缩聚而得。（2）链状或环状双烯类化合物的双键与过氧酸经环氧化而成目前双酚A型环氧树脂占环氧树脂总产量的85%以上，常见的环氧树脂是由二元(或多元酚与环氧氯丙烷在碱的参与下缩聚而得。由于反应的复杂性，无论是醚化阶段还是脱氯化氢成环阶段，都存在着主反应和副反应。双酚A型环氧树脂中的氯以其存在形式分为有机氯和无机氯。无机氯主要是指树脂中的氯离子，无机氯的存在会影响固化树脂的电性能。树脂中的有机氯含量标志着分子中未起闭环反应的那部分氯醇基团的含量，它含量应尽可能地降低，否则也会影响树脂的固化及固化物的性能。一般产品有机氯含量为（400-500）x10</w:t>
            </w:r>
            <w:r>
              <w:rPr>
                <w:rFonts w:hint="default" w:ascii="Times New Roman" w:hAnsi="Times New Roman" w:eastAsia="宋体" w:cs="Times New Roman"/>
                <w:color w:val="000000" w:themeColor="text1"/>
                <w:kern w:val="24"/>
                <w:vertAlign w:val="superscript"/>
                <w:lang w:val="en-US" w:eastAsia="zh-CN"/>
                <w14:textFill>
                  <w14:solidFill>
                    <w14:schemeClr w14:val="tx1"/>
                  </w14:solidFill>
                </w14:textFill>
              </w:rPr>
              <w:t>-6</w:t>
            </w:r>
            <w:r>
              <w:rPr>
                <w:rFonts w:hint="default" w:ascii="Times New Roman" w:hAnsi="Times New Roman" w:eastAsia="宋体" w:cs="Times New Roman"/>
                <w:color w:val="000000" w:themeColor="text1"/>
                <w:kern w:val="24"/>
                <w:lang w:val="en-US" w:eastAsia="zh-CN"/>
                <w14:textFill>
                  <w14:solidFill>
                    <w14:schemeClr w14:val="tx1"/>
                  </w14:solidFill>
                </w14:textFill>
              </w:rPr>
              <w:t>，高纯环氧树脂为&lt;200x10</w:t>
            </w:r>
            <w:r>
              <w:rPr>
                <w:rFonts w:hint="default" w:ascii="Times New Roman" w:hAnsi="Times New Roman" w:eastAsia="宋体" w:cs="Times New Roman"/>
                <w:color w:val="000000" w:themeColor="text1"/>
                <w:kern w:val="24"/>
                <w:vertAlign w:val="superscript"/>
                <w:lang w:val="en-US" w:eastAsia="zh-CN"/>
                <w14:textFill>
                  <w14:solidFill>
                    <w14:schemeClr w14:val="tx1"/>
                  </w14:solidFill>
                </w14:textFill>
              </w:rPr>
              <w:t>-6</w:t>
            </w:r>
            <w:r>
              <w:rPr>
                <w:rFonts w:hint="default" w:ascii="Times New Roman" w:hAnsi="Times New Roman" w:eastAsia="宋体" w:cs="Times New Roman"/>
                <w:color w:val="000000" w:themeColor="text1"/>
                <w:kern w:val="24"/>
                <w:lang w:val="en-US" w:eastAsia="zh-CN"/>
                <w14:textFill>
                  <w14:solidFill>
                    <w14:schemeClr w14:val="tx1"/>
                  </w14:solidFill>
                </w14:textFill>
              </w:rPr>
              <w:t>，而超高环氧树脂&lt;100x10</w:t>
            </w:r>
            <w:r>
              <w:rPr>
                <w:rFonts w:hint="default" w:ascii="Times New Roman" w:hAnsi="Times New Roman" w:eastAsia="宋体" w:cs="Times New Roman"/>
                <w:color w:val="000000" w:themeColor="text1"/>
                <w:kern w:val="24"/>
                <w:vertAlign w:val="superscript"/>
                <w:lang w:val="en-US" w:eastAsia="zh-CN"/>
                <w14:textFill>
                  <w14:solidFill>
                    <w14:schemeClr w14:val="tx1"/>
                  </w14:solidFill>
                </w14:textFill>
              </w:rPr>
              <w:t>-6</w:t>
            </w:r>
            <w:r>
              <w:rPr>
                <w:rFonts w:hint="default" w:ascii="Times New Roman" w:hAnsi="Times New Roman" w:eastAsia="宋体" w:cs="Times New Roman"/>
                <w:color w:val="000000" w:themeColor="text1"/>
                <w:kern w:val="24"/>
                <w:lang w:val="en-US" w:eastAsia="zh-CN"/>
                <w14:textFill>
                  <w14:solidFill>
                    <w14:schemeClr w14:val="tx1"/>
                  </w14:solidFill>
                </w14:textFill>
              </w:rPr>
              <w:t>。无机氯一般是反应过程中产生的经水洗后依然残留的NaCl。它的存在常温下就会非常明显地影响环氧树脂固化物的电性能，对耐水性也有影响。通常在树脂生产过程中，只要加强水洗，一般都能做到含量极低。聚酯树脂一般是多元醇和多元酸酯化合而成，不含氯离子，此外还含有少量的颜料和填料。环氧-聚酯粉末涂料的化学元素主要为碳、氢、氧，环氧树脂生产过程卤系阻燃剂也被限制其使用，因此本项目不涉及二噁英，不做分析。本项目热处理燃烧后主要污染物为二氧化碳、水蒸气。</w:t>
            </w:r>
            <w:r>
              <w:rPr>
                <w:rFonts w:hint="eastAsia" w:ascii="Times New Roman" w:hAnsi="Times New Roman" w:eastAsia="宋体" w:cs="Times New Roman"/>
                <w:color w:val="000000" w:themeColor="text1"/>
                <w:kern w:val="24"/>
                <w:lang w:val="en-US" w:eastAsia="zh-CN"/>
                <w14:textFill>
                  <w14:solidFill>
                    <w14:schemeClr w14:val="tx1"/>
                  </w14:solidFill>
                </w14:textFill>
              </w:rPr>
              <w:t>钢瓶表面炭化过程中钢瓶表面的氧化皮等物质在焚烧炉内高温燃烧产生大量的烟尘及</w:t>
            </w:r>
            <w:r>
              <w:rPr>
                <w:rFonts w:hint="eastAsia" w:cs="Times New Roman"/>
                <w:color w:val="000000" w:themeColor="text1"/>
                <w:kern w:val="24"/>
                <w:lang w:val="en-US" w:eastAsia="zh-CN"/>
                <w14:textFill>
                  <w14:solidFill>
                    <w14:schemeClr w14:val="tx1"/>
                  </w14:solidFill>
                </w14:textFill>
              </w:rPr>
              <w:t>极</w:t>
            </w:r>
            <w:r>
              <w:rPr>
                <w:rFonts w:hint="eastAsia" w:ascii="Times New Roman" w:hAnsi="Times New Roman" w:eastAsia="宋体" w:cs="Times New Roman"/>
                <w:color w:val="000000" w:themeColor="text1"/>
                <w:kern w:val="24"/>
                <w:lang w:val="en-US" w:eastAsia="zh-CN"/>
                <w14:textFill>
                  <w14:solidFill>
                    <w14:schemeClr w14:val="tx1"/>
                  </w14:solidFill>
                </w14:textFill>
              </w:rPr>
              <w:t>少量非甲烷总烃</w:t>
            </w:r>
            <w:r>
              <w:rPr>
                <w:rFonts w:hint="eastAsia" w:cs="Times New Roman"/>
                <w:color w:val="000000" w:themeColor="text1"/>
                <w:kern w:val="24"/>
                <w:lang w:val="en-US" w:eastAsia="zh-CN"/>
                <w14:textFill>
                  <w14:solidFill>
                    <w14:schemeClr w14:val="tx1"/>
                  </w14:solidFill>
                </w14:textFill>
              </w:rPr>
              <w:t>。非甲烷总烃产生量极少，本次仅定性分析。</w:t>
            </w:r>
          </w:p>
          <w:p w14:paraId="47C04DAA">
            <w:pPr>
              <w:pStyle w:val="20"/>
              <w:pageBreakBefore w:val="0"/>
              <w:kinsoku/>
              <w:overflowPunct/>
              <w:topLinePunct w:val="0"/>
              <w:autoSpaceDE/>
              <w:autoSpaceDN/>
              <w:bidi w:val="0"/>
              <w:adjustRightInd/>
              <w:spacing w:line="360" w:lineRule="auto"/>
              <w:ind w:left="0" w:leftChars="0" w:right="0" w:rightChars="0" w:firstLine="480" w:firstLineChars="200"/>
              <w:rPr>
                <w:rFonts w:hint="default" w:ascii="Times New Roman" w:hAnsi="Times New Roman" w:eastAsia="宋体" w:cs="Times New Roman"/>
                <w:color w:val="000000" w:themeColor="text1"/>
                <w:kern w:val="24"/>
                <w:lang w:val="en-US" w:eastAsia="zh-CN"/>
                <w14:textFill>
                  <w14:solidFill>
                    <w14:schemeClr w14:val="tx1"/>
                  </w14:solidFill>
                </w14:textFill>
              </w:rPr>
            </w:pPr>
            <w:r>
              <w:rPr>
                <w:rFonts w:hint="default" w:ascii="Times New Roman" w:hAnsi="Times New Roman" w:eastAsia="宋体" w:cs="Times New Roman"/>
                <w:color w:val="000000" w:themeColor="text1"/>
                <w:kern w:val="24"/>
                <w:lang w:val="en-US" w:eastAsia="zh-CN"/>
                <w14:textFill>
                  <w14:solidFill>
                    <w14:schemeClr w14:val="tx1"/>
                  </w14:solidFill>
                </w14:textFill>
              </w:rPr>
              <w:t>查阅相关资料，在《排放源统计调查产排污核算方法和系数手册》中无适合表面层焚烧工序的污染物产污系数，本项目类比同类项目《汕尾市钢瓶检测有限公司液化石油气瓶检测项目环境影响报告表》（汕环海丰审〔2023〕9 号），</w:t>
            </w:r>
            <w:r>
              <w:rPr>
                <w:rFonts w:hint="default" w:ascii="Times New Roman" w:hAnsi="Times New Roman" w:cs="Times New Roman"/>
                <w:color w:val="000000" w:themeColor="text1"/>
                <w:kern w:val="24"/>
                <w:lang w:val="en-US" w:eastAsia="zh-CN"/>
                <w14:textFill>
                  <w14:solidFill>
                    <w14:schemeClr w14:val="tx1"/>
                  </w14:solidFill>
                </w14:textFill>
              </w:rPr>
              <w:t>该</w:t>
            </w:r>
            <w:r>
              <w:rPr>
                <w:rFonts w:hint="default" w:ascii="Times New Roman" w:hAnsi="Times New Roman" w:eastAsia="宋体" w:cs="Times New Roman"/>
                <w:color w:val="000000" w:themeColor="text1"/>
                <w:kern w:val="24"/>
                <w:lang w:val="en-US" w:eastAsia="zh-CN"/>
                <w14:textFill>
                  <w14:solidFill>
                    <w14:schemeClr w14:val="tx1"/>
                  </w14:solidFill>
                </w14:textFill>
              </w:rPr>
              <w:t>项目主要原料为待检液化石油气钢瓶，该项目工艺（残液回收、拆阀、</w:t>
            </w:r>
            <w:r>
              <w:rPr>
                <w:rFonts w:hint="eastAsia" w:ascii="Times New Roman" w:hAnsi="Times New Roman" w:cs="Times New Roman"/>
                <w:color w:val="000000" w:themeColor="text1"/>
                <w:kern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kern w:val="24"/>
                <w:lang w:val="en-US" w:eastAsia="zh-CN"/>
                <w14:textFill>
                  <w14:solidFill>
                    <w14:schemeClr w14:val="tx1"/>
                  </w14:solidFill>
                </w14:textFill>
              </w:rPr>
              <w:t>焚烧、水压试验、抛丸除锈、静电喷涂、烘干固化等）与本项目相似，其原料、产品和生产工艺与本项目相似，具有可比性。</w:t>
            </w:r>
          </w:p>
          <w:p w14:paraId="2CDE83AA">
            <w:pPr>
              <w:pStyle w:val="20"/>
              <w:pageBreakBefore w:val="0"/>
              <w:kinsoku/>
              <w:overflowPunct/>
              <w:topLinePunct w:val="0"/>
              <w:autoSpaceDE/>
              <w:autoSpaceDN/>
              <w:bidi w:val="0"/>
              <w:adjustRightInd/>
              <w:spacing w:line="360" w:lineRule="auto"/>
              <w:ind w:left="0" w:leftChars="0" w:right="0" w:rightChars="0" w:firstLine="480" w:firstLineChars="200"/>
              <w:rPr>
                <w:rFonts w:hint="default" w:ascii="Times New Roman" w:hAnsi="Times New Roman" w:eastAsia="宋体" w:cs="Times New Roman"/>
                <w:color w:val="000000" w:themeColor="text1"/>
                <w:kern w:val="24"/>
                <w:lang w:val="en-US" w:eastAsia="zh-CN"/>
                <w14:textFill>
                  <w14:solidFill>
                    <w14:schemeClr w14:val="tx1"/>
                  </w14:solidFill>
                </w14:textFill>
              </w:rPr>
            </w:pPr>
            <w:r>
              <w:rPr>
                <w:rFonts w:hint="default" w:ascii="Times New Roman" w:hAnsi="Times New Roman" w:eastAsia="宋体" w:cs="Times New Roman"/>
                <w:color w:val="000000" w:themeColor="text1"/>
                <w:kern w:val="24"/>
                <w:lang w:val="en-US" w:eastAsia="zh-CN"/>
                <w14:textFill>
                  <w14:solidFill>
                    <w14:schemeClr w14:val="tx1"/>
                  </w14:solidFill>
                </w14:textFill>
              </w:rPr>
              <w:t>焚烧</w:t>
            </w:r>
            <w:r>
              <w:rPr>
                <w:rFonts w:hint="eastAsia" w:ascii="Times New Roman" w:hAnsi="Times New Roman" w:cs="Times New Roman"/>
                <w:color w:val="000000" w:themeColor="text1"/>
                <w:kern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kern w:val="24"/>
                <w:lang w:val="en-US" w:eastAsia="zh-CN"/>
                <w14:textFill>
                  <w14:solidFill>
                    <w14:schemeClr w14:val="tx1"/>
                  </w14:solidFill>
                </w14:textFill>
              </w:rPr>
              <w:t>表面过程中会产生颗粒物，颗粒物产生系数为0.025 kg/只</w:t>
            </w:r>
            <w:r>
              <w:rPr>
                <w:rFonts w:hint="eastAsia" w:ascii="Times New Roman" w:hAnsi="Times New Roman" w:cs="Times New Roman"/>
                <w:color w:val="000000" w:themeColor="text1"/>
                <w:kern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kern w:val="24"/>
                <w:lang w:val="en-US" w:eastAsia="zh-CN"/>
                <w14:textFill>
                  <w14:solidFill>
                    <w14:schemeClr w14:val="tx1"/>
                  </w14:solidFill>
                </w14:textFill>
              </w:rPr>
              <w:t>。本项目</w:t>
            </w:r>
            <w:r>
              <w:rPr>
                <w:rFonts w:hint="default" w:ascii="Times New Roman" w:hAnsi="Times New Roman" w:cs="Times New Roman"/>
                <w:color w:val="000000" w:themeColor="text1"/>
                <w:kern w:val="24"/>
                <w:lang w:val="en-US" w:eastAsia="zh-CN"/>
                <w14:textFill>
                  <w14:solidFill>
                    <w14:schemeClr w14:val="tx1"/>
                  </w14:solidFill>
                </w14:textFill>
              </w:rPr>
              <w:t>表面焚烧的</w:t>
            </w:r>
            <w:r>
              <w:rPr>
                <w:rFonts w:hint="eastAsia" w:ascii="Times New Roman" w:hAnsi="Times New Roman" w:cs="Times New Roman"/>
                <w:color w:val="000000" w:themeColor="text1"/>
                <w:kern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kern w:val="24"/>
                <w:lang w:val="en-US" w:eastAsia="zh-CN"/>
                <w14:textFill>
                  <w14:solidFill>
                    <w14:schemeClr w14:val="tx1"/>
                  </w14:solidFill>
                </w14:textFill>
              </w:rPr>
              <w:t>为</w:t>
            </w:r>
            <w:r>
              <w:rPr>
                <w:rFonts w:hint="default" w:ascii="Times New Roman" w:hAnsi="Times New Roman" w:cs="Times New Roman"/>
                <w:color w:val="000000" w:themeColor="text1"/>
                <w:kern w:val="24"/>
                <w:lang w:val="en-US" w:eastAsia="zh-CN"/>
                <w14:textFill>
                  <w14:solidFill>
                    <w14:schemeClr w14:val="tx1"/>
                  </w14:solidFill>
                </w14:textFill>
              </w:rPr>
              <w:t>2</w:t>
            </w:r>
            <w:r>
              <w:rPr>
                <w:rFonts w:hint="default" w:ascii="Times New Roman" w:hAnsi="Times New Roman" w:eastAsia="宋体" w:cs="Times New Roman"/>
                <w:color w:val="000000" w:themeColor="text1"/>
                <w:kern w:val="24"/>
                <w:lang w:val="en-US" w:eastAsia="zh-CN"/>
                <w14:textFill>
                  <w14:solidFill>
                    <w14:schemeClr w14:val="tx1"/>
                  </w14:solidFill>
                </w14:textFill>
              </w:rPr>
              <w:t>0万个，则烟尘颗粒物产生量为</w:t>
            </w:r>
            <w:r>
              <w:rPr>
                <w:rFonts w:hint="default" w:ascii="Times New Roman" w:hAnsi="Times New Roman" w:cs="Times New Roman"/>
                <w:color w:val="000000" w:themeColor="text1"/>
                <w:kern w:val="24"/>
                <w:lang w:val="en-US" w:eastAsia="zh-CN"/>
                <w14:textFill>
                  <w14:solidFill>
                    <w14:schemeClr w14:val="tx1"/>
                  </w14:solidFill>
                </w14:textFill>
              </w:rPr>
              <w:t>5</w:t>
            </w:r>
            <w:r>
              <w:rPr>
                <w:rFonts w:hint="default" w:ascii="Times New Roman" w:hAnsi="Times New Roman" w:eastAsia="宋体" w:cs="Times New Roman"/>
                <w:color w:val="000000" w:themeColor="text1"/>
                <w:kern w:val="24"/>
                <w:lang w:val="en-US" w:eastAsia="zh-CN"/>
                <w14:textFill>
                  <w14:solidFill>
                    <w14:schemeClr w14:val="tx1"/>
                  </w14:solidFill>
                </w14:textFill>
              </w:rPr>
              <w:t xml:space="preserve"> t/a，产生速率为</w:t>
            </w:r>
            <w:r>
              <w:rPr>
                <w:rFonts w:hint="default" w:ascii="Times New Roman" w:hAnsi="Times New Roman" w:cs="Times New Roman"/>
                <w:color w:val="000000" w:themeColor="text1"/>
                <w:kern w:val="24"/>
                <w:lang w:val="en-US" w:eastAsia="zh-CN"/>
                <w14:textFill>
                  <w14:solidFill>
                    <w14:schemeClr w14:val="tx1"/>
                  </w14:solidFill>
                </w14:textFill>
              </w:rPr>
              <w:t>2.083</w:t>
            </w:r>
            <w:r>
              <w:rPr>
                <w:rFonts w:hint="default" w:ascii="Times New Roman" w:hAnsi="Times New Roman" w:eastAsia="宋体" w:cs="Times New Roman"/>
                <w:color w:val="000000" w:themeColor="text1"/>
                <w:kern w:val="24"/>
                <w:lang w:val="en-US" w:eastAsia="zh-CN"/>
                <w14:textFill>
                  <w14:solidFill>
                    <w14:schemeClr w14:val="tx1"/>
                  </w14:solidFill>
                </w14:textFill>
              </w:rPr>
              <w:t>kg/h。</w:t>
            </w:r>
          </w:p>
          <w:p w14:paraId="2EF33B16">
            <w:pPr>
              <w:pStyle w:val="20"/>
              <w:pageBreakBefore w:val="0"/>
              <w:kinsoku/>
              <w:overflowPunct/>
              <w:topLinePunct w:val="0"/>
              <w:autoSpaceDE/>
              <w:autoSpaceDN/>
              <w:bidi w:val="0"/>
              <w:adjustRightInd/>
              <w:spacing w:line="360" w:lineRule="auto"/>
              <w:ind w:left="0" w:leftChars="0" w:right="0" w:rightChars="0" w:firstLine="480" w:firstLineChars="200"/>
              <w:rPr>
                <w:rFonts w:hint="default" w:ascii="Times New Roman" w:hAnsi="Times New Roman" w:cs="Times New Roman"/>
                <w:color w:val="000000" w:themeColor="text1"/>
                <w:kern w:val="24"/>
                <w:lang w:val="en-US" w:eastAsia="zh-CN"/>
                <w14:textFill>
                  <w14:solidFill>
                    <w14:schemeClr w14:val="tx1"/>
                  </w14:solidFill>
                </w14:textFill>
              </w:rPr>
            </w:pPr>
            <w:r>
              <w:rPr>
                <w:rFonts w:hint="default" w:ascii="Times New Roman" w:hAnsi="Times New Roman" w:cs="Times New Roman"/>
                <w:color w:val="000000" w:themeColor="text1"/>
                <w:kern w:val="24"/>
                <w:sz w:val="24"/>
                <w:szCs w:val="24"/>
                <w:lang w:val="en-US" w:eastAsia="zh-CN"/>
                <w14:textFill>
                  <w14:solidFill>
                    <w14:schemeClr w14:val="tx1"/>
                  </w14:solidFill>
                </w14:textFill>
              </w:rPr>
              <w:t>综上所述，项目焚烧炉废气为颗粒物产生量为13.4741t/a、二氧化硫产生量为</w:t>
            </w:r>
            <w:r>
              <w:rPr>
                <w:rFonts w:hint="default" w:ascii="Times New Roman" w:hAnsi="Times New Roman" w:cs="Times New Roman"/>
                <w:color w:val="000000" w:themeColor="text1"/>
                <w:sz w:val="24"/>
                <w:szCs w:val="24"/>
                <w14:textFill>
                  <w14:solidFill>
                    <w14:schemeClr w14:val="tx1"/>
                  </w14:solidFill>
                </w14:textFill>
              </w:rPr>
              <w:t>0.12076</w:t>
            </w:r>
            <w:r>
              <w:rPr>
                <w:rFonts w:hint="default" w:ascii="Times New Roman" w:hAnsi="Times New Roman" w:cs="Times New Roman"/>
                <w:color w:val="000000" w:themeColor="text1"/>
                <w:sz w:val="24"/>
                <w:szCs w:val="24"/>
                <w:lang w:val="en-US" w:eastAsia="zh-CN"/>
                <w14:textFill>
                  <w14:solidFill>
                    <w14:schemeClr w14:val="tx1"/>
                  </w14:solidFill>
                </w14:textFill>
              </w:rPr>
              <w:t>t/a</w:t>
            </w:r>
            <w:r>
              <w:rPr>
                <w:rFonts w:hint="default" w:ascii="Times New Roman" w:hAnsi="Times New Roman" w:cs="Times New Roman"/>
                <w:color w:val="000000" w:themeColor="text1"/>
                <w:kern w:val="24"/>
                <w:sz w:val="24"/>
                <w:szCs w:val="24"/>
                <w:lang w:val="en-US" w:eastAsia="zh-CN"/>
                <w14:textFill>
                  <w14:solidFill>
                    <w14:schemeClr w14:val="tx1"/>
                  </w14:solidFill>
                </w14:textFill>
              </w:rPr>
              <w:t>、氮氧化物产生量为</w:t>
            </w:r>
            <w:r>
              <w:rPr>
                <w:rFonts w:hint="default" w:ascii="Times New Roman" w:hAnsi="Times New Roman" w:cs="Times New Roman"/>
                <w:color w:val="000000" w:themeColor="text1"/>
                <w:sz w:val="24"/>
                <w:szCs w:val="24"/>
                <w14:textFill>
                  <w14:solidFill>
                    <w14:schemeClr w14:val="tx1"/>
                  </w14:solidFill>
                </w14:textFill>
              </w:rPr>
              <w:t>0.</w:t>
            </w:r>
            <w:r>
              <w:rPr>
                <w:rFonts w:hint="default" w:ascii="Times New Roman" w:hAnsi="Times New Roman" w:cs="Times New Roman"/>
                <w:color w:val="000000" w:themeColor="text1"/>
                <w:sz w:val="24"/>
                <w:szCs w:val="24"/>
                <w:lang w:val="en-US" w:eastAsia="zh-CN"/>
                <w14:textFill>
                  <w14:solidFill>
                    <w14:schemeClr w14:val="tx1"/>
                  </w14:solidFill>
                </w14:textFill>
              </w:rPr>
              <w:t>2299</w:t>
            </w:r>
            <w:r>
              <w:rPr>
                <w:rFonts w:hint="default" w:ascii="Times New Roman" w:hAnsi="Times New Roman" w:cs="Times New Roman"/>
                <w:color w:val="000000" w:themeColor="text1"/>
                <w:kern w:val="24"/>
                <w:sz w:val="24"/>
                <w:szCs w:val="24"/>
                <w:lang w:val="en-US" w:eastAsia="zh-CN"/>
                <w14:textFill>
                  <w14:solidFill>
                    <w14:schemeClr w14:val="tx1"/>
                  </w14:solidFill>
                </w14:textFill>
              </w:rPr>
              <w:t>t/a，</w:t>
            </w:r>
            <w:r>
              <w:rPr>
                <w:rFonts w:hint="default" w:ascii="Times New Roman" w:hAnsi="Times New Roman" w:cs="Times New Roman"/>
                <w:color w:val="000000" w:themeColor="text1"/>
                <w:kern w:val="24"/>
                <w:lang w:val="en-US" w:eastAsia="zh-CN"/>
                <w14:textFill>
                  <w14:solidFill>
                    <w14:schemeClr w14:val="tx1"/>
                  </w14:solidFill>
                </w14:textFill>
              </w:rPr>
              <w:t>生物质燃烧废气、</w:t>
            </w:r>
            <w:r>
              <w:rPr>
                <w:rFonts w:hint="eastAsia" w:ascii="Times New Roman" w:hAnsi="Times New Roman" w:cs="Times New Roman"/>
                <w:color w:val="000000" w:themeColor="text1"/>
                <w:kern w:val="24"/>
                <w:lang w:val="en-US" w:eastAsia="zh-CN"/>
                <w14:textFill>
                  <w14:solidFill>
                    <w14:schemeClr w14:val="tx1"/>
                  </w14:solidFill>
                </w14:textFill>
              </w:rPr>
              <w:t>液化石油气钢瓶</w:t>
            </w:r>
            <w:r>
              <w:rPr>
                <w:rFonts w:hint="default" w:ascii="Times New Roman" w:hAnsi="Times New Roman" w:cs="Times New Roman"/>
                <w:color w:val="000000" w:themeColor="text1"/>
                <w:kern w:val="24"/>
                <w:lang w:val="en-US" w:eastAsia="zh-CN"/>
                <w14:textFill>
                  <w14:solidFill>
                    <w14:schemeClr w14:val="tx1"/>
                  </w14:solidFill>
                </w14:textFill>
              </w:rPr>
              <w:t>表面焚烧废气经收集后进入一套“旋风+布袋除尘+喷淋”设施处理后通过1根15m高排气筒DA001排放。除尘设施配置风机风量为</w:t>
            </w:r>
            <w:r>
              <w:rPr>
                <w:rFonts w:hint="eastAsia" w:cs="Times New Roman"/>
                <w:color w:val="000000" w:themeColor="text1"/>
                <w:kern w:val="24"/>
                <w:lang w:val="en-US" w:eastAsia="zh-CN"/>
                <w14:textFill>
                  <w14:solidFill>
                    <w14:schemeClr w14:val="tx1"/>
                  </w14:solidFill>
                </w14:textFill>
              </w:rPr>
              <w:t>4</w:t>
            </w:r>
            <w:r>
              <w:rPr>
                <w:rFonts w:hint="default" w:ascii="Times New Roman" w:hAnsi="Times New Roman" w:cs="Times New Roman"/>
                <w:color w:val="000000" w:themeColor="text1"/>
                <w:kern w:val="24"/>
                <w:lang w:val="en-US" w:eastAsia="zh-CN"/>
                <w14:textFill>
                  <w14:solidFill>
                    <w14:schemeClr w14:val="tx1"/>
                  </w14:solidFill>
                </w14:textFill>
              </w:rPr>
              <w:t>000m</w:t>
            </w:r>
            <w:r>
              <w:rPr>
                <w:rFonts w:hint="default" w:ascii="Times New Roman" w:hAnsi="Times New Roman" w:cs="Times New Roman"/>
                <w:color w:val="000000" w:themeColor="text1"/>
                <w:kern w:val="24"/>
                <w:vertAlign w:val="superscript"/>
                <w:lang w:val="en-US" w:eastAsia="zh-CN"/>
                <w14:textFill>
                  <w14:solidFill>
                    <w14:schemeClr w14:val="tx1"/>
                  </w14:solidFill>
                </w14:textFill>
              </w:rPr>
              <w:t>3</w:t>
            </w:r>
            <w:r>
              <w:rPr>
                <w:rFonts w:hint="default" w:ascii="Times New Roman" w:hAnsi="Times New Roman" w:cs="Times New Roman"/>
                <w:color w:val="000000" w:themeColor="text1"/>
                <w:kern w:val="24"/>
                <w:lang w:val="en-US" w:eastAsia="zh-CN"/>
                <w14:textFill>
                  <w14:solidFill>
                    <w14:schemeClr w14:val="tx1"/>
                  </w14:solidFill>
                </w14:textFill>
              </w:rPr>
              <w:t>/h。</w:t>
            </w:r>
            <w:r>
              <w:rPr>
                <w:rFonts w:hint="default" w:ascii="Times New Roman" w:hAnsi="Times New Roman" w:eastAsia="宋体" w:cs="Times New Roman"/>
                <w:color w:val="000000" w:themeColor="text1"/>
                <w:kern w:val="24"/>
                <w:lang w:val="en-US" w:eastAsia="zh-CN"/>
                <w14:textFill>
                  <w14:solidFill>
                    <w14:schemeClr w14:val="tx1"/>
                  </w14:solidFill>
                </w14:textFill>
              </w:rPr>
              <w:t>参照《排放源统计调查产排污核算方法和系数手册》（生态环境部公告2021年第24号）中《33-37，431-434 机械行业系数手册》</w:t>
            </w:r>
            <w:r>
              <w:rPr>
                <w:rFonts w:hint="default" w:ascii="Times New Roman" w:hAnsi="Times New Roman" w:cs="Times New Roman"/>
                <w:color w:val="000000" w:themeColor="text1"/>
                <w:kern w:val="24"/>
                <w:lang w:val="en-US" w:eastAsia="zh-CN"/>
                <w14:textFill>
                  <w14:solidFill>
                    <w14:schemeClr w14:val="tx1"/>
                  </w14:solidFill>
                </w14:textFill>
              </w:rPr>
              <w:t>，“生物质工业炉窑颗粒物末端治理技术效率，旋风除尘治理效率为60%，布袋除尘治理效率为95%，喷淋治理效率为85%；二氧化硫末端治理技术效率，</w:t>
            </w:r>
            <w:r>
              <w:rPr>
                <w:rFonts w:hint="eastAsia" w:cs="Times New Roman"/>
                <w:color w:val="000000" w:themeColor="text1"/>
                <w:kern w:val="24"/>
                <w:lang w:val="en-US" w:eastAsia="zh-CN"/>
                <w14:textFill>
                  <w14:solidFill>
                    <w14:schemeClr w14:val="tx1"/>
                  </w14:solidFill>
                </w14:textFill>
              </w:rPr>
              <w:t>双碱</w:t>
            </w:r>
            <w:r>
              <w:rPr>
                <w:rFonts w:hint="default" w:ascii="Times New Roman" w:hAnsi="Times New Roman" w:cs="Times New Roman"/>
                <w:color w:val="000000" w:themeColor="text1"/>
                <w:kern w:val="24"/>
                <w:lang w:val="en-US" w:eastAsia="zh-CN"/>
                <w14:textFill>
                  <w14:solidFill>
                    <w14:schemeClr w14:val="tx1"/>
                  </w14:solidFill>
                </w14:textFill>
              </w:rPr>
              <w:t>法治理效率为80%”。故本项目颗粒物综合治理效率为99.7%，二氧化硫治理效率为80%。</w:t>
            </w:r>
          </w:p>
          <w:p w14:paraId="024290A5">
            <w:pPr>
              <w:pStyle w:val="20"/>
              <w:pageBreakBefore w:val="0"/>
              <w:kinsoku/>
              <w:overflowPunct/>
              <w:topLinePunct w:val="0"/>
              <w:autoSpaceDE/>
              <w:autoSpaceDN/>
              <w:bidi w:val="0"/>
              <w:adjustRightInd/>
              <w:spacing w:line="360" w:lineRule="auto"/>
              <w:ind w:left="0" w:leftChars="0" w:right="0" w:rightChars="0" w:firstLine="480" w:firstLineChars="200"/>
              <w:rPr>
                <w:rFonts w:hint="default" w:ascii="Times New Roman" w:hAnsi="Times New Roman" w:eastAsia="宋体" w:cs="Times New Roman"/>
                <w:color w:val="000000" w:themeColor="text1"/>
                <w:kern w:val="24"/>
                <w:lang w:val="en-US" w:eastAsia="zh-CN"/>
                <w14:textFill>
                  <w14:solidFill>
                    <w14:schemeClr w14:val="tx1"/>
                  </w14:solidFill>
                </w14:textFill>
              </w:rPr>
            </w:pPr>
            <w:r>
              <w:rPr>
                <w:rFonts w:hint="default" w:ascii="Times New Roman" w:hAnsi="Times New Roman" w:eastAsia="宋体" w:cs="Times New Roman"/>
                <w:color w:val="000000" w:themeColor="text1"/>
                <w:kern w:val="24"/>
                <w:lang w:val="en-US" w:eastAsia="zh-CN"/>
                <w14:textFill>
                  <w14:solidFill>
                    <w14:schemeClr w14:val="tx1"/>
                  </w14:solidFill>
                </w14:textFill>
              </w:rPr>
              <w:t>则项目焚烧炉废气中颗粒物排放量为</w:t>
            </w:r>
            <w:r>
              <w:rPr>
                <w:rFonts w:hint="default" w:ascii="Times New Roman" w:hAnsi="Times New Roman" w:cs="Times New Roman"/>
                <w:color w:val="000000" w:themeColor="text1"/>
                <w:kern w:val="24"/>
                <w:lang w:val="en-US" w:eastAsia="zh-CN"/>
                <w14:textFill>
                  <w14:solidFill>
                    <w14:schemeClr w14:val="tx1"/>
                  </w14:solidFill>
                </w14:textFill>
              </w:rPr>
              <w:t>0.04042</w:t>
            </w:r>
            <w:r>
              <w:rPr>
                <w:rFonts w:hint="default" w:ascii="Times New Roman" w:hAnsi="Times New Roman" w:eastAsia="宋体" w:cs="Times New Roman"/>
                <w:color w:val="000000" w:themeColor="text1"/>
                <w:kern w:val="24"/>
                <w:lang w:val="en-US" w:eastAsia="zh-CN"/>
                <w14:textFill>
                  <w14:solidFill>
                    <w14:schemeClr w14:val="tx1"/>
                  </w14:solidFill>
                </w14:textFill>
              </w:rPr>
              <w:t>t/a，二氧化硫排放量为0.02415t/a，氮氧化物排放量为0.2299</w:t>
            </w:r>
            <w:r>
              <w:rPr>
                <w:rFonts w:hint="eastAsia" w:cs="Times New Roman"/>
                <w:color w:val="000000" w:themeColor="text1"/>
                <w:kern w:val="24"/>
                <w:lang w:val="en-US" w:eastAsia="zh-CN"/>
                <w14:textFill>
                  <w14:solidFill>
                    <w14:schemeClr w14:val="tx1"/>
                  </w14:solidFill>
                </w14:textFill>
              </w:rPr>
              <w:t>0</w:t>
            </w:r>
            <w:r>
              <w:rPr>
                <w:rFonts w:hint="default" w:ascii="Times New Roman" w:hAnsi="Times New Roman" w:eastAsia="宋体" w:cs="Times New Roman"/>
                <w:color w:val="000000" w:themeColor="text1"/>
                <w:kern w:val="24"/>
                <w:lang w:val="en-US" w:eastAsia="zh-CN"/>
                <w14:textFill>
                  <w14:solidFill>
                    <w14:schemeClr w14:val="tx1"/>
                  </w14:solidFill>
                </w14:textFill>
              </w:rPr>
              <w:t>t/a。</w:t>
            </w:r>
          </w:p>
          <w:p w14:paraId="6356C449">
            <w:pPr>
              <w:pStyle w:val="20"/>
              <w:pageBreakBefore w:val="0"/>
              <w:kinsoku/>
              <w:overflowPunct/>
              <w:topLinePunct w:val="0"/>
              <w:autoSpaceDE/>
              <w:autoSpaceDN/>
              <w:bidi w:val="0"/>
              <w:adjustRightInd/>
              <w:spacing w:line="360" w:lineRule="auto"/>
              <w:ind w:left="0" w:leftChars="0" w:right="0" w:rightChars="0" w:firstLine="482" w:firstLineChars="200"/>
              <w:rPr>
                <w:rFonts w:hint="default" w:ascii="Times New Roman" w:hAnsi="Times New Roman" w:cs="Times New Roman"/>
                <w:b/>
                <w:bCs/>
                <w:color w:val="000000" w:themeColor="text1"/>
                <w:kern w:val="24"/>
                <w:lang w:val="en-US" w:eastAsia="zh-CN"/>
                <w14:textFill>
                  <w14:solidFill>
                    <w14:schemeClr w14:val="tx1"/>
                  </w14:solidFill>
                </w14:textFill>
              </w:rPr>
            </w:pPr>
            <w:r>
              <w:rPr>
                <w:rFonts w:hint="default" w:ascii="Times New Roman" w:hAnsi="Times New Roman" w:cs="Times New Roman"/>
                <w:b/>
                <w:bCs/>
                <w:color w:val="000000" w:themeColor="text1"/>
                <w:kern w:val="24"/>
                <w:lang w:val="en-US" w:eastAsia="zh-CN"/>
                <w14:textFill>
                  <w14:solidFill>
                    <w14:schemeClr w14:val="tx1"/>
                  </w14:solidFill>
                </w14:textFill>
              </w:rPr>
              <w:t>2）烘干固化废气</w:t>
            </w:r>
          </w:p>
          <w:p w14:paraId="39F85DC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烘干固化环节采用液化气作为燃料，该环节废气主要为液化气燃烧废气及</w:t>
            </w:r>
            <w:r>
              <w:rPr>
                <w:rFonts w:hint="eastAsia" w:ascii="Times New Roman" w:hAnsi="Times New Roman" w:cs="Times New Roman"/>
                <w:b w:val="0"/>
                <w:bCs w:val="0"/>
                <w:color w:val="000000" w:themeColor="text1"/>
                <w:kern w:val="0"/>
                <w:sz w:val="24"/>
                <w:szCs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烘干废气。</w:t>
            </w:r>
          </w:p>
          <w:p w14:paraId="60CC7D83">
            <w:pPr>
              <w:pStyle w:val="20"/>
              <w:pageBreakBefore w:val="0"/>
              <w:kinsoku/>
              <w:overflowPunct/>
              <w:topLinePunct w:val="0"/>
              <w:autoSpaceDE/>
              <w:autoSpaceDN/>
              <w:bidi w:val="0"/>
              <w:adjustRightInd/>
              <w:spacing w:line="360" w:lineRule="auto"/>
              <w:ind w:left="0" w:leftChars="0" w:right="0" w:rightChars="0" w:firstLine="482" w:firstLineChars="200"/>
              <w:rPr>
                <w:rFonts w:hint="default" w:ascii="Times New Roman" w:hAnsi="Times New Roman" w:cs="Times New Roman"/>
                <w:b/>
                <w:bCs/>
                <w:color w:val="000000" w:themeColor="text1"/>
                <w:kern w:val="24"/>
                <w:lang w:val="en-US" w:eastAsia="zh-CN"/>
                <w14:textFill>
                  <w14:solidFill>
                    <w14:schemeClr w14:val="tx1"/>
                  </w14:solidFill>
                </w14:textFill>
              </w:rPr>
            </w:pPr>
            <w:r>
              <w:rPr>
                <w:rFonts w:hint="default" w:ascii="Times New Roman" w:hAnsi="Times New Roman" w:cs="Times New Roman"/>
                <w:b/>
                <w:bCs/>
                <w:color w:val="000000" w:themeColor="text1"/>
                <w:kern w:val="0"/>
                <w:sz w:val="24"/>
                <w:szCs w:val="24"/>
                <w:lang w:val="en-US" w:eastAsia="zh-CN" w:bidi="ar"/>
                <w14:textFill>
                  <w14:solidFill>
                    <w14:schemeClr w14:val="tx1"/>
                  </w14:solidFill>
                </w14:textFill>
              </w:rPr>
              <w:t>①</w:t>
            </w:r>
            <w:r>
              <w:rPr>
                <w:rFonts w:hint="default" w:ascii="Times New Roman" w:hAnsi="Times New Roman" w:cs="Times New Roman"/>
                <w:b/>
                <w:bCs/>
                <w:color w:val="000000" w:themeColor="text1"/>
                <w:kern w:val="24"/>
                <w:lang w:val="en-US" w:eastAsia="zh-CN"/>
                <w14:textFill>
                  <w14:solidFill>
                    <w14:schemeClr w14:val="tx1"/>
                  </w14:solidFill>
                </w14:textFill>
              </w:rPr>
              <w:t>液化气燃烧废气</w:t>
            </w:r>
          </w:p>
          <w:p w14:paraId="5AB9DFC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根据工程分析，项目液化石油气用量为</w:t>
            </w:r>
            <w:r>
              <w:rPr>
                <w:rFonts w:hint="default" w:ascii="Times New Roman" w:hAnsi="Times New Roman" w:cs="Times New Roman"/>
                <w:color w:val="000000" w:themeColor="text1"/>
                <w:sz w:val="24"/>
                <w:lang w:val="en-US" w:eastAsia="zh-CN"/>
                <w14:textFill>
                  <w14:solidFill>
                    <w14:schemeClr w14:val="tx1"/>
                  </w14:solidFill>
                </w14:textFill>
              </w:rPr>
              <w:t>39.99</w:t>
            </w:r>
            <w:r>
              <w:rPr>
                <w:rFonts w:hint="default" w:ascii="Times New Roman" w:hAnsi="Times New Roman" w:eastAsia="宋体" w:cs="Times New Roman"/>
                <w:color w:val="000000" w:themeColor="text1"/>
                <w:sz w:val="24"/>
                <w:lang w:val="en-US" w:eastAsia="zh-CN"/>
                <w14:textFill>
                  <w14:solidFill>
                    <w14:schemeClr w14:val="tx1"/>
                  </w14:solidFill>
                </w14:textFill>
              </w:rPr>
              <w:t>t/a</w:t>
            </w:r>
            <w:r>
              <w:rPr>
                <w:rFonts w:hint="default" w:ascii="Times New Roman" w:hAnsi="Times New Roman" w:cs="Times New Roman"/>
                <w:color w:val="000000" w:themeColor="text1"/>
                <w:sz w:val="24"/>
                <w:lang w:val="en-US" w:eastAsia="zh-CN"/>
                <w14:textFill>
                  <w14:solidFill>
                    <w14:schemeClr w14:val="tx1"/>
                  </w14:solidFill>
                </w14:textFill>
              </w:rPr>
              <w:t>，液化石油气气化后作为燃料使用（气态液化石油气密度为2.35kg/m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，即17017.02m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/a），</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液化气燃烧产物含氮氧化物、二氧化硫及颗粒物，其产物系数参照参照《排放源统计调查产排污核算方法和系数手册》（生态环境部公告2021年第24号）中《33-37，431-434 机械行业系数手册》中液化石油气工业炉窑产排污系数，详见下表。</w:t>
            </w:r>
          </w:p>
          <w:p w14:paraId="3057BC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表4-</w:t>
            </w:r>
            <w:r>
              <w:rPr>
                <w:rFonts w:hint="default" w:ascii="Times New Roman" w:hAnsi="Times New Roman" w:cs="Times New Roman"/>
                <w:b/>
                <w:bCs/>
                <w:color w:val="000000" w:themeColor="text1"/>
                <w:szCs w:val="21"/>
                <w:lang w:val="en-US" w:eastAsia="zh-CN"/>
                <w14:textFill>
                  <w14:solidFill>
                    <w14:schemeClr w14:val="tx1"/>
                  </w14:solidFill>
                </w14:textFill>
              </w:rPr>
              <w:t>3</w:t>
            </w:r>
            <w:r>
              <w:rPr>
                <w:rFonts w:hint="default" w:ascii="Times New Roman" w:hAnsi="Times New Roman" w:cs="Times New Roman"/>
                <w:b/>
                <w:bCs/>
                <w:color w:val="000000" w:themeColor="text1"/>
                <w:szCs w:val="21"/>
                <w14:textFill>
                  <w14:solidFill>
                    <w14:schemeClr w14:val="tx1"/>
                  </w14:solidFill>
                </w14:textFill>
              </w:rPr>
              <w:t xml:space="preserve">  </w:t>
            </w:r>
            <w:r>
              <w:rPr>
                <w:rFonts w:hint="default" w:ascii="Times New Roman" w:hAnsi="Times New Roman" w:eastAsia="宋体" w:cs="Times New Roman"/>
                <w:b/>
                <w:bCs/>
                <w:color w:val="000000" w:themeColor="text1"/>
                <w:szCs w:val="21"/>
                <w:lang w:val="en-US" w:eastAsia="zh-CN"/>
                <w14:textFill>
                  <w14:solidFill>
                    <w14:schemeClr w14:val="tx1"/>
                  </w14:solidFill>
                </w14:textFill>
              </w:rPr>
              <w:t>项目</w:t>
            </w:r>
            <w:r>
              <w:rPr>
                <w:rFonts w:hint="default" w:ascii="Times New Roman" w:hAnsi="Times New Roman" w:cs="Times New Roman"/>
                <w:b/>
                <w:bCs/>
                <w:color w:val="000000" w:themeColor="text1"/>
                <w:szCs w:val="21"/>
                <w:lang w:val="en-US" w:eastAsia="zh-CN"/>
                <w14:textFill>
                  <w14:solidFill>
                    <w14:schemeClr w14:val="tx1"/>
                  </w14:solidFill>
                </w14:textFill>
              </w:rPr>
              <w:t>固化</w:t>
            </w:r>
            <w:r>
              <w:rPr>
                <w:rFonts w:hint="default" w:ascii="Times New Roman" w:hAnsi="Times New Roman" w:eastAsia="宋体" w:cs="Times New Roman"/>
                <w:b/>
                <w:bCs/>
                <w:color w:val="000000" w:themeColor="text1"/>
                <w:szCs w:val="21"/>
                <w:lang w:val="en-US" w:eastAsia="zh-CN"/>
                <w14:textFill>
                  <w14:solidFill>
                    <w14:schemeClr w14:val="tx1"/>
                  </w14:solidFill>
                </w14:textFill>
              </w:rPr>
              <w:t>炉</w:t>
            </w:r>
            <w:r>
              <w:rPr>
                <w:rFonts w:hint="default" w:ascii="Times New Roman" w:hAnsi="Times New Roman" w:cs="Times New Roman"/>
                <w:b/>
                <w:bCs/>
                <w:color w:val="000000" w:themeColor="text1"/>
                <w:szCs w:val="21"/>
                <w:lang w:val="en-US" w:eastAsia="zh-CN"/>
                <w14:textFill>
                  <w14:solidFill>
                    <w14:schemeClr w14:val="tx1"/>
                  </w14:solidFill>
                </w14:textFill>
              </w:rPr>
              <w:t>燃烧</w:t>
            </w:r>
            <w:r>
              <w:rPr>
                <w:rFonts w:hint="default" w:ascii="Times New Roman" w:hAnsi="Times New Roman" w:eastAsia="宋体" w:cs="Times New Roman"/>
                <w:b/>
                <w:bCs/>
                <w:color w:val="000000" w:themeColor="text1"/>
                <w:szCs w:val="21"/>
                <w:lang w:val="en-US" w:eastAsia="zh-CN"/>
                <w14:textFill>
                  <w14:solidFill>
                    <w14:schemeClr w14:val="tx1"/>
                  </w14:solidFill>
                </w14:textFill>
              </w:rPr>
              <w:t>废气污染产污系数</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991"/>
              <w:gridCol w:w="771"/>
              <w:gridCol w:w="1133"/>
              <w:gridCol w:w="1620"/>
              <w:gridCol w:w="1260"/>
              <w:gridCol w:w="1554"/>
            </w:tblGrid>
            <w:tr w14:paraId="5B240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shd w:val="clear" w:color="auto" w:fill="auto"/>
                  <w:vAlign w:val="center"/>
                </w:tcPr>
                <w:p w14:paraId="0B730972">
                  <w:pPr>
                    <w:pStyle w:val="151"/>
                    <w:widowControl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原料名称</w:t>
                  </w:r>
                </w:p>
              </w:tc>
              <w:tc>
                <w:tcPr>
                  <w:tcW w:w="614" w:type="pct"/>
                  <w:shd w:val="clear" w:color="auto" w:fill="auto"/>
                  <w:vAlign w:val="center"/>
                </w:tcPr>
                <w:p w14:paraId="4C718084">
                  <w:pPr>
                    <w:pStyle w:val="151"/>
                    <w:widowControl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工艺名称</w:t>
                  </w:r>
                </w:p>
              </w:tc>
              <w:tc>
                <w:tcPr>
                  <w:tcW w:w="478" w:type="pct"/>
                  <w:shd w:val="clear" w:color="auto" w:fill="auto"/>
                  <w:vAlign w:val="center"/>
                </w:tcPr>
                <w:p w14:paraId="33CA0181">
                  <w:pPr>
                    <w:pStyle w:val="151"/>
                    <w:widowControl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规模等级</w:t>
                  </w:r>
                </w:p>
              </w:tc>
              <w:tc>
                <w:tcPr>
                  <w:tcW w:w="702" w:type="pct"/>
                  <w:shd w:val="clear" w:color="auto" w:fill="auto"/>
                  <w:vAlign w:val="center"/>
                </w:tcPr>
                <w:p w14:paraId="2C7FA9CD">
                  <w:pPr>
                    <w:pStyle w:val="151"/>
                    <w:widowControl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污染物指标</w:t>
                  </w:r>
                </w:p>
              </w:tc>
              <w:tc>
                <w:tcPr>
                  <w:tcW w:w="1004" w:type="pct"/>
                  <w:shd w:val="clear" w:color="auto" w:fill="auto"/>
                  <w:vAlign w:val="center"/>
                </w:tcPr>
                <w:p w14:paraId="1F21121A">
                  <w:pPr>
                    <w:pStyle w:val="151"/>
                    <w:widowControl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单位</w:t>
                  </w:r>
                </w:p>
              </w:tc>
              <w:tc>
                <w:tcPr>
                  <w:tcW w:w="781" w:type="pct"/>
                  <w:shd w:val="clear" w:color="auto" w:fill="auto"/>
                  <w:vAlign w:val="center"/>
                </w:tcPr>
                <w:p w14:paraId="2AC10F69">
                  <w:pPr>
                    <w:pStyle w:val="151"/>
                    <w:widowControl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产污系数</w:t>
                  </w:r>
                </w:p>
              </w:tc>
              <w:tc>
                <w:tcPr>
                  <w:tcW w:w="959" w:type="pct"/>
                  <w:shd w:val="clear" w:color="auto" w:fill="auto"/>
                  <w:vAlign w:val="center"/>
                </w:tcPr>
                <w:p w14:paraId="4B3E6ED9">
                  <w:pPr>
                    <w:pStyle w:val="151"/>
                    <w:widowControl w:val="0"/>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cs="Times New Roman"/>
                      <w:b/>
                      <w:color w:val="000000" w:themeColor="text1"/>
                      <w:sz w:val="21"/>
                      <w:szCs w:val="21"/>
                      <w:lang w:eastAsia="zh-CN"/>
                      <w14:textFill>
                        <w14:solidFill>
                          <w14:schemeClr w14:val="tx1"/>
                        </w14:solidFill>
                      </w14:textFill>
                    </w:rPr>
                    <w:t>产生量</w:t>
                  </w:r>
                </w:p>
              </w:tc>
            </w:tr>
            <w:tr w14:paraId="6CD56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vMerge w:val="restart"/>
                  <w:shd w:val="clear" w:color="auto" w:fill="auto"/>
                  <w:vAlign w:val="center"/>
                </w:tcPr>
                <w:p w14:paraId="35BBF307">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液化石油气</w:t>
                  </w:r>
                </w:p>
              </w:tc>
              <w:tc>
                <w:tcPr>
                  <w:tcW w:w="614" w:type="pct"/>
                  <w:vMerge w:val="restart"/>
                  <w:shd w:val="clear" w:color="auto" w:fill="auto"/>
                  <w:vAlign w:val="center"/>
                </w:tcPr>
                <w:p w14:paraId="23BEBEF1">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液化石油气工业炉窑</w:t>
                  </w:r>
                </w:p>
              </w:tc>
              <w:tc>
                <w:tcPr>
                  <w:tcW w:w="478" w:type="pct"/>
                  <w:vMerge w:val="restart"/>
                  <w:shd w:val="clear" w:color="auto" w:fill="auto"/>
                  <w:vAlign w:val="center"/>
                </w:tcPr>
                <w:p w14:paraId="2C5ED85A">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所有规模</w:t>
                  </w:r>
                </w:p>
              </w:tc>
              <w:tc>
                <w:tcPr>
                  <w:tcW w:w="702" w:type="pct"/>
                  <w:shd w:val="clear" w:color="auto" w:fill="auto"/>
                  <w:vAlign w:val="center"/>
                </w:tcPr>
                <w:p w14:paraId="2A3081B1">
                  <w:pPr>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Style w:val="100"/>
                      <w:rFonts w:hint="default" w:ascii="Times New Roman" w:hAnsi="Times New Roman" w:cs="Times New Roman"/>
                      <w:color w:val="000000" w:themeColor="text1"/>
                      <w:sz w:val="21"/>
                      <w:szCs w:val="21"/>
                      <w:lang w:bidi="ar"/>
                      <w14:textFill>
                        <w14:solidFill>
                          <w14:schemeClr w14:val="tx1"/>
                        </w14:solidFill>
                      </w14:textFill>
                    </w:rPr>
                    <w:t>颗粒物</w:t>
                  </w:r>
                </w:p>
              </w:tc>
              <w:tc>
                <w:tcPr>
                  <w:tcW w:w="1004" w:type="pct"/>
                  <w:shd w:val="clear" w:color="auto" w:fill="auto"/>
                  <w:vAlign w:val="center"/>
                </w:tcPr>
                <w:p w14:paraId="60762EEB">
                  <w:pPr>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Style w:val="100"/>
                      <w:rFonts w:hint="default" w:ascii="Times New Roman" w:hAnsi="Times New Roman" w:cs="Times New Roman"/>
                      <w:color w:val="000000" w:themeColor="text1"/>
                      <w:sz w:val="21"/>
                      <w:szCs w:val="21"/>
                      <w:lang w:bidi="ar"/>
                      <w14:textFill>
                        <w14:solidFill>
                          <w14:schemeClr w14:val="tx1"/>
                        </w14:solidFill>
                      </w14:textFill>
                    </w:rPr>
                    <w:t>千克</w:t>
                  </w:r>
                  <w:r>
                    <w:rPr>
                      <w:rStyle w:val="114"/>
                      <w:rFonts w:hint="default" w:ascii="Times New Roman" w:hAnsi="Times New Roman" w:cs="Times New Roman"/>
                      <w:color w:val="000000" w:themeColor="text1"/>
                      <w:sz w:val="21"/>
                      <w:szCs w:val="21"/>
                      <w:lang w:bidi="ar"/>
                      <w14:textFill>
                        <w14:solidFill>
                          <w14:schemeClr w14:val="tx1"/>
                        </w14:solidFill>
                      </w14:textFill>
                    </w:rPr>
                    <w:t>/</w:t>
                  </w:r>
                  <w:r>
                    <w:rPr>
                      <w:rStyle w:val="100"/>
                      <w:rFonts w:hint="default" w:ascii="Times New Roman" w:hAnsi="Times New Roman" w:cs="Times New Roman"/>
                      <w:color w:val="000000" w:themeColor="text1"/>
                      <w:sz w:val="21"/>
                      <w:szCs w:val="21"/>
                      <w:lang w:eastAsia="zh-CN" w:bidi="ar"/>
                      <w14:textFill>
                        <w14:solidFill>
                          <w14:schemeClr w14:val="tx1"/>
                        </w14:solidFill>
                      </w14:textFill>
                    </w:rPr>
                    <w:t>立方米</w:t>
                  </w:r>
                  <w:r>
                    <w:rPr>
                      <w:rStyle w:val="114"/>
                      <w:rFonts w:hint="default" w:ascii="Times New Roman" w:hAnsi="Times New Roman" w:cs="Times New Roman"/>
                      <w:color w:val="000000" w:themeColor="text1"/>
                      <w:sz w:val="21"/>
                      <w:szCs w:val="21"/>
                      <w:lang w:bidi="ar"/>
                      <w14:textFill>
                        <w14:solidFill>
                          <w14:schemeClr w14:val="tx1"/>
                        </w14:solidFill>
                      </w14:textFill>
                    </w:rPr>
                    <w:t>-</w:t>
                  </w:r>
                  <w:r>
                    <w:rPr>
                      <w:rStyle w:val="100"/>
                      <w:rFonts w:hint="default" w:ascii="Times New Roman" w:hAnsi="Times New Roman" w:cs="Times New Roman"/>
                      <w:color w:val="000000" w:themeColor="text1"/>
                      <w:sz w:val="21"/>
                      <w:szCs w:val="21"/>
                      <w:lang w:bidi="ar"/>
                      <w14:textFill>
                        <w14:solidFill>
                          <w14:schemeClr w14:val="tx1"/>
                        </w14:solidFill>
                      </w14:textFill>
                    </w:rPr>
                    <w:t>原料</w:t>
                  </w:r>
                </w:p>
              </w:tc>
              <w:tc>
                <w:tcPr>
                  <w:tcW w:w="781" w:type="pct"/>
                  <w:shd w:val="clear" w:color="auto" w:fill="auto"/>
                  <w:vAlign w:val="center"/>
                </w:tcPr>
                <w:p w14:paraId="7339257F">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0.00022</w:t>
                  </w:r>
                </w:p>
              </w:tc>
              <w:tc>
                <w:tcPr>
                  <w:tcW w:w="959" w:type="pct"/>
                  <w:shd w:val="clear" w:color="auto" w:fill="auto"/>
                  <w:vAlign w:val="center"/>
                </w:tcPr>
                <w:p w14:paraId="4350524F">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0.00374</w:t>
                  </w:r>
                </w:p>
              </w:tc>
            </w:tr>
            <w:tr w14:paraId="75761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vMerge w:val="continue"/>
                  <w:shd w:val="clear" w:color="auto" w:fill="auto"/>
                  <w:vAlign w:val="center"/>
                </w:tcPr>
                <w:p w14:paraId="028FE51B">
                  <w:pPr>
                    <w:jc w:val="center"/>
                    <w:rPr>
                      <w:rFonts w:hint="default" w:ascii="Times New Roman" w:hAnsi="Times New Roman" w:cs="Times New Roman"/>
                      <w:color w:val="000000" w:themeColor="text1"/>
                      <w:sz w:val="21"/>
                      <w:szCs w:val="21"/>
                      <w:lang w:eastAsia="zh-CN"/>
                      <w14:textFill>
                        <w14:solidFill>
                          <w14:schemeClr w14:val="tx1"/>
                        </w14:solidFill>
                      </w14:textFill>
                    </w:rPr>
                  </w:pPr>
                </w:p>
              </w:tc>
              <w:tc>
                <w:tcPr>
                  <w:tcW w:w="614" w:type="pct"/>
                  <w:vMerge w:val="continue"/>
                  <w:shd w:val="clear" w:color="auto" w:fill="auto"/>
                  <w:vAlign w:val="center"/>
                </w:tcPr>
                <w:p w14:paraId="4D4E1346">
                  <w:pPr>
                    <w:jc w:val="center"/>
                    <w:rPr>
                      <w:rFonts w:hint="default" w:ascii="Times New Roman" w:hAnsi="Times New Roman" w:cs="Times New Roman"/>
                      <w:color w:val="000000" w:themeColor="text1"/>
                      <w:sz w:val="21"/>
                      <w:szCs w:val="21"/>
                      <w:lang w:eastAsia="zh-CN"/>
                      <w14:textFill>
                        <w14:solidFill>
                          <w14:schemeClr w14:val="tx1"/>
                        </w14:solidFill>
                      </w14:textFill>
                    </w:rPr>
                  </w:pPr>
                </w:p>
              </w:tc>
              <w:tc>
                <w:tcPr>
                  <w:tcW w:w="478" w:type="pct"/>
                  <w:vMerge w:val="continue"/>
                  <w:shd w:val="clear" w:color="auto" w:fill="auto"/>
                  <w:vAlign w:val="center"/>
                </w:tcPr>
                <w:p w14:paraId="27776516">
                  <w:pPr>
                    <w:jc w:val="center"/>
                    <w:rPr>
                      <w:rFonts w:hint="default" w:ascii="Times New Roman" w:hAnsi="Times New Roman" w:cs="Times New Roman"/>
                      <w:color w:val="000000" w:themeColor="text1"/>
                      <w:sz w:val="21"/>
                      <w:szCs w:val="21"/>
                      <w14:textFill>
                        <w14:solidFill>
                          <w14:schemeClr w14:val="tx1"/>
                        </w14:solidFill>
                      </w14:textFill>
                    </w:rPr>
                  </w:pPr>
                </w:p>
              </w:tc>
              <w:tc>
                <w:tcPr>
                  <w:tcW w:w="702" w:type="pct"/>
                  <w:shd w:val="clear" w:color="auto" w:fill="auto"/>
                  <w:vAlign w:val="center"/>
                </w:tcPr>
                <w:p w14:paraId="0E8B45AA">
                  <w:pPr>
                    <w:jc w:val="center"/>
                    <w:textAlignment w:val="center"/>
                    <w:rPr>
                      <w:rStyle w:val="100"/>
                      <w:rFonts w:hint="default" w:ascii="Times New Roman" w:hAnsi="Times New Roman" w:cs="Times New Roman"/>
                      <w:color w:val="000000" w:themeColor="text1"/>
                      <w:sz w:val="21"/>
                      <w:szCs w:val="21"/>
                      <w:lang w:bidi="ar"/>
                      <w14:textFill>
                        <w14:solidFill>
                          <w14:schemeClr w14:val="tx1"/>
                        </w14:solidFill>
                      </w14:textFill>
                    </w:rPr>
                  </w:pPr>
                  <w:r>
                    <w:rPr>
                      <w:rStyle w:val="100"/>
                      <w:rFonts w:hint="default" w:ascii="Times New Roman" w:hAnsi="Times New Roman" w:cs="Times New Roman"/>
                      <w:color w:val="000000" w:themeColor="text1"/>
                      <w:sz w:val="21"/>
                      <w:szCs w:val="21"/>
                      <w:lang w:bidi="ar"/>
                      <w14:textFill>
                        <w14:solidFill>
                          <w14:schemeClr w14:val="tx1"/>
                        </w14:solidFill>
                      </w14:textFill>
                    </w:rPr>
                    <w:t>二氧化硫</w:t>
                  </w:r>
                </w:p>
              </w:tc>
              <w:tc>
                <w:tcPr>
                  <w:tcW w:w="1004" w:type="pct"/>
                  <w:shd w:val="clear" w:color="auto" w:fill="auto"/>
                  <w:vAlign w:val="center"/>
                </w:tcPr>
                <w:p w14:paraId="298FF3F2">
                  <w:pPr>
                    <w:jc w:val="center"/>
                    <w:textAlignment w:val="center"/>
                    <w:rPr>
                      <w:rStyle w:val="100"/>
                      <w:rFonts w:hint="default" w:ascii="Times New Roman" w:hAnsi="Times New Roman" w:cs="Times New Roman"/>
                      <w:color w:val="000000" w:themeColor="text1"/>
                      <w:sz w:val="21"/>
                      <w:szCs w:val="21"/>
                      <w:lang w:bidi="ar"/>
                      <w14:textFill>
                        <w14:solidFill>
                          <w14:schemeClr w14:val="tx1"/>
                        </w14:solidFill>
                      </w14:textFill>
                    </w:rPr>
                  </w:pPr>
                  <w:r>
                    <w:rPr>
                      <w:rStyle w:val="100"/>
                      <w:rFonts w:hint="default" w:ascii="Times New Roman" w:hAnsi="Times New Roman" w:cs="Times New Roman"/>
                      <w:color w:val="000000" w:themeColor="text1"/>
                      <w:sz w:val="21"/>
                      <w:szCs w:val="21"/>
                      <w:lang w:bidi="ar"/>
                      <w14:textFill>
                        <w14:solidFill>
                          <w14:schemeClr w14:val="tx1"/>
                        </w14:solidFill>
                      </w14:textFill>
                    </w:rPr>
                    <w:t>千克</w:t>
                  </w:r>
                  <w:r>
                    <w:rPr>
                      <w:rStyle w:val="114"/>
                      <w:rFonts w:hint="default" w:ascii="Times New Roman" w:hAnsi="Times New Roman" w:cs="Times New Roman"/>
                      <w:color w:val="000000" w:themeColor="text1"/>
                      <w:sz w:val="21"/>
                      <w:szCs w:val="21"/>
                      <w:lang w:bidi="ar"/>
                      <w14:textFill>
                        <w14:solidFill>
                          <w14:schemeClr w14:val="tx1"/>
                        </w14:solidFill>
                      </w14:textFill>
                    </w:rPr>
                    <w:t>/</w:t>
                  </w:r>
                  <w:r>
                    <w:rPr>
                      <w:rStyle w:val="100"/>
                      <w:rFonts w:hint="default" w:ascii="Times New Roman" w:hAnsi="Times New Roman" w:cs="Times New Roman"/>
                      <w:color w:val="000000" w:themeColor="text1"/>
                      <w:sz w:val="21"/>
                      <w:szCs w:val="21"/>
                      <w:lang w:eastAsia="zh-CN" w:bidi="ar"/>
                      <w14:textFill>
                        <w14:solidFill>
                          <w14:schemeClr w14:val="tx1"/>
                        </w14:solidFill>
                      </w14:textFill>
                    </w:rPr>
                    <w:t>立方米</w:t>
                  </w:r>
                  <w:r>
                    <w:rPr>
                      <w:rStyle w:val="114"/>
                      <w:rFonts w:hint="default" w:ascii="Times New Roman" w:hAnsi="Times New Roman" w:cs="Times New Roman"/>
                      <w:color w:val="000000" w:themeColor="text1"/>
                      <w:sz w:val="21"/>
                      <w:szCs w:val="21"/>
                      <w:lang w:bidi="ar"/>
                      <w14:textFill>
                        <w14:solidFill>
                          <w14:schemeClr w14:val="tx1"/>
                        </w14:solidFill>
                      </w14:textFill>
                    </w:rPr>
                    <w:t>-</w:t>
                  </w:r>
                  <w:r>
                    <w:rPr>
                      <w:rStyle w:val="100"/>
                      <w:rFonts w:hint="default" w:ascii="Times New Roman" w:hAnsi="Times New Roman" w:cs="Times New Roman"/>
                      <w:color w:val="000000" w:themeColor="text1"/>
                      <w:sz w:val="21"/>
                      <w:szCs w:val="21"/>
                      <w:lang w:bidi="ar"/>
                      <w14:textFill>
                        <w14:solidFill>
                          <w14:schemeClr w14:val="tx1"/>
                        </w14:solidFill>
                      </w14:textFill>
                    </w:rPr>
                    <w:t>原料</w:t>
                  </w:r>
                </w:p>
              </w:tc>
              <w:tc>
                <w:tcPr>
                  <w:tcW w:w="781" w:type="pct"/>
                  <w:shd w:val="clear" w:color="auto" w:fill="auto"/>
                  <w:vAlign w:val="center"/>
                </w:tcPr>
                <w:p w14:paraId="2F79577E">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0.000002</w:t>
                  </w:r>
                  <w:r>
                    <w:rPr>
                      <w:rFonts w:hint="default" w:ascii="Times New Roman" w:hAnsi="Times New Roman" w:cs="Times New Roman"/>
                      <w:color w:val="000000" w:themeColor="text1"/>
                      <w:sz w:val="21"/>
                      <w:szCs w:val="21"/>
                      <w14:textFill>
                        <w14:solidFill>
                          <w14:schemeClr w14:val="tx1"/>
                        </w14:solidFill>
                      </w14:textFill>
                    </w:rPr>
                    <w:t>S</w:t>
                  </w:r>
                  <w:r>
                    <w:rPr>
                      <w:rFonts w:hint="default" w:ascii="Times New Roman" w:hAnsi="Times New Roman" w:cs="Times New Roman"/>
                      <w:color w:val="000000" w:themeColor="text1"/>
                      <w:sz w:val="21"/>
                      <w:szCs w:val="21"/>
                      <w:vertAlign w:val="superscript"/>
                      <w14:textFill>
                        <w14:solidFill>
                          <w14:schemeClr w14:val="tx1"/>
                        </w14:solidFill>
                      </w14:textFill>
                    </w:rPr>
                    <w:t>①</w:t>
                  </w:r>
                </w:p>
              </w:tc>
              <w:tc>
                <w:tcPr>
                  <w:tcW w:w="959" w:type="pct"/>
                  <w:shd w:val="clear" w:color="auto" w:fill="auto"/>
                  <w:vAlign w:val="center"/>
                </w:tcPr>
                <w:p w14:paraId="05401C77">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0.01167</w:t>
                  </w:r>
                </w:p>
              </w:tc>
            </w:tr>
            <w:tr w14:paraId="533F0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vMerge w:val="continue"/>
                  <w:shd w:val="clear" w:color="auto" w:fill="auto"/>
                  <w:vAlign w:val="center"/>
                </w:tcPr>
                <w:p w14:paraId="00764C95">
                  <w:pPr>
                    <w:jc w:val="center"/>
                    <w:rPr>
                      <w:rFonts w:hint="default" w:ascii="Times New Roman" w:hAnsi="Times New Roman" w:cs="Times New Roman"/>
                      <w:color w:val="000000" w:themeColor="text1"/>
                      <w:sz w:val="21"/>
                      <w:szCs w:val="21"/>
                      <w14:textFill>
                        <w14:solidFill>
                          <w14:schemeClr w14:val="tx1"/>
                        </w14:solidFill>
                      </w14:textFill>
                    </w:rPr>
                  </w:pPr>
                </w:p>
              </w:tc>
              <w:tc>
                <w:tcPr>
                  <w:tcW w:w="614" w:type="pct"/>
                  <w:vMerge w:val="continue"/>
                  <w:shd w:val="clear" w:color="auto" w:fill="auto"/>
                  <w:vAlign w:val="center"/>
                </w:tcPr>
                <w:p w14:paraId="2C96AEA7">
                  <w:pPr>
                    <w:jc w:val="center"/>
                    <w:rPr>
                      <w:rFonts w:hint="default" w:ascii="Times New Roman" w:hAnsi="Times New Roman" w:cs="Times New Roman"/>
                      <w:color w:val="000000" w:themeColor="text1"/>
                      <w:sz w:val="21"/>
                      <w:szCs w:val="21"/>
                      <w14:textFill>
                        <w14:solidFill>
                          <w14:schemeClr w14:val="tx1"/>
                        </w14:solidFill>
                      </w14:textFill>
                    </w:rPr>
                  </w:pPr>
                </w:p>
              </w:tc>
              <w:tc>
                <w:tcPr>
                  <w:tcW w:w="478" w:type="pct"/>
                  <w:vMerge w:val="continue"/>
                  <w:shd w:val="clear" w:color="auto" w:fill="auto"/>
                  <w:vAlign w:val="center"/>
                </w:tcPr>
                <w:p w14:paraId="5D1A449F">
                  <w:pPr>
                    <w:jc w:val="center"/>
                    <w:rPr>
                      <w:rFonts w:hint="default" w:ascii="Times New Roman" w:hAnsi="Times New Roman" w:cs="Times New Roman"/>
                      <w:color w:val="000000" w:themeColor="text1"/>
                      <w:sz w:val="21"/>
                      <w:szCs w:val="21"/>
                      <w14:textFill>
                        <w14:solidFill>
                          <w14:schemeClr w14:val="tx1"/>
                        </w14:solidFill>
                      </w14:textFill>
                    </w:rPr>
                  </w:pPr>
                </w:p>
              </w:tc>
              <w:tc>
                <w:tcPr>
                  <w:tcW w:w="702" w:type="pct"/>
                  <w:shd w:val="clear" w:color="auto" w:fill="auto"/>
                  <w:vAlign w:val="center"/>
                </w:tcPr>
                <w:p w14:paraId="3B9B2938">
                  <w:pPr>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Style w:val="100"/>
                      <w:rFonts w:hint="default" w:ascii="Times New Roman" w:hAnsi="Times New Roman" w:cs="Times New Roman"/>
                      <w:color w:val="000000" w:themeColor="text1"/>
                      <w:sz w:val="21"/>
                      <w:szCs w:val="21"/>
                      <w:lang w:bidi="ar"/>
                      <w14:textFill>
                        <w14:solidFill>
                          <w14:schemeClr w14:val="tx1"/>
                        </w14:solidFill>
                      </w14:textFill>
                    </w:rPr>
                    <w:t>氮氧化物</w:t>
                  </w:r>
                </w:p>
              </w:tc>
              <w:tc>
                <w:tcPr>
                  <w:tcW w:w="1004" w:type="pct"/>
                  <w:shd w:val="clear" w:color="auto" w:fill="auto"/>
                  <w:vAlign w:val="center"/>
                </w:tcPr>
                <w:p w14:paraId="4686DFE6">
                  <w:pPr>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Style w:val="100"/>
                      <w:rFonts w:hint="default" w:ascii="Times New Roman" w:hAnsi="Times New Roman" w:cs="Times New Roman"/>
                      <w:color w:val="000000" w:themeColor="text1"/>
                      <w:sz w:val="21"/>
                      <w:szCs w:val="21"/>
                      <w:lang w:bidi="ar"/>
                      <w14:textFill>
                        <w14:solidFill>
                          <w14:schemeClr w14:val="tx1"/>
                        </w14:solidFill>
                      </w14:textFill>
                    </w:rPr>
                    <w:t>千克</w:t>
                  </w:r>
                  <w:r>
                    <w:rPr>
                      <w:rStyle w:val="114"/>
                      <w:rFonts w:hint="default" w:ascii="Times New Roman" w:hAnsi="Times New Roman" w:cs="Times New Roman"/>
                      <w:color w:val="000000" w:themeColor="text1"/>
                      <w:sz w:val="21"/>
                      <w:szCs w:val="21"/>
                      <w:lang w:bidi="ar"/>
                      <w14:textFill>
                        <w14:solidFill>
                          <w14:schemeClr w14:val="tx1"/>
                        </w14:solidFill>
                      </w14:textFill>
                    </w:rPr>
                    <w:t>/</w:t>
                  </w:r>
                  <w:r>
                    <w:rPr>
                      <w:rStyle w:val="100"/>
                      <w:rFonts w:hint="default" w:ascii="Times New Roman" w:hAnsi="Times New Roman" w:cs="Times New Roman"/>
                      <w:color w:val="000000" w:themeColor="text1"/>
                      <w:sz w:val="21"/>
                      <w:szCs w:val="21"/>
                      <w:lang w:eastAsia="zh-CN" w:bidi="ar"/>
                      <w14:textFill>
                        <w14:solidFill>
                          <w14:schemeClr w14:val="tx1"/>
                        </w14:solidFill>
                      </w14:textFill>
                    </w:rPr>
                    <w:t>立方米</w:t>
                  </w:r>
                  <w:r>
                    <w:rPr>
                      <w:rStyle w:val="114"/>
                      <w:rFonts w:hint="default" w:ascii="Times New Roman" w:hAnsi="Times New Roman" w:cs="Times New Roman"/>
                      <w:color w:val="000000" w:themeColor="text1"/>
                      <w:sz w:val="21"/>
                      <w:szCs w:val="21"/>
                      <w:lang w:bidi="ar"/>
                      <w14:textFill>
                        <w14:solidFill>
                          <w14:schemeClr w14:val="tx1"/>
                        </w14:solidFill>
                      </w14:textFill>
                    </w:rPr>
                    <w:t>-</w:t>
                  </w:r>
                  <w:r>
                    <w:rPr>
                      <w:rStyle w:val="100"/>
                      <w:rFonts w:hint="default" w:ascii="Times New Roman" w:hAnsi="Times New Roman" w:cs="Times New Roman"/>
                      <w:color w:val="000000" w:themeColor="text1"/>
                      <w:sz w:val="21"/>
                      <w:szCs w:val="21"/>
                      <w:lang w:bidi="ar"/>
                      <w14:textFill>
                        <w14:solidFill>
                          <w14:schemeClr w14:val="tx1"/>
                        </w14:solidFill>
                      </w14:textFill>
                    </w:rPr>
                    <w:t>原料</w:t>
                  </w:r>
                </w:p>
              </w:tc>
              <w:tc>
                <w:tcPr>
                  <w:tcW w:w="781" w:type="pct"/>
                  <w:shd w:val="clear" w:color="auto" w:fill="auto"/>
                  <w:vAlign w:val="center"/>
                </w:tcPr>
                <w:p w14:paraId="5EEEECAC">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0.00596</w:t>
                  </w:r>
                </w:p>
              </w:tc>
              <w:tc>
                <w:tcPr>
                  <w:tcW w:w="959" w:type="pct"/>
                  <w:shd w:val="clear" w:color="auto" w:fill="auto"/>
                  <w:vAlign w:val="center"/>
                </w:tcPr>
                <w:p w14:paraId="501AA005">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0.10142</w:t>
                  </w:r>
                </w:p>
              </w:tc>
            </w:tr>
            <w:tr w14:paraId="50E1C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shd w:val="clear" w:color="auto" w:fill="auto"/>
                  <w:vAlign w:val="center"/>
                </w:tcPr>
                <w:p w14:paraId="250E408C">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①产污系数表中气体燃料的二氧化硫的产污系数是以含硫量（S）的形式表示的，其中含硫量（S）是指气体燃料中的硫含量，单位为毫克/立方米。例如燃料中含硫量（S）为200毫克/立方米，则 S=200。</w:t>
                  </w:r>
                </w:p>
                <w:p w14:paraId="73755512">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根据《液化石油气》（GB11174-1997），规定液化石油气总硫含量不大于343mg/Nm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，则按S=343mg/Nm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计算。</w:t>
                  </w:r>
                </w:p>
              </w:tc>
            </w:tr>
          </w:tbl>
          <w:p w14:paraId="78ED80D5">
            <w:pPr>
              <w:pStyle w:val="20"/>
              <w:pageBreakBefore w:val="0"/>
              <w:kinsoku/>
              <w:overflowPunct/>
              <w:topLinePunct w:val="0"/>
              <w:autoSpaceDE/>
              <w:autoSpaceDN/>
              <w:bidi w:val="0"/>
              <w:adjustRightInd/>
              <w:spacing w:line="360" w:lineRule="auto"/>
              <w:ind w:left="0" w:leftChars="0" w:right="0" w:rightChars="0" w:firstLine="482" w:firstLineChars="200"/>
              <w:rPr>
                <w:rFonts w:hint="default" w:ascii="Times New Roman" w:hAnsi="Times New Roman"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b/>
                <w:bCs/>
                <w:color w:val="000000" w:themeColor="text1"/>
                <w:kern w:val="24"/>
                <w:lang w:val="en-US" w:eastAsia="zh-CN"/>
                <w14:textFill>
                  <w14:solidFill>
                    <w14:schemeClr w14:val="tx1"/>
                  </w14:solidFill>
                </w14:textFill>
              </w:rPr>
              <w:t>②</w:t>
            </w:r>
            <w:r>
              <w:rPr>
                <w:rFonts w:hint="eastAsia" w:ascii="Times New Roman" w:hAnsi="Times New Roman" w:cs="Times New Roman"/>
                <w:b/>
                <w:bCs/>
                <w:color w:val="000000" w:themeColor="text1"/>
                <w:kern w:val="0"/>
                <w:sz w:val="24"/>
                <w:szCs w:val="24"/>
                <w:lang w:val="en-US" w:eastAsia="zh-CN" w:bidi="ar"/>
                <w14:textFill>
                  <w14:solidFill>
                    <w14:schemeClr w14:val="tx1"/>
                  </w14:solidFill>
                </w14:textFill>
              </w:rPr>
              <w:t>液化石油气钢瓶</w:t>
            </w:r>
            <w:r>
              <w:rPr>
                <w:rFonts w:hint="default" w:ascii="Times New Roman" w:hAnsi="Times New Roman" w:cs="Times New Roman"/>
                <w:b/>
                <w:bCs/>
                <w:color w:val="000000" w:themeColor="text1"/>
                <w:kern w:val="0"/>
                <w:sz w:val="24"/>
                <w:szCs w:val="24"/>
                <w:lang w:val="en-US" w:eastAsia="zh-CN" w:bidi="ar"/>
                <w14:textFill>
                  <w14:solidFill>
                    <w14:schemeClr w14:val="tx1"/>
                  </w14:solidFill>
                </w14:textFill>
              </w:rPr>
              <w:t>烘干废气</w:t>
            </w:r>
          </w:p>
          <w:p w14:paraId="26FCE1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项目固化过程中，</w:t>
            </w:r>
            <w:r>
              <w:rPr>
                <w:rFonts w:hint="eastAsia" w:ascii="Times New Roman" w:hAnsi="Times New Roman" w:cs="Times New Roman"/>
                <w:b w:val="0"/>
                <w:bCs w:val="0"/>
                <w:color w:val="000000" w:themeColor="text1"/>
                <w:kern w:val="0"/>
                <w:sz w:val="24"/>
                <w:szCs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表面聚酯环氧树脂粉末层受热会产生非甲烷总烃。</w:t>
            </w:r>
          </w:p>
          <w:p w14:paraId="7B09675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根据工程分析，本项目喷塑粉末用量为14.9639t，静电喷涂流水线喷粉附着率为80%，则附着</w:t>
            </w:r>
            <w:r>
              <w:rPr>
                <w:rFonts w:hint="eastAsia" w:ascii="Times New Roman" w:hAnsi="Times New Roman" w:cs="Times New Roman"/>
                <w:b w:val="0"/>
                <w:bCs w:val="0"/>
                <w:color w:val="000000" w:themeColor="text1"/>
                <w:kern w:val="0"/>
                <w:sz w:val="24"/>
                <w:szCs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表面进入固化工段的涂料为11.97112t/a。</w:t>
            </w:r>
          </w:p>
          <w:p w14:paraId="1DFD3D6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参照</w:t>
            </w:r>
            <w:r>
              <w:rPr>
                <w:rFonts w:hint="default" w:ascii="Times New Roman" w:hAnsi="Times New Roman" w:cs="Times New Roman"/>
                <w:color w:val="000000" w:themeColor="text1"/>
                <w:kern w:val="24"/>
                <w:sz w:val="24"/>
                <w:szCs w:val="24"/>
                <w:lang w:val="en-US" w:eastAsia="zh-CN"/>
                <w14:textFill>
                  <w14:solidFill>
                    <w14:schemeClr w14:val="tx1"/>
                  </w14:solidFill>
                </w14:textFill>
              </w:rPr>
              <w:t>《33-37，431-434 机械行业系数手册》中“14涂装，粉末涂料喷塑后烘干”，挥发性有机物产生系数为1.2kg/t-原料，则非甲烷总烃产生量约为0.0143653t/a。</w:t>
            </w:r>
          </w:p>
          <w:p w14:paraId="4F5A846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24"/>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4"/>
                <w:sz w:val="24"/>
                <w:szCs w:val="24"/>
                <w:lang w:val="en-US" w:eastAsia="zh-CN"/>
                <w14:textFill>
                  <w14:solidFill>
                    <w14:schemeClr w14:val="tx1"/>
                  </w14:solidFill>
                </w14:textFill>
              </w:rPr>
              <w:t>烘干固化废气颗粒物产生量为0.00374t/a，二氧化硫产生量为0.01167t/a，氮氧化物产生量为0.10142t/a。非甲烷总烃产生量约为0.0143653t/a。</w:t>
            </w:r>
          </w:p>
          <w:p w14:paraId="50FBABA1">
            <w:pPr>
              <w:pStyle w:val="20"/>
              <w:pageBreakBefore w:val="0"/>
              <w:kinsoku/>
              <w:overflowPunct/>
              <w:topLinePunct w:val="0"/>
              <w:autoSpaceDE/>
              <w:autoSpaceDN/>
              <w:bidi w:val="0"/>
              <w:adjustRightInd/>
              <w:spacing w:line="360" w:lineRule="auto"/>
              <w:ind w:left="0" w:leftChars="0" w:right="0" w:rightChars="0" w:firstLine="480" w:firstLineChars="200"/>
              <w:rPr>
                <w:rFonts w:hint="default" w:ascii="Times New Roman" w:hAnsi="Times New Roman" w:cs="Times New Roman"/>
                <w:color w:val="000000" w:themeColor="text1"/>
                <w:kern w:val="24"/>
                <w:lang w:val="en-US" w:eastAsia="zh-CN"/>
                <w14:textFill>
                  <w14:solidFill>
                    <w14:schemeClr w14:val="tx1"/>
                  </w14:solidFill>
                </w14:textFill>
              </w:rPr>
            </w:pPr>
            <w:r>
              <w:rPr>
                <w:rFonts w:hint="eastAsia" w:cs="Times New Roman"/>
                <w:b w:val="0"/>
                <w:bCs/>
                <w:color w:val="000000" w:themeColor="text1"/>
                <w:kern w:val="24"/>
                <w:lang w:val="en-US" w:eastAsia="zh-CN"/>
                <w14:textFill>
                  <w14:solidFill>
                    <w14:schemeClr w14:val="tx1"/>
                  </w14:solidFill>
                </w14:textFill>
              </w:rPr>
              <w:t>烘干固化废气包含液化气燃烧废气、钢瓶烘干废气；</w:t>
            </w:r>
            <w:r>
              <w:rPr>
                <w:rFonts w:hint="default" w:ascii="Times New Roman" w:hAnsi="Times New Roman" w:cs="Times New Roman"/>
                <w:color w:val="000000" w:themeColor="text1"/>
                <w:kern w:val="24"/>
                <w:lang w:val="en-US" w:eastAsia="zh-CN"/>
                <w14:textFill>
                  <w14:solidFill>
                    <w14:schemeClr w14:val="tx1"/>
                  </w14:solidFill>
                </w14:textFill>
              </w:rPr>
              <w:t>烘干固化废气引入焚烧炉通过热力焚烧后，同焚烧废气一同进入</w:t>
            </w:r>
            <w:r>
              <w:rPr>
                <w:rFonts w:hint="default" w:ascii="Times New Roman" w:hAnsi="Times New Roman" w:cs="Times New Roman"/>
                <w:b w:val="0"/>
                <w:bCs w:val="0"/>
                <w:color w:val="000000" w:themeColor="text1"/>
                <w:kern w:val="24"/>
                <w:lang w:val="en-US" w:eastAsia="zh-CN"/>
                <w14:textFill>
                  <w14:solidFill>
                    <w14:schemeClr w14:val="tx1"/>
                  </w14:solidFill>
                </w14:textFill>
              </w:rPr>
              <w:t>“旋风+布袋+喷淋”废气治理设施处理后由</w:t>
            </w:r>
            <w:r>
              <w:rPr>
                <w:rFonts w:hint="default" w:ascii="Times New Roman" w:hAnsi="Times New Roman" w:cs="Times New Roman"/>
                <w:color w:val="000000" w:themeColor="text1"/>
                <w:kern w:val="24"/>
                <w:lang w:val="en-US" w:eastAsia="zh-CN"/>
                <w14:textFill>
                  <w14:solidFill>
                    <w14:schemeClr w14:val="tx1"/>
                  </w14:solidFill>
                </w14:textFill>
              </w:rPr>
              <w:t>排气筒DA001一同排放。</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排放源统计调查产排污核算方法和系数手册》（生态环境部公告2021年第24号）中《33-37，431-434机械行业系数手册》“14、涂装、涂装件、粉末涂料、喷塑后烘干”中“挥发性有机物直接燃烧法末端治理技术效率为85%”。根据上文核算，</w:t>
            </w:r>
            <w:r>
              <w:rPr>
                <w:rFonts w:hint="default" w:ascii="Times New Roman" w:hAnsi="Times New Roman" w:cs="Times New Roman"/>
                <w:b w:val="0"/>
                <w:bCs w:val="0"/>
                <w:color w:val="000000" w:themeColor="text1"/>
                <w:kern w:val="24"/>
                <w:lang w:val="en-US" w:eastAsia="zh-CN"/>
                <w14:textFill>
                  <w14:solidFill>
                    <w14:schemeClr w14:val="tx1"/>
                  </w14:solidFill>
                </w14:textFill>
              </w:rPr>
              <w:t>“旋风+布袋+喷淋”废气治理设施</w:t>
            </w:r>
            <w:r>
              <w:rPr>
                <w:rFonts w:hint="default" w:ascii="Times New Roman" w:hAnsi="Times New Roman" w:cs="Times New Roman"/>
                <w:color w:val="000000" w:themeColor="text1"/>
                <w:kern w:val="24"/>
                <w:lang w:val="en-US" w:eastAsia="zh-CN"/>
                <w14:textFill>
                  <w14:solidFill>
                    <w14:schemeClr w14:val="tx1"/>
                  </w14:solidFill>
                </w14:textFill>
              </w:rPr>
              <w:t>颗粒物综合治理效率为99.7%，二氧化硫治理效率为80%。</w:t>
            </w:r>
          </w:p>
          <w:p w14:paraId="60A2BCB3">
            <w:pPr>
              <w:pStyle w:val="20"/>
              <w:pageBreakBefore w:val="0"/>
              <w:kinsoku/>
              <w:overflowPunct/>
              <w:topLinePunct w:val="0"/>
              <w:autoSpaceDE/>
              <w:autoSpaceDN/>
              <w:bidi w:val="0"/>
              <w:adjustRightInd/>
              <w:spacing w:line="360" w:lineRule="auto"/>
              <w:ind w:left="0" w:leftChars="0" w:right="0" w:rightChars="0" w:firstLine="480" w:firstLineChars="200"/>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本项目</w:t>
            </w:r>
            <w:r>
              <w:rPr>
                <w:rFonts w:hint="eastAsia" w:cs="Times New Roman"/>
                <w:b w:val="0"/>
                <w:bCs w:val="0"/>
                <w:color w:val="000000" w:themeColor="text1"/>
                <w:kern w:val="0"/>
                <w:sz w:val="24"/>
                <w:szCs w:val="24"/>
                <w:lang w:val="en-US" w:eastAsia="zh-CN" w:bidi="ar"/>
                <w14:textFill>
                  <w14:solidFill>
                    <w14:schemeClr w14:val="tx1"/>
                  </w14:solidFill>
                </w14:textFill>
              </w:rPr>
              <w:t>烘干</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固化废气非甲烷总烃排放量为0.00215t/a，颗粒物排放量为0.00233t/a，二氧化硫排放量为0.</w:t>
            </w:r>
            <w:r>
              <w:rPr>
                <w:rFonts w:hint="eastAsia" w:cs="Times New Roman"/>
                <w:b w:val="0"/>
                <w:bCs w:val="0"/>
                <w:color w:val="000000" w:themeColor="text1"/>
                <w:kern w:val="0"/>
                <w:sz w:val="24"/>
                <w:szCs w:val="24"/>
                <w:lang w:val="en-US" w:eastAsia="zh-CN" w:bidi="ar"/>
                <w14:textFill>
                  <w14:solidFill>
                    <w14:schemeClr w14:val="tx1"/>
                  </w14:solidFill>
                </w14:textFill>
              </w:rPr>
              <w:t>00</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23</w:t>
            </w:r>
            <w:r>
              <w:rPr>
                <w:rFonts w:hint="eastAsia" w:cs="Times New Roman"/>
                <w:b w:val="0"/>
                <w:bCs w:val="0"/>
                <w:color w:val="000000" w:themeColor="text1"/>
                <w:kern w:val="0"/>
                <w:sz w:val="24"/>
                <w:szCs w:val="24"/>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t/a，氮氧化物排放量为0.10142t/a。</w:t>
            </w:r>
          </w:p>
          <w:p w14:paraId="5472E11A">
            <w:pPr>
              <w:pStyle w:val="20"/>
              <w:pageBreakBefore w:val="0"/>
              <w:numPr>
                <w:ilvl w:val="0"/>
                <w:numId w:val="0"/>
              </w:numPr>
              <w:kinsoku/>
              <w:overflowPunct/>
              <w:topLinePunct w:val="0"/>
              <w:autoSpaceDE/>
              <w:autoSpaceDN/>
              <w:bidi w:val="0"/>
              <w:adjustRightInd/>
              <w:spacing w:line="360" w:lineRule="auto"/>
              <w:ind w:left="0" w:leftChars="0" w:right="0" w:rightChars="0" w:firstLine="482" w:firstLineChars="200"/>
              <w:rPr>
                <w:rFonts w:hint="default" w:ascii="Times New Roman" w:hAnsi="Times New Roman" w:cs="Times New Roman"/>
                <w:b/>
                <w:bCs/>
                <w:color w:val="000000" w:themeColor="text1"/>
                <w:kern w:val="24"/>
                <w:lang w:val="en-US" w:eastAsia="zh-CN"/>
                <w14:textFill>
                  <w14:solidFill>
                    <w14:schemeClr w14:val="tx1"/>
                  </w14:solidFill>
                </w14:textFill>
              </w:rPr>
            </w:pPr>
            <w:r>
              <w:rPr>
                <w:rFonts w:hint="default" w:ascii="Times New Roman" w:hAnsi="Times New Roman" w:cs="Times New Roman"/>
                <w:b/>
                <w:bCs/>
                <w:color w:val="000000" w:themeColor="text1"/>
                <w:kern w:val="24"/>
                <w:sz w:val="24"/>
                <w:szCs w:val="24"/>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24"/>
                <w:sz w:val="24"/>
                <w:szCs w:val="24"/>
                <w:lang w:val="en-US" w:eastAsia="zh-CN" w:bidi="ar-SA"/>
                <w14:textFill>
                  <w14:solidFill>
                    <w14:schemeClr w14:val="tx1"/>
                  </w14:solidFill>
                </w14:textFill>
              </w:rPr>
              <w:t>）</w:t>
            </w:r>
            <w:r>
              <w:rPr>
                <w:rFonts w:hint="default" w:ascii="Times New Roman" w:hAnsi="Times New Roman" w:cs="Times New Roman"/>
                <w:b/>
                <w:bCs/>
                <w:color w:val="000000" w:themeColor="text1"/>
                <w:kern w:val="24"/>
                <w:lang w:val="en-US" w:eastAsia="zh-CN"/>
                <w14:textFill>
                  <w14:solidFill>
                    <w14:schemeClr w14:val="tx1"/>
                  </w14:solidFill>
                </w14:textFill>
              </w:rPr>
              <w:t>抛丸除锈废气</w:t>
            </w:r>
          </w:p>
          <w:p w14:paraId="21A43851">
            <w:pPr>
              <w:pStyle w:val="20"/>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color w:val="000000" w:themeColor="text1"/>
                <w:kern w:val="24"/>
                <w:lang w:val="en-US" w:eastAsia="zh-CN"/>
                <w14:textFill>
                  <w14:solidFill>
                    <w14:schemeClr w14:val="tx1"/>
                  </w14:solidFill>
                </w14:textFill>
              </w:rPr>
            </w:pPr>
            <w:r>
              <w:rPr>
                <w:rFonts w:hint="default" w:ascii="Times New Roman" w:hAnsi="Times New Roman" w:cs="Times New Roman"/>
                <w:color w:val="000000" w:themeColor="text1"/>
                <w:kern w:val="24"/>
                <w:lang w:val="en-US" w:eastAsia="zh-CN"/>
                <w14:textFill>
                  <w14:solidFill>
                    <w14:schemeClr w14:val="tx1"/>
                  </w14:solidFill>
                </w14:textFill>
              </w:rPr>
              <w:t>本项目使用抛丸机除锈时会产生一定的除锈粉尘，根据《排放源统计调查产排污核算方法和系数手册》（公告2021年第24号），本项目抛丸机除锈的颗粒物产生量参考《33-37，431-434 机械行业系数手册》中“抛丸、喷砂、打磨、滚筒”工艺产污系数进行核算，颗粒物产污系数为2.19kg/t-原料。</w:t>
            </w:r>
          </w:p>
          <w:p w14:paraId="0C79A95A">
            <w:pPr>
              <w:pStyle w:val="20"/>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color w:val="000000" w:themeColor="text1"/>
                <w:kern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量为19.65万只，根据产品方案，10kg、15kg、50kg</w:t>
            </w:r>
            <w:r>
              <w:rPr>
                <w:rFonts w:hint="eastAsia" w:ascii="Times New Roman" w:hAnsi="Times New Roman" w:cs="Times New Roman"/>
                <w:b w:val="0"/>
                <w:bCs w:val="0"/>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约占20%、30%、50%，即本项目抛丸除锈环节</w:t>
            </w:r>
            <w:r>
              <w:rPr>
                <w:rFonts w:hint="eastAsia" w:ascii="Times New Roman" w:hAnsi="Times New Roman" w:cs="Times New Roman"/>
                <w:b w:val="0"/>
                <w:bCs w:val="0"/>
                <w:color w:val="000000" w:themeColor="text1"/>
                <w:sz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sz w:val="24"/>
                <w:lang w:val="en-US" w:eastAsia="zh-CN" w:bidi="ar"/>
                <w14:textFill>
                  <w14:solidFill>
                    <w14:schemeClr w14:val="tx1"/>
                  </w14:solidFill>
                </w14:textFill>
              </w:rPr>
              <w:t>总重约4028.25t（58950*0.01+98250*0.015+39300*0.05=4028.25）。</w:t>
            </w:r>
            <w:r>
              <w:rPr>
                <w:rFonts w:hint="default" w:ascii="Times New Roman" w:hAnsi="Times New Roman" w:cs="Times New Roman"/>
                <w:color w:val="000000" w:themeColor="text1"/>
                <w:kern w:val="24"/>
                <w:lang w:val="en-US" w:eastAsia="zh-CN"/>
                <w14:textFill>
                  <w14:solidFill>
                    <w14:schemeClr w14:val="tx1"/>
                  </w14:solidFill>
                </w14:textFill>
              </w:rPr>
              <w:t>另外项目约有30t的钢丸参与到抛光除锈工序，因此抛丸除锈工段原料总量为4058.25t/a。</w:t>
            </w:r>
          </w:p>
          <w:p w14:paraId="12B36418">
            <w:pPr>
              <w:pStyle w:val="20"/>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kern w:val="24"/>
                <w:lang w:val="en-US" w:eastAsia="zh-CN"/>
                <w14:textFill>
                  <w14:solidFill>
                    <w14:schemeClr w14:val="tx1"/>
                  </w14:solidFill>
                </w14:textFill>
              </w:rPr>
              <w:t>颗粒物产生量为8.8876t/a，抛丸除锈废气经脉冲滤筒除尘器处理后</w:t>
            </w:r>
            <w:r>
              <w:rPr>
                <w:rFonts w:hint="eastAsia" w:cs="Times New Roman"/>
                <w:color w:val="000000" w:themeColor="text1"/>
                <w:kern w:val="24"/>
                <w:lang w:val="en-US" w:eastAsia="zh-CN"/>
                <w14:textFill>
                  <w14:solidFill>
                    <w14:schemeClr w14:val="tx1"/>
                  </w14:solidFill>
                </w14:textFill>
              </w:rPr>
              <w:t>通过</w:t>
            </w:r>
            <w:r>
              <w:rPr>
                <w:rFonts w:hint="default" w:ascii="Times New Roman" w:hAnsi="Times New Roman" w:cs="Times New Roman"/>
                <w:color w:val="000000" w:themeColor="text1"/>
                <w:kern w:val="24"/>
                <w:lang w:val="en-US" w:eastAsia="zh-CN"/>
                <w14:textFill>
                  <w14:solidFill>
                    <w14:schemeClr w14:val="tx1"/>
                  </w14:solidFill>
                </w14:textFill>
              </w:rPr>
              <w:t>排气筒DA00</w:t>
            </w:r>
            <w:r>
              <w:rPr>
                <w:rFonts w:hint="eastAsia" w:cs="Times New Roman"/>
                <w:color w:val="000000" w:themeColor="text1"/>
                <w:kern w:val="24"/>
                <w:lang w:val="en-US" w:eastAsia="zh-CN"/>
                <w14:textFill>
                  <w14:solidFill>
                    <w14:schemeClr w14:val="tx1"/>
                  </w14:solidFill>
                </w14:textFill>
              </w:rPr>
              <w:t>2</w:t>
            </w:r>
            <w:r>
              <w:rPr>
                <w:rFonts w:hint="default" w:ascii="Times New Roman" w:hAnsi="Times New Roman" w:cs="Times New Roman"/>
                <w:color w:val="000000" w:themeColor="text1"/>
                <w:kern w:val="24"/>
                <w:lang w:val="en-US" w:eastAsia="zh-CN"/>
                <w14:textFill>
                  <w14:solidFill>
                    <w14:schemeClr w14:val="tx1"/>
                  </w14:solidFill>
                </w14:textFill>
              </w:rPr>
              <w:t>排放，参照《33-37，431-434 机械行业系数手册》中管式除尘末端治理效率为95%，</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故抛丸除锈颗粒物的排放量为0.44438t/a。经处理后的抛丸除锈粉尘通过一根15m排气筒DA002排放。</w:t>
            </w:r>
            <w:r>
              <w:rPr>
                <w:rFonts w:hint="default" w:ascii="Times New Roman" w:hAnsi="Times New Roman" w:cs="Times New Roman"/>
                <w:b w:val="0"/>
                <w:bCs w:val="0"/>
                <w:color w:val="000000" w:themeColor="text1"/>
                <w:kern w:val="24"/>
                <w:lang w:val="en-US" w:eastAsia="zh-CN"/>
                <w14:textFill>
                  <w14:solidFill>
                    <w14:schemeClr w14:val="tx1"/>
                  </w14:solidFill>
                </w14:textFill>
              </w:rPr>
              <w:t>配套风机风量为</w:t>
            </w:r>
            <w:r>
              <w:rPr>
                <w:rFonts w:hint="eastAsia" w:cs="Times New Roman"/>
                <w:b w:val="0"/>
                <w:bCs w:val="0"/>
                <w:color w:val="000000" w:themeColor="text1"/>
                <w:kern w:val="24"/>
                <w:lang w:val="en-US" w:eastAsia="zh-CN"/>
                <w14:textFill>
                  <w14:solidFill>
                    <w14:schemeClr w14:val="tx1"/>
                  </w14:solidFill>
                </w14:textFill>
              </w:rPr>
              <w:t>4000m</w:t>
            </w:r>
            <w:r>
              <w:rPr>
                <w:rFonts w:hint="default" w:ascii="Times New Roman" w:hAnsi="Times New Roman" w:cs="Times New Roman"/>
                <w:b w:val="0"/>
                <w:bCs w:val="0"/>
                <w:color w:val="000000" w:themeColor="text1"/>
                <w:kern w:val="24"/>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kern w:val="24"/>
                <w:lang w:val="en-US" w:eastAsia="zh-CN"/>
                <w14:textFill>
                  <w14:solidFill>
                    <w14:schemeClr w14:val="tx1"/>
                  </w14:solidFill>
                </w14:textFill>
              </w:rPr>
              <w:t>/</w:t>
            </w:r>
            <w:r>
              <w:rPr>
                <w:rFonts w:hint="eastAsia" w:cs="Times New Roman"/>
                <w:b w:val="0"/>
                <w:bCs w:val="0"/>
                <w:color w:val="000000" w:themeColor="text1"/>
                <w:kern w:val="24"/>
                <w:lang w:val="en-US" w:eastAsia="zh-CN"/>
                <w14:textFill>
                  <w14:solidFill>
                    <w14:schemeClr w14:val="tx1"/>
                  </w14:solidFill>
                </w14:textFill>
              </w:rPr>
              <w:t>h</w:t>
            </w:r>
            <w:r>
              <w:rPr>
                <w:rFonts w:hint="default" w:ascii="Times New Roman" w:hAnsi="Times New Roman" w:cs="Times New Roman"/>
                <w:b w:val="0"/>
                <w:bCs w:val="0"/>
                <w:color w:val="000000" w:themeColor="text1"/>
                <w:kern w:val="24"/>
                <w:lang w:val="en-US" w:eastAsia="zh-CN"/>
                <w14:textFill>
                  <w14:solidFill>
                    <w14:schemeClr w14:val="tx1"/>
                  </w14:solidFill>
                </w14:textFill>
              </w:rPr>
              <w:t>。</w:t>
            </w:r>
          </w:p>
          <w:p w14:paraId="75CFA420">
            <w:pPr>
              <w:pStyle w:val="20"/>
              <w:pageBreakBefore w:val="0"/>
              <w:numPr>
                <w:ilvl w:val="0"/>
                <w:numId w:val="0"/>
              </w:numPr>
              <w:kinsoku/>
              <w:overflowPunct/>
              <w:topLinePunct w:val="0"/>
              <w:autoSpaceDE/>
              <w:autoSpaceDN/>
              <w:bidi w:val="0"/>
              <w:adjustRightInd/>
              <w:spacing w:line="360" w:lineRule="auto"/>
              <w:ind w:left="0" w:leftChars="0" w:right="0" w:rightChars="0" w:firstLine="482" w:firstLineChars="200"/>
              <w:rPr>
                <w:rFonts w:hint="default" w:ascii="Times New Roman" w:hAnsi="Times New Roman" w:cs="Times New Roman"/>
                <w:b/>
                <w:bCs/>
                <w:color w:val="000000" w:themeColor="text1"/>
                <w:kern w:val="24"/>
                <w:lang w:val="en-US" w:eastAsia="zh-CN"/>
                <w14:textFill>
                  <w14:solidFill>
                    <w14:schemeClr w14:val="tx1"/>
                  </w14:solidFill>
                </w14:textFill>
              </w:rPr>
            </w:pPr>
            <w:r>
              <w:rPr>
                <w:rFonts w:hint="default" w:ascii="Times New Roman" w:hAnsi="Times New Roman" w:cs="Times New Roman"/>
                <w:b/>
                <w:bCs/>
                <w:color w:val="000000" w:themeColor="text1"/>
                <w:kern w:val="24"/>
                <w:sz w:val="24"/>
                <w:szCs w:val="24"/>
                <w:lang w:val="en-US" w:eastAsia="zh-CN" w:bidi="ar-SA"/>
                <w14:textFill>
                  <w14:solidFill>
                    <w14:schemeClr w14:val="tx1"/>
                  </w14:solidFill>
                </w14:textFill>
              </w:rPr>
              <w:t>4</w:t>
            </w:r>
            <w:r>
              <w:rPr>
                <w:rFonts w:hint="default" w:ascii="Times New Roman" w:hAnsi="Times New Roman" w:eastAsia="宋体" w:cs="Times New Roman"/>
                <w:b/>
                <w:bCs/>
                <w:color w:val="000000" w:themeColor="text1"/>
                <w:kern w:val="24"/>
                <w:sz w:val="24"/>
                <w:szCs w:val="24"/>
                <w:lang w:val="en-US" w:eastAsia="zh-CN" w:bidi="ar-SA"/>
                <w14:textFill>
                  <w14:solidFill>
                    <w14:schemeClr w14:val="tx1"/>
                  </w14:solidFill>
                </w14:textFill>
              </w:rPr>
              <w:t>）</w:t>
            </w:r>
            <w:r>
              <w:rPr>
                <w:rFonts w:hint="default" w:ascii="Times New Roman" w:hAnsi="Times New Roman" w:cs="Times New Roman"/>
                <w:b/>
                <w:bCs/>
                <w:color w:val="000000" w:themeColor="text1"/>
                <w:kern w:val="24"/>
                <w:lang w:val="en-US" w:eastAsia="zh-CN"/>
                <w14:textFill>
                  <w14:solidFill>
                    <w14:schemeClr w14:val="tx1"/>
                  </w14:solidFill>
                </w14:textFill>
              </w:rPr>
              <w:t xml:space="preserve">喷塑废气 </w:t>
            </w:r>
          </w:p>
          <w:p w14:paraId="742EB7F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项目采用静电喷涂流水线进行热固性粉末喷塑，内部自带脉冲反吹式过滤装置，</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喷塑附着率、粉末回收率参考《喷塑行业污染物源强估算及治理防范探讨》（原中国环境管理干部学院学报，现河北环境工程学院学报2006年12月第26卷第6期）“根据统计，塑粉平均附着率为80~90%，负压吸气对粉尘回收效率为95%左右”</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同时</w:t>
            </w:r>
            <w:r>
              <w:rPr>
                <w:rFonts w:hint="default" w:ascii="Times New Roman" w:hAnsi="Times New Roman" w:cs="Times New Roman"/>
                <w:color w:val="000000" w:themeColor="text1"/>
                <w:kern w:val="24"/>
                <w:sz w:val="24"/>
                <w:szCs w:val="24"/>
                <w:lang w:val="en-US" w:eastAsia="zh-CN"/>
                <w14:textFill>
                  <w14:solidFill>
                    <w14:schemeClr w14:val="tx1"/>
                  </w14:solidFill>
                </w14:textFill>
              </w:rPr>
              <w:t>参照《33-37，431-434 机械行业系数手册》中“管式除尘末端治理效率为95%”</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，故本次</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喷粉附着率</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按8</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0%</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计</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，粉末回收效率</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按95</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计。</w:t>
            </w:r>
          </w:p>
          <w:p w14:paraId="4BD737B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根据工程分析，本项目喷塑粉末用量为14.9639t，即颗粒物产生量为2.99278t/a，未附着</w:t>
            </w:r>
            <w:r>
              <w:rPr>
                <w:rFonts w:hint="eastAsia" w:ascii="Times New Roman" w:hAnsi="Times New Roman" w:cs="Times New Roman"/>
                <w:b w:val="0"/>
                <w:bCs w:val="0"/>
                <w:color w:val="000000" w:themeColor="text1"/>
                <w:kern w:val="0"/>
                <w:sz w:val="24"/>
                <w:szCs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表面的粉末经脉冲滤筒除尘器处理后并入排气筒DA002与抛丸除锈粉尘一同排放，则颗粒物的排放量为0.1496</w:t>
            </w:r>
            <w:r>
              <w:rPr>
                <w:rFonts w:hint="eastAsia" w:cs="Times New Roman"/>
                <w:b w:val="0"/>
                <w:bCs w:val="0"/>
                <w:color w:val="000000" w:themeColor="text1"/>
                <w:kern w:val="0"/>
                <w:sz w:val="24"/>
                <w:szCs w:val="24"/>
                <w:lang w:val="en-US" w:eastAsia="zh-CN" w:bidi="ar"/>
                <w14:textFill>
                  <w14:solidFill>
                    <w14:schemeClr w14:val="tx1"/>
                  </w14:solidFill>
                </w14:textFill>
              </w:rPr>
              <w:t>4</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t/a。</w:t>
            </w:r>
          </w:p>
          <w:p w14:paraId="27B1F30C">
            <w:pPr>
              <w:pStyle w:val="20"/>
              <w:pageBreakBefore w:val="0"/>
              <w:kinsoku/>
              <w:overflowPunct/>
              <w:topLinePunct w:val="0"/>
              <w:autoSpaceDE/>
              <w:autoSpaceDN/>
              <w:bidi w:val="0"/>
              <w:adjustRightInd/>
              <w:spacing w:line="360" w:lineRule="auto"/>
              <w:ind w:left="0" w:leftChars="0" w:right="0" w:rightChars="0" w:firstLine="482" w:firstLineChars="200"/>
              <w:rPr>
                <w:rFonts w:hint="default" w:ascii="Times New Roman" w:hAnsi="Times New Roman" w:eastAsia="宋体" w:cs="Times New Roman"/>
                <w:b/>
                <w:bCs/>
                <w:color w:val="000000" w:themeColor="text1"/>
                <w:kern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24"/>
                <w:lang w:val="en-US" w:eastAsia="zh-CN"/>
                <w14:textFill>
                  <w14:solidFill>
                    <w14:schemeClr w14:val="tx1"/>
                  </w14:solidFill>
                </w14:textFill>
              </w:rPr>
              <w:t>5）小结</w:t>
            </w:r>
          </w:p>
          <w:p w14:paraId="67D0214C">
            <w:pPr>
              <w:pStyle w:val="20"/>
              <w:pageBreakBefore w:val="0"/>
              <w:kinsoku/>
              <w:overflowPunct/>
              <w:topLinePunct w:val="0"/>
              <w:autoSpaceDE/>
              <w:autoSpaceDN/>
              <w:bidi w:val="0"/>
              <w:adjustRightInd/>
              <w:spacing w:line="360" w:lineRule="auto"/>
              <w:ind w:left="0" w:leftChars="0" w:right="0" w:rightChars="0" w:firstLine="480" w:firstLineChars="200"/>
              <w:rPr>
                <w:rFonts w:hint="default" w:cs="Times New Roman"/>
                <w:b w:val="0"/>
                <w:bCs w:val="0"/>
                <w:color w:val="000000" w:themeColor="text1"/>
                <w:kern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4"/>
                <w:lang w:val="en-US" w:eastAsia="zh-CN"/>
                <w14:textFill>
                  <w14:solidFill>
                    <w14:schemeClr w14:val="tx1"/>
                  </w14:solidFill>
                </w14:textFill>
              </w:rPr>
              <w:t>综上所述，项目产生的焚烧炉废气经收集后进入一套“旋风+布袋+喷淋”设施处理，烘干固化废气引入焚烧炉进行热力焚烧，废气同焚烧废气一同进入“旋风+布袋+喷淋”处理，处理后的废气通过排气筒DA001排放</w:t>
            </w:r>
            <w:r>
              <w:rPr>
                <w:rFonts w:hint="default" w:ascii="Times New Roman" w:hAnsi="Times New Roman" w:cs="Times New Roman"/>
                <w:b w:val="0"/>
                <w:bCs w:val="0"/>
                <w:color w:val="000000" w:themeColor="text1"/>
                <w:kern w:val="24"/>
                <w:lang w:val="en-US" w:eastAsia="zh-CN"/>
                <w14:textFill>
                  <w14:solidFill>
                    <w14:schemeClr w14:val="tx1"/>
                  </w14:solidFill>
                </w14:textFill>
              </w:rPr>
              <w:t>，配套风机风量为4000m</w:t>
            </w:r>
            <w:r>
              <w:rPr>
                <w:rFonts w:hint="default" w:ascii="Times New Roman" w:hAnsi="Times New Roman" w:cs="Times New Roman"/>
                <w:b w:val="0"/>
                <w:bCs w:val="0"/>
                <w:color w:val="000000" w:themeColor="text1"/>
                <w:kern w:val="24"/>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kern w:val="24"/>
                <w:lang w:val="en-US" w:eastAsia="zh-CN"/>
                <w14:textFill>
                  <w14:solidFill>
                    <w14:schemeClr w14:val="tx1"/>
                  </w14:solidFill>
                </w14:textFill>
              </w:rPr>
              <w:t>/</w:t>
            </w:r>
            <w:r>
              <w:rPr>
                <w:rFonts w:hint="eastAsia" w:cs="Times New Roman"/>
                <w:b w:val="0"/>
                <w:bCs w:val="0"/>
                <w:color w:val="000000" w:themeColor="text1"/>
                <w:kern w:val="24"/>
                <w:lang w:val="en-US" w:eastAsia="zh-CN"/>
                <w14:textFill>
                  <w14:solidFill>
                    <w14:schemeClr w14:val="tx1"/>
                  </w14:solidFill>
                </w14:textFill>
              </w:rPr>
              <w:t>h</w:t>
            </w:r>
            <w:r>
              <w:rPr>
                <w:rFonts w:hint="default" w:ascii="Times New Roman" w:hAnsi="Times New Roman" w:cs="Times New Roman"/>
                <w:b w:val="0"/>
                <w:bCs w:val="0"/>
                <w:color w:val="000000" w:themeColor="text1"/>
                <w:kern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24"/>
                <w:lang w:val="en-US" w:eastAsia="zh-CN"/>
                <w14:textFill>
                  <w14:solidFill>
                    <w14:schemeClr w14:val="tx1"/>
                  </w14:solidFill>
                </w14:textFill>
              </w:rPr>
              <w:t>抛丸除锈废气经脉冲滤筒除尘器处理、喷塑废气经脉冲滤筒除尘器处理处理后的废气通过排气筒DA002排放</w:t>
            </w:r>
            <w:r>
              <w:rPr>
                <w:rFonts w:hint="default" w:ascii="Times New Roman" w:hAnsi="Times New Roman" w:cs="Times New Roman"/>
                <w:b w:val="0"/>
                <w:bCs w:val="0"/>
                <w:color w:val="000000" w:themeColor="text1"/>
                <w:kern w:val="24"/>
                <w:lang w:val="en-US" w:eastAsia="zh-CN"/>
                <w14:textFill>
                  <w14:solidFill>
                    <w14:schemeClr w14:val="tx1"/>
                  </w14:solidFill>
                </w14:textFill>
              </w:rPr>
              <w:t>，配套风机风量为4000m</w:t>
            </w:r>
            <w:r>
              <w:rPr>
                <w:rFonts w:hint="default" w:ascii="Times New Roman" w:hAnsi="Times New Roman" w:cs="Times New Roman"/>
                <w:b w:val="0"/>
                <w:bCs w:val="0"/>
                <w:color w:val="000000" w:themeColor="text1"/>
                <w:kern w:val="24"/>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kern w:val="24"/>
                <w:lang w:val="en-US" w:eastAsia="zh-CN"/>
                <w14:textFill>
                  <w14:solidFill>
                    <w14:schemeClr w14:val="tx1"/>
                  </w14:solidFill>
                </w14:textFill>
              </w:rPr>
              <w:t>/</w:t>
            </w:r>
            <w:r>
              <w:rPr>
                <w:rFonts w:hint="eastAsia" w:cs="Times New Roman"/>
                <w:b w:val="0"/>
                <w:bCs w:val="0"/>
                <w:color w:val="000000" w:themeColor="text1"/>
                <w:kern w:val="24"/>
                <w:lang w:val="en-US" w:eastAsia="zh-CN"/>
                <w14:textFill>
                  <w14:solidFill>
                    <w14:schemeClr w14:val="tx1"/>
                  </w14:solidFill>
                </w14:textFill>
              </w:rPr>
              <w:t>h</w:t>
            </w:r>
            <w:r>
              <w:rPr>
                <w:rFonts w:hint="default" w:ascii="Times New Roman" w:hAnsi="Times New Roman" w:cs="Times New Roman"/>
                <w:b w:val="0"/>
                <w:bCs w:val="0"/>
                <w:color w:val="000000" w:themeColor="text1"/>
                <w:kern w:val="24"/>
                <w:lang w:val="en-US" w:eastAsia="zh-CN"/>
                <w14:textFill>
                  <w14:solidFill>
                    <w14:schemeClr w14:val="tx1"/>
                  </w14:solidFill>
                </w14:textFill>
              </w:rPr>
              <w:t>。</w:t>
            </w:r>
            <w:r>
              <w:rPr>
                <w:rFonts w:hint="eastAsia" w:cs="Times New Roman"/>
                <w:b w:val="0"/>
                <w:bCs w:val="0"/>
                <w:color w:val="000000" w:themeColor="text1"/>
                <w:kern w:val="24"/>
                <w:lang w:val="en-US" w:eastAsia="zh-CN"/>
                <w14:textFill>
                  <w14:solidFill>
                    <w14:schemeClr w14:val="tx1"/>
                  </w14:solidFill>
                </w14:textFill>
              </w:rPr>
              <w:t>项目年运行约2400h，排气筒DA001废气量为960万m</w:t>
            </w:r>
            <w:r>
              <w:rPr>
                <w:rFonts w:hint="eastAsia" w:cs="Times New Roman"/>
                <w:b w:val="0"/>
                <w:bCs w:val="0"/>
                <w:color w:val="000000" w:themeColor="text1"/>
                <w:kern w:val="24"/>
                <w:vertAlign w:val="superscript"/>
                <w:lang w:val="en-US" w:eastAsia="zh-CN"/>
                <w14:textFill>
                  <w14:solidFill>
                    <w14:schemeClr w14:val="tx1"/>
                  </w14:solidFill>
                </w14:textFill>
              </w:rPr>
              <w:t>3</w:t>
            </w:r>
            <w:r>
              <w:rPr>
                <w:rFonts w:hint="eastAsia" w:cs="Times New Roman"/>
                <w:b w:val="0"/>
                <w:bCs w:val="0"/>
                <w:color w:val="000000" w:themeColor="text1"/>
                <w:kern w:val="24"/>
                <w:lang w:val="en-US" w:eastAsia="zh-CN"/>
                <w14:textFill>
                  <w14:solidFill>
                    <w14:schemeClr w14:val="tx1"/>
                  </w14:solidFill>
                </w14:textFill>
              </w:rPr>
              <w:t>/a，排气筒DA002废气量为960万m</w:t>
            </w:r>
            <w:r>
              <w:rPr>
                <w:rFonts w:hint="eastAsia" w:cs="Times New Roman"/>
                <w:b w:val="0"/>
                <w:bCs w:val="0"/>
                <w:color w:val="000000" w:themeColor="text1"/>
                <w:kern w:val="24"/>
                <w:vertAlign w:val="superscript"/>
                <w:lang w:val="en-US" w:eastAsia="zh-CN"/>
                <w14:textFill>
                  <w14:solidFill>
                    <w14:schemeClr w14:val="tx1"/>
                  </w14:solidFill>
                </w14:textFill>
              </w:rPr>
              <w:t>3</w:t>
            </w:r>
            <w:r>
              <w:rPr>
                <w:rFonts w:hint="eastAsia" w:cs="Times New Roman"/>
                <w:b w:val="0"/>
                <w:bCs w:val="0"/>
                <w:color w:val="000000" w:themeColor="text1"/>
                <w:kern w:val="24"/>
                <w:lang w:val="en-US" w:eastAsia="zh-CN"/>
                <w14:textFill>
                  <w14:solidFill>
                    <w14:schemeClr w14:val="tx1"/>
                  </w14:solidFill>
                </w14:textFill>
              </w:rPr>
              <w:t>/a，即本项目废气量为1920万m</w:t>
            </w:r>
            <w:r>
              <w:rPr>
                <w:rFonts w:hint="eastAsia" w:cs="Times New Roman"/>
                <w:b w:val="0"/>
                <w:bCs w:val="0"/>
                <w:color w:val="000000" w:themeColor="text1"/>
                <w:kern w:val="24"/>
                <w:vertAlign w:val="superscript"/>
                <w:lang w:val="en-US" w:eastAsia="zh-CN"/>
                <w14:textFill>
                  <w14:solidFill>
                    <w14:schemeClr w14:val="tx1"/>
                  </w14:solidFill>
                </w14:textFill>
              </w:rPr>
              <w:t>3</w:t>
            </w:r>
            <w:r>
              <w:rPr>
                <w:rFonts w:hint="eastAsia" w:cs="Times New Roman"/>
                <w:b w:val="0"/>
                <w:bCs w:val="0"/>
                <w:color w:val="000000" w:themeColor="text1"/>
                <w:kern w:val="24"/>
                <w:lang w:val="en-US" w:eastAsia="zh-CN"/>
                <w14:textFill>
                  <w14:solidFill>
                    <w14:schemeClr w14:val="tx1"/>
                  </w14:solidFill>
                </w14:textFill>
              </w:rPr>
              <w:t>/a。</w:t>
            </w:r>
          </w:p>
          <w:p w14:paraId="48190A99">
            <w:pPr>
              <w:pStyle w:val="20"/>
              <w:pageBreakBefore w:val="0"/>
              <w:kinsoku/>
              <w:overflowPunct/>
              <w:topLinePunct w:val="0"/>
              <w:autoSpaceDE/>
              <w:autoSpaceDN/>
              <w:bidi w:val="0"/>
              <w:adjustRightInd/>
              <w:spacing w:line="360" w:lineRule="auto"/>
              <w:ind w:right="0" w:rightChars="0"/>
              <w:jc w:val="center"/>
              <w:rPr>
                <w:rFonts w:hint="default" w:ascii="Times New Roman" w:hAnsi="Times New Roman" w:cs="Times New Roman"/>
                <w:b w:val="0"/>
                <w:bCs w:val="0"/>
                <w:color w:val="000000" w:themeColor="text1"/>
                <w:kern w:val="24"/>
                <w:lang w:val="en-US" w:eastAsia="zh-CN"/>
                <w14:textFill>
                  <w14:solidFill>
                    <w14:schemeClr w14:val="tx1"/>
                  </w14:solidFill>
                </w14:textFill>
              </w:rPr>
            </w:pPr>
            <w:r>
              <w:rPr>
                <w:rFonts w:hint="default" w:ascii="Times New Roman" w:hAnsi="Times New Roman" w:cs="Times New Roman"/>
                <w:b/>
                <w:bCs/>
                <w:color w:val="000000" w:themeColor="text1"/>
                <w:kern w:val="24"/>
                <w:sz w:val="21"/>
                <w:szCs w:val="21"/>
                <w:lang w:val="en-US" w:eastAsia="zh-CN"/>
                <w14:textFill>
                  <w14:solidFill>
                    <w14:schemeClr w14:val="tx1"/>
                  </w14:solidFill>
                </w14:textFill>
              </w:rPr>
              <w:t>表4-4 排气筒污染物排放一览</w:t>
            </w:r>
          </w:p>
          <w:tbl>
            <w:tblPr>
              <w:tblStyle w:val="34"/>
              <w:tblW w:w="80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0"/>
              <w:gridCol w:w="1213"/>
              <w:gridCol w:w="895"/>
              <w:gridCol w:w="897"/>
              <w:gridCol w:w="709"/>
              <w:gridCol w:w="884"/>
              <w:gridCol w:w="798"/>
              <w:gridCol w:w="1209"/>
            </w:tblGrid>
            <w:tr w14:paraId="5E49C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1" w:type="dxa"/>
                  <w:vAlign w:val="center"/>
                </w:tcPr>
                <w:p w14:paraId="730DE831">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bCs/>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bCs/>
                      <w:color w:val="000000" w:themeColor="text1"/>
                      <w:kern w:val="24"/>
                      <w:sz w:val="21"/>
                      <w:szCs w:val="21"/>
                      <w:lang w:val="en-US" w:eastAsia="zh-CN"/>
                      <w14:textFill>
                        <w14:solidFill>
                          <w14:schemeClr w14:val="tx1"/>
                        </w14:solidFill>
                      </w14:textFill>
                    </w:rPr>
                    <w:t>产污环节</w:t>
                  </w:r>
                </w:p>
              </w:tc>
              <w:tc>
                <w:tcPr>
                  <w:tcW w:w="1226" w:type="dxa"/>
                  <w:vAlign w:val="center"/>
                </w:tcPr>
                <w:p w14:paraId="6824FB56">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bCs/>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bCs/>
                      <w:color w:val="000000" w:themeColor="text1"/>
                      <w:kern w:val="24"/>
                      <w:sz w:val="21"/>
                      <w:szCs w:val="21"/>
                      <w:lang w:val="en-US" w:eastAsia="zh-CN"/>
                      <w14:textFill>
                        <w14:solidFill>
                          <w14:schemeClr w14:val="tx1"/>
                        </w14:solidFill>
                      </w14:textFill>
                    </w:rPr>
                    <w:t>污染物</w:t>
                  </w:r>
                </w:p>
              </w:tc>
              <w:tc>
                <w:tcPr>
                  <w:tcW w:w="1798" w:type="dxa"/>
                  <w:gridSpan w:val="2"/>
                  <w:vAlign w:val="center"/>
                </w:tcPr>
                <w:p w14:paraId="6B01A2F9">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bCs/>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bCs/>
                      <w:color w:val="000000" w:themeColor="text1"/>
                      <w:kern w:val="24"/>
                      <w:sz w:val="21"/>
                      <w:szCs w:val="21"/>
                      <w:lang w:val="en-US" w:eastAsia="zh-CN"/>
                      <w14:textFill>
                        <w14:solidFill>
                          <w14:schemeClr w14:val="tx1"/>
                        </w14:solidFill>
                      </w14:textFill>
                    </w:rPr>
                    <w:t>产生量t/a</w:t>
                  </w:r>
                </w:p>
              </w:tc>
              <w:tc>
                <w:tcPr>
                  <w:tcW w:w="2356" w:type="dxa"/>
                  <w:gridSpan w:val="3"/>
                  <w:vAlign w:val="center"/>
                </w:tcPr>
                <w:p w14:paraId="6BE382A5">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bCs/>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bCs/>
                      <w:color w:val="000000" w:themeColor="text1"/>
                      <w:kern w:val="24"/>
                      <w:sz w:val="21"/>
                      <w:szCs w:val="21"/>
                      <w:lang w:val="en-US" w:eastAsia="zh-CN"/>
                      <w14:textFill>
                        <w14:solidFill>
                          <w14:schemeClr w14:val="tx1"/>
                        </w14:solidFill>
                      </w14:textFill>
                    </w:rPr>
                    <w:t>处置措施</w:t>
                  </w:r>
                </w:p>
              </w:tc>
              <w:tc>
                <w:tcPr>
                  <w:tcW w:w="1214" w:type="dxa"/>
                  <w:vAlign w:val="center"/>
                </w:tcPr>
                <w:p w14:paraId="626DFED1">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bCs/>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bCs/>
                      <w:color w:val="000000" w:themeColor="text1"/>
                      <w:kern w:val="24"/>
                      <w:sz w:val="21"/>
                      <w:szCs w:val="21"/>
                      <w:lang w:val="en-US" w:eastAsia="zh-CN"/>
                      <w14:textFill>
                        <w14:solidFill>
                          <w14:schemeClr w14:val="tx1"/>
                        </w14:solidFill>
                      </w14:textFill>
                    </w:rPr>
                    <w:t>排放量t/a</w:t>
                  </w:r>
                </w:p>
              </w:tc>
            </w:tr>
            <w:tr w14:paraId="2FCE0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1" w:type="dxa"/>
                  <w:vMerge w:val="restart"/>
                  <w:vAlign w:val="center"/>
                </w:tcPr>
                <w:p w14:paraId="1AA5C3DD">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焚烧炉废气</w:t>
                  </w:r>
                </w:p>
              </w:tc>
              <w:tc>
                <w:tcPr>
                  <w:tcW w:w="1226" w:type="dxa"/>
                  <w:vAlign w:val="center"/>
                </w:tcPr>
                <w:p w14:paraId="6D61ACB6">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颗粒物</w:t>
                  </w:r>
                </w:p>
              </w:tc>
              <w:tc>
                <w:tcPr>
                  <w:tcW w:w="1798" w:type="dxa"/>
                  <w:gridSpan w:val="2"/>
                  <w:vAlign w:val="center"/>
                </w:tcPr>
                <w:p w14:paraId="7D33F998">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color w:val="000000" w:themeColor="text1"/>
                      <w:kern w:val="24"/>
                      <w:lang w:val="en-US" w:eastAsia="zh-CN"/>
                      <w14:textFill>
                        <w14:solidFill>
                          <w14:schemeClr w14:val="tx1"/>
                        </w14:solidFill>
                      </w14:textFill>
                    </w:rPr>
                    <w:t>13.4741</w:t>
                  </w:r>
                </w:p>
              </w:tc>
              <w:tc>
                <w:tcPr>
                  <w:tcW w:w="2356" w:type="dxa"/>
                  <w:gridSpan w:val="3"/>
                  <w:vMerge w:val="restart"/>
                  <w:vAlign w:val="center"/>
                </w:tcPr>
                <w:p w14:paraId="57C92B11">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“旋风+布袋+喷淋”颗粒物治理效率99.7%，二氧化硫80%</w:t>
                  </w:r>
                </w:p>
              </w:tc>
              <w:tc>
                <w:tcPr>
                  <w:tcW w:w="1214" w:type="dxa"/>
                  <w:vAlign w:val="center"/>
                </w:tcPr>
                <w:p w14:paraId="118A1732">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0.04042</w:t>
                  </w:r>
                </w:p>
              </w:tc>
            </w:tr>
            <w:tr w14:paraId="6A5EA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1" w:type="dxa"/>
                  <w:vMerge w:val="continue"/>
                  <w:vAlign w:val="center"/>
                </w:tcPr>
                <w:p w14:paraId="4237E898">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p>
              </w:tc>
              <w:tc>
                <w:tcPr>
                  <w:tcW w:w="1226" w:type="dxa"/>
                  <w:vAlign w:val="center"/>
                </w:tcPr>
                <w:p w14:paraId="248674C8">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二氧化硫</w:t>
                  </w:r>
                </w:p>
              </w:tc>
              <w:tc>
                <w:tcPr>
                  <w:tcW w:w="1798" w:type="dxa"/>
                  <w:gridSpan w:val="2"/>
                  <w:vAlign w:val="center"/>
                </w:tcPr>
                <w:p w14:paraId="378A7F3F">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0.12076</w:t>
                  </w:r>
                </w:p>
              </w:tc>
              <w:tc>
                <w:tcPr>
                  <w:tcW w:w="2356" w:type="dxa"/>
                  <w:gridSpan w:val="3"/>
                  <w:vMerge w:val="continue"/>
                  <w:vAlign w:val="center"/>
                </w:tcPr>
                <w:p w14:paraId="61E97150">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p>
              </w:tc>
              <w:tc>
                <w:tcPr>
                  <w:tcW w:w="1214" w:type="dxa"/>
                  <w:vAlign w:val="center"/>
                </w:tcPr>
                <w:p w14:paraId="47E8F552">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4"/>
                      <w:sz w:val="21"/>
                      <w:szCs w:val="21"/>
                      <w:lang w:val="en-US" w:eastAsia="zh-CN"/>
                      <w14:textFill>
                        <w14:solidFill>
                          <w14:schemeClr w14:val="tx1"/>
                        </w14:solidFill>
                      </w14:textFill>
                    </w:rPr>
                    <w:t>0.02415</w:t>
                  </w:r>
                </w:p>
              </w:tc>
            </w:tr>
            <w:tr w14:paraId="4AB7E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471" w:type="dxa"/>
                  <w:vMerge w:val="continue"/>
                  <w:vAlign w:val="center"/>
                </w:tcPr>
                <w:p w14:paraId="5B645111">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p>
              </w:tc>
              <w:tc>
                <w:tcPr>
                  <w:tcW w:w="1226" w:type="dxa"/>
                  <w:vAlign w:val="center"/>
                </w:tcPr>
                <w:p w14:paraId="3FC814E4">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氮氧化物</w:t>
                  </w:r>
                </w:p>
              </w:tc>
              <w:tc>
                <w:tcPr>
                  <w:tcW w:w="1798" w:type="dxa"/>
                  <w:gridSpan w:val="2"/>
                  <w:vAlign w:val="center"/>
                </w:tcPr>
                <w:p w14:paraId="2F28432D">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0.2299</w:t>
                  </w:r>
                </w:p>
              </w:tc>
              <w:tc>
                <w:tcPr>
                  <w:tcW w:w="2356" w:type="dxa"/>
                  <w:gridSpan w:val="3"/>
                  <w:vMerge w:val="continue"/>
                  <w:vAlign w:val="center"/>
                </w:tcPr>
                <w:p w14:paraId="0050F0B0">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p>
              </w:tc>
              <w:tc>
                <w:tcPr>
                  <w:tcW w:w="1214" w:type="dxa"/>
                  <w:vAlign w:val="center"/>
                </w:tcPr>
                <w:p w14:paraId="79F560BD">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4"/>
                      <w:sz w:val="21"/>
                      <w:szCs w:val="21"/>
                      <w:lang w:val="en-US" w:eastAsia="zh-CN"/>
                      <w14:textFill>
                        <w14:solidFill>
                          <w14:schemeClr w14:val="tx1"/>
                        </w14:solidFill>
                      </w14:textFill>
                    </w:rPr>
                    <w:t>0.2299</w:t>
                  </w:r>
                  <w:r>
                    <w:rPr>
                      <w:rFonts w:hint="eastAsia" w:cs="Times New Roman"/>
                      <w:b w:val="0"/>
                      <w:bCs w:val="0"/>
                      <w:color w:val="000000" w:themeColor="text1"/>
                      <w:kern w:val="24"/>
                      <w:sz w:val="21"/>
                      <w:szCs w:val="21"/>
                      <w:lang w:val="en-US" w:eastAsia="zh-CN"/>
                      <w14:textFill>
                        <w14:solidFill>
                          <w14:schemeClr w14:val="tx1"/>
                        </w14:solidFill>
                      </w14:textFill>
                    </w:rPr>
                    <w:t>0</w:t>
                  </w:r>
                </w:p>
              </w:tc>
            </w:tr>
            <w:tr w14:paraId="52748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471" w:type="dxa"/>
                  <w:vMerge w:val="restart"/>
                  <w:vAlign w:val="center"/>
                </w:tcPr>
                <w:p w14:paraId="00832D36">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烘干固化废气</w:t>
                  </w:r>
                </w:p>
              </w:tc>
              <w:tc>
                <w:tcPr>
                  <w:tcW w:w="1226" w:type="dxa"/>
                  <w:vAlign w:val="center"/>
                </w:tcPr>
                <w:p w14:paraId="5117C665">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颗粒物</w:t>
                  </w:r>
                </w:p>
              </w:tc>
              <w:tc>
                <w:tcPr>
                  <w:tcW w:w="1798" w:type="dxa"/>
                  <w:gridSpan w:val="2"/>
                  <w:vAlign w:val="center"/>
                </w:tcPr>
                <w:p w14:paraId="6F782B81">
                  <w:pPr>
                    <w:jc w:val="cente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w:t>
                  </w:r>
                  <w:r>
                    <w:rPr>
                      <w:rFonts w:hint="default" w:ascii="Times New Roman" w:hAnsi="Times New Roman" w:cs="Times New Roman"/>
                      <w:color w:val="000000" w:themeColor="text1"/>
                      <w:sz w:val="21"/>
                      <w:szCs w:val="21"/>
                      <w:lang w:val="en-US" w:eastAsia="zh-CN"/>
                      <w14:textFill>
                        <w14:solidFill>
                          <w14:schemeClr w14:val="tx1"/>
                        </w14:solidFill>
                      </w14:textFill>
                    </w:rPr>
                    <w:t>374</w:t>
                  </w:r>
                </w:p>
              </w:tc>
              <w:tc>
                <w:tcPr>
                  <w:tcW w:w="2356" w:type="dxa"/>
                  <w:gridSpan w:val="3"/>
                  <w:vMerge w:val="restart"/>
                  <w:vAlign w:val="center"/>
                </w:tcPr>
                <w:p w14:paraId="1F974927">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引入焚烧炉进行热力焚烧，废气同焚烧废气一同进入“旋风+布袋+喷淋”处理。</w:t>
                  </w:r>
                </w:p>
                <w:p w14:paraId="6584DCF2">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非甲烷总烃治理效率85%，颗粒物治理效率99.7%，二氧化硫80%</w:t>
                  </w:r>
                </w:p>
              </w:tc>
              <w:tc>
                <w:tcPr>
                  <w:tcW w:w="1214" w:type="dxa"/>
                  <w:vAlign w:val="center"/>
                </w:tcPr>
                <w:p w14:paraId="66F125E3">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4"/>
                      <w:sz w:val="21"/>
                      <w:szCs w:val="21"/>
                      <w:lang w:val="en-US" w:eastAsia="zh-CN"/>
                      <w14:textFill>
                        <w14:solidFill>
                          <w14:schemeClr w14:val="tx1"/>
                        </w14:solidFill>
                      </w14:textFill>
                    </w:rPr>
                    <w:t>0.00215</w:t>
                  </w:r>
                </w:p>
              </w:tc>
            </w:tr>
            <w:tr w14:paraId="2AA72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1" w:type="dxa"/>
                  <w:vMerge w:val="continue"/>
                  <w:vAlign w:val="center"/>
                </w:tcPr>
                <w:p w14:paraId="255898DC">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p>
              </w:tc>
              <w:tc>
                <w:tcPr>
                  <w:tcW w:w="1226" w:type="dxa"/>
                  <w:vAlign w:val="center"/>
                </w:tcPr>
                <w:p w14:paraId="22F7596E">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二氧化硫</w:t>
                  </w:r>
                </w:p>
              </w:tc>
              <w:tc>
                <w:tcPr>
                  <w:tcW w:w="1798" w:type="dxa"/>
                  <w:gridSpan w:val="2"/>
                  <w:vAlign w:val="center"/>
                </w:tcPr>
                <w:p w14:paraId="08D64A14">
                  <w:pPr>
                    <w:jc w:val="cente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1167</w:t>
                  </w:r>
                </w:p>
              </w:tc>
              <w:tc>
                <w:tcPr>
                  <w:tcW w:w="2356" w:type="dxa"/>
                  <w:gridSpan w:val="3"/>
                  <w:vMerge w:val="continue"/>
                  <w:vAlign w:val="center"/>
                </w:tcPr>
                <w:p w14:paraId="21BDA7BE">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p>
              </w:tc>
              <w:tc>
                <w:tcPr>
                  <w:tcW w:w="1214" w:type="dxa"/>
                  <w:vAlign w:val="center"/>
                </w:tcPr>
                <w:p w14:paraId="5B7D4D06">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4"/>
                      <w:sz w:val="21"/>
                      <w:szCs w:val="21"/>
                      <w:lang w:val="en-US" w:eastAsia="zh-CN"/>
                      <w14:textFill>
                        <w14:solidFill>
                          <w14:schemeClr w14:val="tx1"/>
                        </w14:solidFill>
                      </w14:textFill>
                    </w:rPr>
                    <w:t>0.00233</w:t>
                  </w:r>
                </w:p>
              </w:tc>
            </w:tr>
            <w:tr w14:paraId="3EA54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471" w:type="dxa"/>
                  <w:vMerge w:val="continue"/>
                  <w:vAlign w:val="center"/>
                </w:tcPr>
                <w:p w14:paraId="2C103562">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p>
              </w:tc>
              <w:tc>
                <w:tcPr>
                  <w:tcW w:w="1226" w:type="dxa"/>
                  <w:vAlign w:val="center"/>
                </w:tcPr>
                <w:p w14:paraId="6CB82ABF">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氮氧化物</w:t>
                  </w:r>
                </w:p>
              </w:tc>
              <w:tc>
                <w:tcPr>
                  <w:tcW w:w="1798" w:type="dxa"/>
                  <w:gridSpan w:val="2"/>
                  <w:vAlign w:val="center"/>
                </w:tcPr>
                <w:p w14:paraId="5DF1D3EB">
                  <w:pPr>
                    <w:jc w:val="cente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0.10142</w:t>
                  </w:r>
                </w:p>
              </w:tc>
              <w:tc>
                <w:tcPr>
                  <w:tcW w:w="2356" w:type="dxa"/>
                  <w:gridSpan w:val="3"/>
                  <w:vMerge w:val="continue"/>
                  <w:vAlign w:val="center"/>
                </w:tcPr>
                <w:p w14:paraId="52DBDFF4">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p>
              </w:tc>
              <w:tc>
                <w:tcPr>
                  <w:tcW w:w="1214" w:type="dxa"/>
                  <w:vAlign w:val="center"/>
                </w:tcPr>
                <w:p w14:paraId="3FDE9DA1">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4"/>
                      <w:sz w:val="21"/>
                      <w:szCs w:val="21"/>
                      <w:lang w:val="en-US" w:eastAsia="zh-CN"/>
                      <w14:textFill>
                        <w14:solidFill>
                          <w14:schemeClr w14:val="tx1"/>
                        </w14:solidFill>
                      </w14:textFill>
                    </w:rPr>
                    <w:t>0.10142</w:t>
                  </w:r>
                </w:p>
              </w:tc>
            </w:tr>
            <w:tr w14:paraId="73E35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471" w:type="dxa"/>
                  <w:vMerge w:val="continue"/>
                  <w:vAlign w:val="center"/>
                </w:tcPr>
                <w:p w14:paraId="629E303E">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p>
              </w:tc>
              <w:tc>
                <w:tcPr>
                  <w:tcW w:w="1226" w:type="dxa"/>
                  <w:vAlign w:val="center"/>
                </w:tcPr>
                <w:p w14:paraId="09AF6560">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非甲烷总烃</w:t>
                  </w:r>
                </w:p>
              </w:tc>
              <w:tc>
                <w:tcPr>
                  <w:tcW w:w="1798" w:type="dxa"/>
                  <w:gridSpan w:val="2"/>
                  <w:vAlign w:val="center"/>
                </w:tcPr>
                <w:p w14:paraId="2DDE8D09">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0.0143653</w:t>
                  </w:r>
                </w:p>
              </w:tc>
              <w:tc>
                <w:tcPr>
                  <w:tcW w:w="2356" w:type="dxa"/>
                  <w:gridSpan w:val="3"/>
                  <w:vMerge w:val="continue"/>
                  <w:vAlign w:val="center"/>
                </w:tcPr>
                <w:p w14:paraId="4BF38256">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p>
              </w:tc>
              <w:tc>
                <w:tcPr>
                  <w:tcW w:w="1214" w:type="dxa"/>
                  <w:vAlign w:val="center"/>
                </w:tcPr>
                <w:p w14:paraId="1F1A8228">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4"/>
                      <w:sz w:val="21"/>
                      <w:szCs w:val="21"/>
                      <w:lang w:val="en-US" w:eastAsia="zh-CN"/>
                      <w14:textFill>
                        <w14:solidFill>
                          <w14:schemeClr w14:val="tx1"/>
                        </w14:solidFill>
                      </w14:textFill>
                    </w:rPr>
                    <w:t>0.0021</w:t>
                  </w:r>
                  <w:r>
                    <w:rPr>
                      <w:rFonts w:hint="eastAsia" w:cs="Times New Roman"/>
                      <w:b w:val="0"/>
                      <w:bCs w:val="0"/>
                      <w:color w:val="000000" w:themeColor="text1"/>
                      <w:kern w:val="24"/>
                      <w:sz w:val="21"/>
                      <w:szCs w:val="21"/>
                      <w:lang w:val="en-US" w:eastAsia="zh-CN"/>
                      <w14:textFill>
                        <w14:solidFill>
                          <w14:schemeClr w14:val="tx1"/>
                        </w14:solidFill>
                      </w14:textFill>
                    </w:rPr>
                    <w:t>5</w:t>
                  </w:r>
                </w:p>
              </w:tc>
            </w:tr>
            <w:tr w14:paraId="3440F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1" w:type="dxa"/>
                  <w:vAlign w:val="center"/>
                </w:tcPr>
                <w:p w14:paraId="26A6D9C2">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抛丸除锈废气</w:t>
                  </w:r>
                </w:p>
              </w:tc>
              <w:tc>
                <w:tcPr>
                  <w:tcW w:w="1226" w:type="dxa"/>
                  <w:vAlign w:val="center"/>
                </w:tcPr>
                <w:p w14:paraId="56D63A16">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颗粒物</w:t>
                  </w:r>
                </w:p>
              </w:tc>
              <w:tc>
                <w:tcPr>
                  <w:tcW w:w="1798" w:type="dxa"/>
                  <w:gridSpan w:val="2"/>
                  <w:vAlign w:val="center"/>
                </w:tcPr>
                <w:p w14:paraId="65BAE235">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8.8876</w:t>
                  </w:r>
                </w:p>
              </w:tc>
              <w:tc>
                <w:tcPr>
                  <w:tcW w:w="2356" w:type="dxa"/>
                  <w:gridSpan w:val="3"/>
                  <w:vAlign w:val="center"/>
                </w:tcPr>
                <w:p w14:paraId="455C2C35">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脉冲滤筒除尘器，颗粒物治理效率95%</w:t>
                  </w:r>
                </w:p>
              </w:tc>
              <w:tc>
                <w:tcPr>
                  <w:tcW w:w="1214" w:type="dxa"/>
                  <w:vAlign w:val="center"/>
                </w:tcPr>
                <w:p w14:paraId="5E0C750D">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0.44438</w:t>
                  </w:r>
                </w:p>
              </w:tc>
            </w:tr>
            <w:tr w14:paraId="2E4AB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1" w:type="dxa"/>
                  <w:vAlign w:val="center"/>
                </w:tcPr>
                <w:p w14:paraId="353F0ED8">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喷塑废气</w:t>
                  </w:r>
                </w:p>
              </w:tc>
              <w:tc>
                <w:tcPr>
                  <w:tcW w:w="1226" w:type="dxa"/>
                  <w:vAlign w:val="center"/>
                </w:tcPr>
                <w:p w14:paraId="6E984CAA">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颗粒物</w:t>
                  </w:r>
                </w:p>
              </w:tc>
              <w:tc>
                <w:tcPr>
                  <w:tcW w:w="1798" w:type="dxa"/>
                  <w:gridSpan w:val="2"/>
                  <w:vAlign w:val="center"/>
                </w:tcPr>
                <w:p w14:paraId="662D3828">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2.99278</w:t>
                  </w:r>
                </w:p>
              </w:tc>
              <w:tc>
                <w:tcPr>
                  <w:tcW w:w="2356" w:type="dxa"/>
                  <w:gridSpan w:val="3"/>
                  <w:vAlign w:val="center"/>
                </w:tcPr>
                <w:p w14:paraId="5192F58D">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脉冲滤筒除尘器，颗粒物治理效率95%</w:t>
                  </w:r>
                </w:p>
              </w:tc>
              <w:tc>
                <w:tcPr>
                  <w:tcW w:w="1214" w:type="dxa"/>
                  <w:vAlign w:val="center"/>
                </w:tcPr>
                <w:p w14:paraId="6D9E83FB">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0.1496</w:t>
                  </w:r>
                  <w:r>
                    <w:rPr>
                      <w:rFonts w:hint="eastAsia" w:cs="Times New Roman"/>
                      <w:b w:val="0"/>
                      <w:bCs w:val="0"/>
                      <w:color w:val="000000" w:themeColor="text1"/>
                      <w:kern w:val="24"/>
                      <w:sz w:val="21"/>
                      <w:szCs w:val="21"/>
                      <w:lang w:val="en-US" w:eastAsia="zh-CN"/>
                      <w14:textFill>
                        <w14:solidFill>
                          <w14:schemeClr w14:val="tx1"/>
                        </w14:solidFill>
                      </w14:textFill>
                    </w:rPr>
                    <w:t>4</w:t>
                  </w:r>
                </w:p>
              </w:tc>
            </w:tr>
            <w:tr w14:paraId="6BFC3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1" w:type="dxa"/>
                  <w:vAlign w:val="center"/>
                </w:tcPr>
                <w:p w14:paraId="5015CB1E">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bCs/>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bCs/>
                      <w:color w:val="000000" w:themeColor="text1"/>
                      <w:kern w:val="24"/>
                      <w:sz w:val="21"/>
                      <w:szCs w:val="21"/>
                      <w:lang w:val="en-US" w:eastAsia="zh-CN"/>
                      <w14:textFill>
                        <w14:solidFill>
                          <w14:schemeClr w14:val="tx1"/>
                        </w14:solidFill>
                      </w14:textFill>
                    </w:rPr>
                    <w:t>排放口</w:t>
                  </w:r>
                </w:p>
              </w:tc>
              <w:tc>
                <w:tcPr>
                  <w:tcW w:w="1226" w:type="dxa"/>
                  <w:vAlign w:val="center"/>
                </w:tcPr>
                <w:p w14:paraId="3C2DA0E4">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bCs/>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bCs/>
                      <w:color w:val="000000" w:themeColor="text1"/>
                      <w:kern w:val="24"/>
                      <w:sz w:val="21"/>
                      <w:szCs w:val="21"/>
                      <w:lang w:val="en-US" w:eastAsia="zh-CN"/>
                      <w14:textFill>
                        <w14:solidFill>
                          <w14:schemeClr w14:val="tx1"/>
                        </w14:solidFill>
                      </w14:textFill>
                    </w:rPr>
                    <w:t>污染物</w:t>
                  </w:r>
                </w:p>
              </w:tc>
              <w:tc>
                <w:tcPr>
                  <w:tcW w:w="899" w:type="dxa"/>
                  <w:vAlign w:val="center"/>
                </w:tcPr>
                <w:p w14:paraId="0D054DEC">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bCs/>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bCs/>
                      <w:color w:val="000000" w:themeColor="text1"/>
                      <w:kern w:val="24"/>
                      <w:sz w:val="21"/>
                      <w:szCs w:val="21"/>
                      <w:lang w:val="en-US" w:eastAsia="zh-CN"/>
                      <w14:textFill>
                        <w14:solidFill>
                          <w14:schemeClr w14:val="tx1"/>
                        </w14:solidFill>
                      </w14:textFill>
                    </w:rPr>
                    <w:t>排放量t/a</w:t>
                  </w:r>
                </w:p>
              </w:tc>
              <w:tc>
                <w:tcPr>
                  <w:tcW w:w="899" w:type="dxa"/>
                  <w:vAlign w:val="center"/>
                </w:tcPr>
                <w:p w14:paraId="18B3D6B8">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bCs/>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bCs/>
                      <w:color w:val="000000" w:themeColor="text1"/>
                      <w:kern w:val="24"/>
                      <w:sz w:val="21"/>
                      <w:szCs w:val="21"/>
                      <w:lang w:val="en-US" w:eastAsia="zh-CN"/>
                      <w14:textFill>
                        <w14:solidFill>
                          <w14:schemeClr w14:val="tx1"/>
                        </w14:solidFill>
                      </w14:textFill>
                    </w:rPr>
                    <w:t>排放速率kg/h</w:t>
                  </w:r>
                </w:p>
              </w:tc>
              <w:tc>
                <w:tcPr>
                  <w:tcW w:w="711" w:type="dxa"/>
                  <w:vAlign w:val="center"/>
                </w:tcPr>
                <w:p w14:paraId="5685A5C8">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bCs/>
                      <w:color w:val="000000" w:themeColor="text1"/>
                      <w:kern w:val="24"/>
                      <w:sz w:val="21"/>
                      <w:szCs w:val="21"/>
                      <w:lang w:val="en-US" w:eastAsia="zh-CN"/>
                      <w14:textFill>
                        <w14:solidFill>
                          <w14:schemeClr w14:val="tx1"/>
                        </w14:solidFill>
                      </w14:textFill>
                    </w:rPr>
                  </w:pPr>
                  <w:r>
                    <w:rPr>
                      <w:rFonts w:hint="eastAsia" w:ascii="Times New Roman" w:hAnsi="Times New Roman" w:cs="Times New Roman"/>
                      <w:b/>
                      <w:bCs/>
                      <w:color w:val="000000" w:themeColor="text1"/>
                      <w:kern w:val="24"/>
                      <w:sz w:val="21"/>
                      <w:szCs w:val="21"/>
                      <w:lang w:val="en-US" w:eastAsia="zh-CN"/>
                      <w14:textFill>
                        <w14:solidFill>
                          <w14:schemeClr w14:val="tx1"/>
                        </w14:solidFill>
                      </w14:textFill>
                    </w:rPr>
                    <w:t>标准限值</w:t>
                  </w:r>
                  <w:r>
                    <w:rPr>
                      <w:rFonts w:hint="default" w:ascii="Times New Roman" w:hAnsi="Times New Roman" w:cs="Times New Roman"/>
                      <w:b/>
                      <w:bCs/>
                      <w:color w:val="000000" w:themeColor="text1"/>
                      <w:kern w:val="24"/>
                      <w:sz w:val="21"/>
                      <w:szCs w:val="21"/>
                      <w:lang w:val="en-US" w:eastAsia="zh-CN"/>
                      <w14:textFill>
                        <w14:solidFill>
                          <w14:schemeClr w14:val="tx1"/>
                        </w14:solidFill>
                      </w14:textFill>
                    </w:rPr>
                    <w:t>kg/h</w:t>
                  </w:r>
                </w:p>
              </w:tc>
              <w:tc>
                <w:tcPr>
                  <w:tcW w:w="885" w:type="dxa"/>
                  <w:vAlign w:val="center"/>
                </w:tcPr>
                <w:p w14:paraId="0DBC8B93">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bCs/>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bCs/>
                      <w:color w:val="000000" w:themeColor="text1"/>
                      <w:kern w:val="24"/>
                      <w:sz w:val="21"/>
                      <w:szCs w:val="21"/>
                      <w:lang w:val="en-US" w:eastAsia="zh-CN"/>
                      <w14:textFill>
                        <w14:solidFill>
                          <w14:schemeClr w14:val="tx1"/>
                        </w14:solidFill>
                      </w14:textFill>
                    </w:rPr>
                    <w:t>排放浓度mg/m</w:t>
                  </w:r>
                  <w:r>
                    <w:rPr>
                      <w:rFonts w:hint="default" w:ascii="Times New Roman" w:hAnsi="Times New Roman" w:cs="Times New Roman"/>
                      <w:b/>
                      <w:bCs/>
                      <w:color w:val="000000" w:themeColor="text1"/>
                      <w:kern w:val="24"/>
                      <w:sz w:val="21"/>
                      <w:szCs w:val="21"/>
                      <w:vertAlign w:val="superscript"/>
                      <w:lang w:val="en-US" w:eastAsia="zh-CN"/>
                      <w14:textFill>
                        <w14:solidFill>
                          <w14:schemeClr w14:val="tx1"/>
                        </w14:solidFill>
                      </w14:textFill>
                    </w:rPr>
                    <w:t>3</w:t>
                  </w:r>
                </w:p>
              </w:tc>
              <w:tc>
                <w:tcPr>
                  <w:tcW w:w="760" w:type="dxa"/>
                  <w:vAlign w:val="center"/>
                </w:tcPr>
                <w:p w14:paraId="3576B44C">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bCs/>
                      <w:color w:val="000000" w:themeColor="text1"/>
                      <w:kern w:val="24"/>
                      <w:sz w:val="21"/>
                      <w:szCs w:val="21"/>
                      <w:lang w:val="en-US" w:eastAsia="zh-CN"/>
                      <w14:textFill>
                        <w14:solidFill>
                          <w14:schemeClr w14:val="tx1"/>
                        </w14:solidFill>
                      </w14:textFill>
                    </w:rPr>
                  </w:pPr>
                  <w:r>
                    <w:rPr>
                      <w:rFonts w:hint="eastAsia" w:ascii="Times New Roman" w:hAnsi="Times New Roman" w:cs="Times New Roman"/>
                      <w:b/>
                      <w:bCs/>
                      <w:color w:val="000000" w:themeColor="text1"/>
                      <w:kern w:val="24"/>
                      <w:sz w:val="21"/>
                      <w:szCs w:val="21"/>
                      <w:lang w:val="en-US" w:eastAsia="zh-CN"/>
                      <w14:textFill>
                        <w14:solidFill>
                          <w14:schemeClr w14:val="tx1"/>
                        </w14:solidFill>
                      </w14:textFill>
                    </w:rPr>
                    <w:t>标准限值</w:t>
                  </w:r>
                  <w:r>
                    <w:rPr>
                      <w:rFonts w:hint="default" w:ascii="Times New Roman" w:hAnsi="Times New Roman" w:cs="Times New Roman"/>
                      <w:b/>
                      <w:bCs/>
                      <w:color w:val="000000" w:themeColor="text1"/>
                      <w:kern w:val="24"/>
                      <w:sz w:val="21"/>
                      <w:szCs w:val="21"/>
                      <w:lang w:val="en-US" w:eastAsia="zh-CN"/>
                      <w14:textFill>
                        <w14:solidFill>
                          <w14:schemeClr w14:val="tx1"/>
                        </w14:solidFill>
                      </w14:textFill>
                    </w:rPr>
                    <w:t>mg/m</w:t>
                  </w:r>
                  <w:r>
                    <w:rPr>
                      <w:rFonts w:hint="default" w:ascii="Times New Roman" w:hAnsi="Times New Roman" w:cs="Times New Roman"/>
                      <w:b/>
                      <w:bCs/>
                      <w:color w:val="000000" w:themeColor="text1"/>
                      <w:kern w:val="24"/>
                      <w:sz w:val="21"/>
                      <w:szCs w:val="21"/>
                      <w:vertAlign w:val="superscript"/>
                      <w:lang w:val="en-US" w:eastAsia="zh-CN"/>
                      <w14:textFill>
                        <w14:solidFill>
                          <w14:schemeClr w14:val="tx1"/>
                        </w14:solidFill>
                      </w14:textFill>
                    </w:rPr>
                    <w:t>3</w:t>
                  </w:r>
                </w:p>
              </w:tc>
              <w:tc>
                <w:tcPr>
                  <w:tcW w:w="1214" w:type="dxa"/>
                  <w:vAlign w:val="center"/>
                </w:tcPr>
                <w:p w14:paraId="199FADEB">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bCs/>
                      <w:color w:val="000000" w:themeColor="text1"/>
                      <w:kern w:val="24"/>
                      <w:sz w:val="21"/>
                      <w:szCs w:val="21"/>
                      <w:lang w:val="en-US" w:eastAsia="zh-CN"/>
                      <w14:textFill>
                        <w14:solidFill>
                          <w14:schemeClr w14:val="tx1"/>
                        </w14:solidFill>
                      </w14:textFill>
                    </w:rPr>
                  </w:pPr>
                  <w:r>
                    <w:rPr>
                      <w:rFonts w:hint="eastAsia" w:ascii="Times New Roman" w:hAnsi="Times New Roman" w:cs="Times New Roman"/>
                      <w:b/>
                      <w:bCs/>
                      <w:color w:val="000000" w:themeColor="text1"/>
                      <w:kern w:val="24"/>
                      <w:sz w:val="21"/>
                      <w:szCs w:val="21"/>
                      <w:lang w:val="en-US" w:eastAsia="zh-CN"/>
                      <w14:textFill>
                        <w14:solidFill>
                          <w14:schemeClr w14:val="tx1"/>
                        </w14:solidFill>
                      </w14:textFill>
                    </w:rPr>
                    <w:t>达标情况</w:t>
                  </w:r>
                </w:p>
              </w:tc>
            </w:tr>
            <w:tr w14:paraId="12381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1" w:type="dxa"/>
                  <w:vMerge w:val="restart"/>
                  <w:vAlign w:val="center"/>
                </w:tcPr>
                <w:p w14:paraId="5670F898">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DA001排气筒（焚烧炉废气、烘干固化废气）</w:t>
                  </w:r>
                </w:p>
              </w:tc>
              <w:tc>
                <w:tcPr>
                  <w:tcW w:w="1226" w:type="dxa"/>
                  <w:vAlign w:val="center"/>
                </w:tcPr>
                <w:p w14:paraId="6826966D">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颗粒物</w:t>
                  </w:r>
                </w:p>
              </w:tc>
              <w:tc>
                <w:tcPr>
                  <w:tcW w:w="899" w:type="dxa"/>
                  <w:vAlign w:val="center"/>
                </w:tcPr>
                <w:p w14:paraId="2FF3AADE">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0.04</w:t>
                  </w:r>
                  <w:r>
                    <w:rPr>
                      <w:rFonts w:hint="eastAsia" w:cs="Times New Roman"/>
                      <w:b w:val="0"/>
                      <w:bCs w:val="0"/>
                      <w:color w:val="000000" w:themeColor="text1"/>
                      <w:kern w:val="24"/>
                      <w:sz w:val="21"/>
                      <w:szCs w:val="21"/>
                      <w:lang w:val="en-US" w:eastAsia="zh-CN"/>
                      <w14:textFill>
                        <w14:solidFill>
                          <w14:schemeClr w14:val="tx1"/>
                        </w14:solidFill>
                      </w14:textFill>
                    </w:rPr>
                    <w:t>3</w:t>
                  </w:r>
                </w:p>
              </w:tc>
              <w:tc>
                <w:tcPr>
                  <w:tcW w:w="899" w:type="dxa"/>
                  <w:vAlign w:val="center"/>
                </w:tcPr>
                <w:p w14:paraId="0FEA9C64">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0.0177</w:t>
                  </w:r>
                </w:p>
              </w:tc>
              <w:tc>
                <w:tcPr>
                  <w:tcW w:w="711" w:type="dxa"/>
                  <w:vAlign w:val="center"/>
                </w:tcPr>
                <w:p w14:paraId="2E5CC798">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w:t>
                  </w:r>
                </w:p>
              </w:tc>
              <w:tc>
                <w:tcPr>
                  <w:tcW w:w="885" w:type="dxa"/>
                  <w:vAlign w:val="center"/>
                </w:tcPr>
                <w:p w14:paraId="229AB099">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4.4</w:t>
                  </w:r>
                  <w:r>
                    <w:rPr>
                      <w:rFonts w:hint="eastAsia" w:cs="Times New Roman"/>
                      <w:b w:val="0"/>
                      <w:bCs w:val="0"/>
                      <w:color w:val="000000" w:themeColor="text1"/>
                      <w:kern w:val="24"/>
                      <w:sz w:val="21"/>
                      <w:szCs w:val="21"/>
                      <w:lang w:val="en-US" w:eastAsia="zh-CN"/>
                      <w14:textFill>
                        <w14:solidFill>
                          <w14:schemeClr w14:val="tx1"/>
                        </w14:solidFill>
                      </w14:textFill>
                    </w:rPr>
                    <w:t>4</w:t>
                  </w:r>
                </w:p>
              </w:tc>
              <w:tc>
                <w:tcPr>
                  <w:tcW w:w="760" w:type="dxa"/>
                  <w:vAlign w:val="center"/>
                </w:tcPr>
                <w:p w14:paraId="5FF0DA20">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kern w:val="24"/>
                      <w:sz w:val="21"/>
                      <w:szCs w:val="21"/>
                      <w:lang w:val="en-US" w:eastAsia="zh-CN"/>
                      <w14:textFill>
                        <w14:solidFill>
                          <w14:schemeClr w14:val="tx1"/>
                        </w14:solidFill>
                      </w14:textFill>
                    </w:rPr>
                    <w:t>200</w:t>
                  </w:r>
                </w:p>
              </w:tc>
              <w:tc>
                <w:tcPr>
                  <w:tcW w:w="1214" w:type="dxa"/>
                  <w:vAlign w:val="center"/>
                </w:tcPr>
                <w:p w14:paraId="19E66B37">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kern w:val="24"/>
                      <w:sz w:val="21"/>
                      <w:szCs w:val="21"/>
                      <w:lang w:val="en-US" w:eastAsia="zh-CN"/>
                      <w14:textFill>
                        <w14:solidFill>
                          <w14:schemeClr w14:val="tx1"/>
                        </w14:solidFill>
                      </w14:textFill>
                    </w:rPr>
                    <w:t>达标</w:t>
                  </w:r>
                </w:p>
              </w:tc>
            </w:tr>
            <w:tr w14:paraId="25C2B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1" w:type="dxa"/>
                  <w:vMerge w:val="continue"/>
                  <w:vAlign w:val="center"/>
                </w:tcPr>
                <w:p w14:paraId="340A7954">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p>
              </w:tc>
              <w:tc>
                <w:tcPr>
                  <w:tcW w:w="1226" w:type="dxa"/>
                  <w:vAlign w:val="center"/>
                </w:tcPr>
                <w:p w14:paraId="0E6E31B8">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二氧化硫</w:t>
                  </w:r>
                </w:p>
              </w:tc>
              <w:tc>
                <w:tcPr>
                  <w:tcW w:w="899" w:type="dxa"/>
                  <w:vAlign w:val="center"/>
                </w:tcPr>
                <w:p w14:paraId="76162739">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0.02</w:t>
                  </w:r>
                  <w:r>
                    <w:rPr>
                      <w:rFonts w:hint="eastAsia" w:cs="Times New Roman"/>
                      <w:b w:val="0"/>
                      <w:bCs w:val="0"/>
                      <w:color w:val="000000" w:themeColor="text1"/>
                      <w:kern w:val="24"/>
                      <w:sz w:val="21"/>
                      <w:szCs w:val="21"/>
                      <w:lang w:val="en-US" w:eastAsia="zh-CN"/>
                      <w14:textFill>
                        <w14:solidFill>
                          <w14:schemeClr w14:val="tx1"/>
                        </w14:solidFill>
                      </w14:textFill>
                    </w:rPr>
                    <w:t>6</w:t>
                  </w:r>
                </w:p>
              </w:tc>
              <w:tc>
                <w:tcPr>
                  <w:tcW w:w="899" w:type="dxa"/>
                  <w:vAlign w:val="center"/>
                </w:tcPr>
                <w:p w14:paraId="59ED267B">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0.011</w:t>
                  </w:r>
                  <w:r>
                    <w:rPr>
                      <w:rFonts w:hint="eastAsia" w:cs="Times New Roman"/>
                      <w:b w:val="0"/>
                      <w:bCs w:val="0"/>
                      <w:color w:val="000000" w:themeColor="text1"/>
                      <w:kern w:val="24"/>
                      <w:sz w:val="21"/>
                      <w:szCs w:val="21"/>
                      <w:lang w:val="en-US" w:eastAsia="zh-CN"/>
                      <w14:textFill>
                        <w14:solidFill>
                          <w14:schemeClr w14:val="tx1"/>
                        </w14:solidFill>
                      </w14:textFill>
                    </w:rPr>
                    <w:t>0</w:t>
                  </w:r>
                </w:p>
              </w:tc>
              <w:tc>
                <w:tcPr>
                  <w:tcW w:w="711" w:type="dxa"/>
                  <w:vAlign w:val="center"/>
                </w:tcPr>
                <w:p w14:paraId="5C99C59E">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w:t>
                  </w:r>
                </w:p>
              </w:tc>
              <w:tc>
                <w:tcPr>
                  <w:tcW w:w="885" w:type="dxa"/>
                  <w:vAlign w:val="center"/>
                </w:tcPr>
                <w:p w14:paraId="3348E50C">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2.75</w:t>
                  </w:r>
                </w:p>
              </w:tc>
              <w:tc>
                <w:tcPr>
                  <w:tcW w:w="760" w:type="dxa"/>
                  <w:vAlign w:val="center"/>
                </w:tcPr>
                <w:p w14:paraId="6B6325B2">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850</w:t>
                  </w:r>
                </w:p>
              </w:tc>
              <w:tc>
                <w:tcPr>
                  <w:tcW w:w="1214" w:type="dxa"/>
                  <w:vAlign w:val="center"/>
                </w:tcPr>
                <w:p w14:paraId="2BBACB9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达标</w:t>
                  </w:r>
                </w:p>
              </w:tc>
            </w:tr>
            <w:tr w14:paraId="3FAA6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1" w:type="dxa"/>
                  <w:vMerge w:val="continue"/>
                  <w:vAlign w:val="center"/>
                </w:tcPr>
                <w:p w14:paraId="76D59DAE">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p>
              </w:tc>
              <w:tc>
                <w:tcPr>
                  <w:tcW w:w="1226" w:type="dxa"/>
                  <w:vAlign w:val="center"/>
                </w:tcPr>
                <w:p w14:paraId="77859E24">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氮氧化物</w:t>
                  </w:r>
                </w:p>
              </w:tc>
              <w:tc>
                <w:tcPr>
                  <w:tcW w:w="899" w:type="dxa"/>
                  <w:vAlign w:val="center"/>
                </w:tcPr>
                <w:p w14:paraId="0FB2DE20">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0.331</w:t>
                  </w:r>
                </w:p>
              </w:tc>
              <w:tc>
                <w:tcPr>
                  <w:tcW w:w="899" w:type="dxa"/>
                  <w:vAlign w:val="center"/>
                </w:tcPr>
                <w:p w14:paraId="4E76FDB2">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0.138</w:t>
                  </w:r>
                  <w:r>
                    <w:rPr>
                      <w:rFonts w:hint="eastAsia" w:cs="Times New Roman"/>
                      <w:b w:val="0"/>
                      <w:bCs w:val="0"/>
                      <w:color w:val="000000" w:themeColor="text1"/>
                      <w:kern w:val="24"/>
                      <w:sz w:val="21"/>
                      <w:szCs w:val="21"/>
                      <w:lang w:val="en-US" w:eastAsia="zh-CN"/>
                      <w14:textFill>
                        <w14:solidFill>
                          <w14:schemeClr w14:val="tx1"/>
                        </w14:solidFill>
                      </w14:textFill>
                    </w:rPr>
                    <w:t>1</w:t>
                  </w:r>
                </w:p>
              </w:tc>
              <w:tc>
                <w:tcPr>
                  <w:tcW w:w="711" w:type="dxa"/>
                  <w:vAlign w:val="center"/>
                </w:tcPr>
                <w:p w14:paraId="35961B62">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0.77</w:t>
                  </w:r>
                </w:p>
              </w:tc>
              <w:tc>
                <w:tcPr>
                  <w:tcW w:w="885" w:type="dxa"/>
                  <w:vAlign w:val="center"/>
                </w:tcPr>
                <w:p w14:paraId="27B3C767">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34.5</w:t>
                  </w:r>
                  <w:r>
                    <w:rPr>
                      <w:rFonts w:hint="eastAsia" w:cs="Times New Roman"/>
                      <w:b w:val="0"/>
                      <w:bCs w:val="0"/>
                      <w:color w:val="000000" w:themeColor="text1"/>
                      <w:kern w:val="24"/>
                      <w:sz w:val="21"/>
                      <w:szCs w:val="21"/>
                      <w:lang w:val="en-US" w:eastAsia="zh-CN"/>
                      <w14:textFill>
                        <w14:solidFill>
                          <w14:schemeClr w14:val="tx1"/>
                        </w14:solidFill>
                      </w14:textFill>
                    </w:rPr>
                    <w:t>1</w:t>
                  </w:r>
                </w:p>
              </w:tc>
              <w:tc>
                <w:tcPr>
                  <w:tcW w:w="760" w:type="dxa"/>
                  <w:vAlign w:val="center"/>
                </w:tcPr>
                <w:p w14:paraId="7D25AA68">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240</w:t>
                  </w:r>
                </w:p>
              </w:tc>
              <w:tc>
                <w:tcPr>
                  <w:tcW w:w="1214" w:type="dxa"/>
                  <w:vAlign w:val="center"/>
                </w:tcPr>
                <w:p w14:paraId="7A10F8A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达标</w:t>
                  </w:r>
                </w:p>
              </w:tc>
            </w:tr>
            <w:tr w14:paraId="626E1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1" w:type="dxa"/>
                  <w:vMerge w:val="continue"/>
                  <w:vAlign w:val="center"/>
                </w:tcPr>
                <w:p w14:paraId="321016AA">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p>
              </w:tc>
              <w:tc>
                <w:tcPr>
                  <w:tcW w:w="1226" w:type="dxa"/>
                  <w:vAlign w:val="center"/>
                </w:tcPr>
                <w:p w14:paraId="1ACE2A40">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非甲烷总烃</w:t>
                  </w:r>
                </w:p>
              </w:tc>
              <w:tc>
                <w:tcPr>
                  <w:tcW w:w="899" w:type="dxa"/>
                  <w:vAlign w:val="center"/>
                </w:tcPr>
                <w:p w14:paraId="323BB79F">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0.002</w:t>
                  </w:r>
                </w:p>
              </w:tc>
              <w:tc>
                <w:tcPr>
                  <w:tcW w:w="899" w:type="dxa"/>
                  <w:vAlign w:val="center"/>
                </w:tcPr>
                <w:p w14:paraId="4016BA51">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0.000</w:t>
                  </w:r>
                  <w:r>
                    <w:rPr>
                      <w:rFonts w:hint="eastAsia" w:cs="Times New Roman"/>
                      <w:b w:val="0"/>
                      <w:bCs w:val="0"/>
                      <w:color w:val="000000" w:themeColor="text1"/>
                      <w:kern w:val="24"/>
                      <w:sz w:val="21"/>
                      <w:szCs w:val="21"/>
                      <w:lang w:val="en-US" w:eastAsia="zh-CN"/>
                      <w14:textFill>
                        <w14:solidFill>
                          <w14:schemeClr w14:val="tx1"/>
                        </w14:solidFill>
                      </w14:textFill>
                    </w:rPr>
                    <w:t>9</w:t>
                  </w:r>
                </w:p>
              </w:tc>
              <w:tc>
                <w:tcPr>
                  <w:tcW w:w="711" w:type="dxa"/>
                  <w:vAlign w:val="center"/>
                </w:tcPr>
                <w:p w14:paraId="0C4AD7EC">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10</w:t>
                  </w:r>
                </w:p>
              </w:tc>
              <w:tc>
                <w:tcPr>
                  <w:tcW w:w="885" w:type="dxa"/>
                  <w:vAlign w:val="center"/>
                </w:tcPr>
                <w:p w14:paraId="7326181C">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0.2</w:t>
                  </w:r>
                  <w:r>
                    <w:rPr>
                      <w:rFonts w:hint="eastAsia" w:cs="Times New Roman"/>
                      <w:b w:val="0"/>
                      <w:bCs w:val="0"/>
                      <w:color w:val="000000" w:themeColor="text1"/>
                      <w:kern w:val="24"/>
                      <w:sz w:val="21"/>
                      <w:szCs w:val="21"/>
                      <w:lang w:val="en-US" w:eastAsia="zh-CN"/>
                      <w14:textFill>
                        <w14:solidFill>
                          <w14:schemeClr w14:val="tx1"/>
                        </w14:solidFill>
                      </w14:textFill>
                    </w:rPr>
                    <w:t>2</w:t>
                  </w:r>
                </w:p>
              </w:tc>
              <w:tc>
                <w:tcPr>
                  <w:tcW w:w="760" w:type="dxa"/>
                  <w:vAlign w:val="center"/>
                </w:tcPr>
                <w:p w14:paraId="37C84A30">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120</w:t>
                  </w:r>
                </w:p>
              </w:tc>
              <w:tc>
                <w:tcPr>
                  <w:tcW w:w="1214" w:type="dxa"/>
                  <w:vAlign w:val="center"/>
                </w:tcPr>
                <w:p w14:paraId="5C1DE98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达标</w:t>
                  </w:r>
                </w:p>
              </w:tc>
            </w:tr>
            <w:tr w14:paraId="2D566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1471" w:type="dxa"/>
                  <w:vAlign w:val="center"/>
                </w:tcPr>
                <w:p w14:paraId="4DF01890">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DA002排气筒（抛丸除锈废气、喷塑废气）</w:t>
                  </w:r>
                </w:p>
              </w:tc>
              <w:tc>
                <w:tcPr>
                  <w:tcW w:w="1226" w:type="dxa"/>
                  <w:vAlign w:val="center"/>
                </w:tcPr>
                <w:p w14:paraId="64A4FF5E">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颗粒物</w:t>
                  </w:r>
                </w:p>
              </w:tc>
              <w:tc>
                <w:tcPr>
                  <w:tcW w:w="899" w:type="dxa"/>
                  <w:vAlign w:val="center"/>
                </w:tcPr>
                <w:p w14:paraId="4FA9516C">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0.594</w:t>
                  </w:r>
                </w:p>
              </w:tc>
              <w:tc>
                <w:tcPr>
                  <w:tcW w:w="899" w:type="dxa"/>
                  <w:vAlign w:val="center"/>
                </w:tcPr>
                <w:p w14:paraId="3EA44CBB">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0.2475</w:t>
                  </w:r>
                </w:p>
              </w:tc>
              <w:tc>
                <w:tcPr>
                  <w:tcW w:w="711" w:type="dxa"/>
                  <w:vAlign w:val="center"/>
                </w:tcPr>
                <w:p w14:paraId="1BE8F852">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3.5</w:t>
                  </w:r>
                </w:p>
              </w:tc>
              <w:tc>
                <w:tcPr>
                  <w:tcW w:w="885" w:type="dxa"/>
                  <w:vAlign w:val="center"/>
                </w:tcPr>
                <w:p w14:paraId="0A9E4092">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61.8</w:t>
                  </w:r>
                  <w:r>
                    <w:rPr>
                      <w:rFonts w:hint="eastAsia" w:cs="Times New Roman"/>
                      <w:b w:val="0"/>
                      <w:bCs w:val="0"/>
                      <w:color w:val="000000" w:themeColor="text1"/>
                      <w:kern w:val="24"/>
                      <w:sz w:val="21"/>
                      <w:szCs w:val="21"/>
                      <w:lang w:val="en-US" w:eastAsia="zh-CN"/>
                      <w14:textFill>
                        <w14:solidFill>
                          <w14:schemeClr w14:val="tx1"/>
                        </w14:solidFill>
                      </w14:textFill>
                    </w:rPr>
                    <w:t>8</w:t>
                  </w:r>
                </w:p>
              </w:tc>
              <w:tc>
                <w:tcPr>
                  <w:tcW w:w="760" w:type="dxa"/>
                  <w:vAlign w:val="center"/>
                </w:tcPr>
                <w:p w14:paraId="6E5B074C">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120</w:t>
                  </w:r>
                </w:p>
              </w:tc>
              <w:tc>
                <w:tcPr>
                  <w:tcW w:w="1214" w:type="dxa"/>
                  <w:vAlign w:val="center"/>
                </w:tcPr>
                <w:p w14:paraId="0A926CB2">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达标</w:t>
                  </w:r>
                </w:p>
              </w:tc>
            </w:tr>
          </w:tbl>
          <w:p w14:paraId="4EF59EE7">
            <w:pPr>
              <w:pStyle w:val="20"/>
              <w:pageBreakBefore w:val="0"/>
              <w:kinsoku/>
              <w:overflowPunct/>
              <w:topLinePunct w:val="0"/>
              <w:autoSpaceDE/>
              <w:autoSpaceDN/>
              <w:bidi w:val="0"/>
              <w:adjustRightInd/>
              <w:spacing w:line="360" w:lineRule="auto"/>
              <w:ind w:left="0" w:leftChars="0" w:right="0" w:rightChars="0" w:firstLine="482" w:firstLineChars="200"/>
              <w:rPr>
                <w:rFonts w:hint="default" w:ascii="Times New Roman" w:hAnsi="Times New Roman" w:cs="Times New Roman"/>
                <w:b/>
                <w:bCs/>
                <w:color w:val="000000" w:themeColor="text1"/>
                <w:kern w:val="24"/>
                <w:lang w:val="en-US" w:eastAsia="zh-CN"/>
                <w14:textFill>
                  <w14:solidFill>
                    <w14:schemeClr w14:val="tx1"/>
                  </w14:solidFill>
                </w14:textFill>
              </w:rPr>
            </w:pPr>
            <w:r>
              <w:rPr>
                <w:rFonts w:hint="eastAsia" w:cs="Times New Roman"/>
                <w:b/>
                <w:bCs/>
                <w:color w:val="000000" w:themeColor="text1"/>
                <w:kern w:val="24"/>
                <w:lang w:val="en-US" w:eastAsia="zh-CN"/>
                <w14:textFill>
                  <w14:solidFill>
                    <w14:schemeClr w14:val="tx1"/>
                  </w14:solidFill>
                </w14:textFill>
              </w:rPr>
              <w:t>6）无组织废气</w:t>
            </w:r>
          </w:p>
          <w:p w14:paraId="37748E44">
            <w:pPr>
              <w:pStyle w:val="20"/>
              <w:pageBreakBefore w:val="0"/>
              <w:kinsoku/>
              <w:overflowPunct/>
              <w:topLinePunct w:val="0"/>
              <w:autoSpaceDE/>
              <w:autoSpaceDN/>
              <w:bidi w:val="0"/>
              <w:adjustRightInd/>
              <w:spacing w:line="360" w:lineRule="auto"/>
              <w:ind w:left="0" w:leftChars="0" w:right="0" w:rightChars="0" w:firstLine="482" w:firstLineChars="200"/>
              <w:rPr>
                <w:rFonts w:hint="default" w:ascii="Times New Roman" w:hAnsi="Times New Roman" w:cs="Times New Roman"/>
                <w:b/>
                <w:bCs/>
                <w:color w:val="000000" w:themeColor="text1"/>
                <w:kern w:val="24"/>
                <w:lang w:val="en-US" w:eastAsia="zh-CN"/>
                <w14:textFill>
                  <w14:solidFill>
                    <w14:schemeClr w14:val="tx1"/>
                  </w14:solidFill>
                </w14:textFill>
              </w:rPr>
            </w:pPr>
            <w:r>
              <w:rPr>
                <w:rFonts w:hint="eastAsia" w:cs="Times New Roman"/>
                <w:b/>
                <w:bCs/>
                <w:color w:val="000000" w:themeColor="text1"/>
                <w:kern w:val="24"/>
                <w:lang w:val="en-US" w:eastAsia="zh-CN"/>
                <w14:textFill>
                  <w14:solidFill>
                    <w14:schemeClr w14:val="tx1"/>
                  </w14:solidFill>
                </w14:textFill>
              </w:rPr>
              <w:t>①</w:t>
            </w:r>
            <w:r>
              <w:rPr>
                <w:rFonts w:hint="default" w:ascii="Times New Roman" w:hAnsi="Times New Roman" w:cs="Times New Roman"/>
                <w:b/>
                <w:bCs/>
                <w:color w:val="000000" w:themeColor="text1"/>
                <w:kern w:val="24"/>
                <w:lang w:val="en-US" w:eastAsia="zh-CN"/>
                <w14:textFill>
                  <w14:solidFill>
                    <w14:schemeClr w14:val="tx1"/>
                  </w14:solidFill>
                </w14:textFill>
              </w:rPr>
              <w:t>手工刷字废气</w:t>
            </w:r>
          </w:p>
          <w:p w14:paraId="087EAF83">
            <w:pPr>
              <w:pStyle w:val="20"/>
              <w:pageBreakBefore w:val="0"/>
              <w:kinsoku/>
              <w:overflowPunct/>
              <w:topLinePunct w:val="0"/>
              <w:autoSpaceDE/>
              <w:autoSpaceDN/>
              <w:bidi w:val="0"/>
              <w:adjustRightInd/>
              <w:spacing w:line="360" w:lineRule="auto"/>
              <w:ind w:left="0" w:leftChars="0" w:right="0" w:rightChars="0" w:firstLine="480" w:firstLineChars="200"/>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项目在每一个</w:t>
            </w:r>
            <w:r>
              <w:rPr>
                <w:rFonts w:hint="eastAsia" w:ascii="Times New Roman" w:hAnsi="Times New Roman" w:cs="Times New Roman"/>
                <w:b w:val="0"/>
                <w:bCs w:val="0"/>
                <w:color w:val="000000" w:themeColor="text1"/>
                <w:kern w:val="0"/>
                <w:sz w:val="24"/>
                <w:szCs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上需要刷写标识文字等内容，使用网板手工刷字，在使用网板对瓶身进行手工刷字的过程中，油墨挥发将产生有机废气（以非甲烷总烃</w:t>
            </w:r>
            <w:r>
              <w:rPr>
                <w:rFonts w:hint="eastAsia" w:cs="Times New Roman"/>
                <w:b w:val="0"/>
                <w:bCs w:val="0"/>
                <w:color w:val="000000" w:themeColor="text1"/>
                <w:kern w:val="0"/>
                <w:sz w:val="24"/>
                <w:szCs w:val="24"/>
                <w:lang w:val="en-US" w:eastAsia="zh-CN" w:bidi="ar"/>
                <w14:textFill>
                  <w14:solidFill>
                    <w14:schemeClr w14:val="tx1"/>
                  </w14:solidFill>
                </w14:textFill>
              </w:rPr>
              <w:t>计</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w:t>
            </w:r>
          </w:p>
          <w:p w14:paraId="4A4D84C6">
            <w:pPr>
              <w:pStyle w:val="20"/>
              <w:pageBreakBefore w:val="0"/>
              <w:kinsoku/>
              <w:overflowPunct/>
              <w:topLinePunct w:val="0"/>
              <w:autoSpaceDE/>
              <w:autoSpaceDN/>
              <w:bidi w:val="0"/>
              <w:adjustRightInd/>
              <w:spacing w:line="360" w:lineRule="auto"/>
              <w:ind w:left="0" w:leftChars="0" w:right="0" w:rightChars="0" w:firstLine="480" w:firstLineChars="200"/>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根据工程分析，本项目油墨的总量约0.488781t/a。根据油墨的检测报告，刷字使用的油墨挥发性有机物含量为32.2%，则本项目刷字有机废气（以非甲烷总烃计）产生量为0.15739t/a，0.06558kg/h，</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呈无组织排放。</w:t>
            </w:r>
          </w:p>
          <w:p w14:paraId="5022DF3F">
            <w:pPr>
              <w:pStyle w:val="20"/>
              <w:pageBreakBefore w:val="0"/>
              <w:kinsoku/>
              <w:overflowPunct/>
              <w:topLinePunct w:val="0"/>
              <w:autoSpaceDE/>
              <w:autoSpaceDN/>
              <w:bidi w:val="0"/>
              <w:adjustRightInd/>
              <w:spacing w:line="360" w:lineRule="auto"/>
              <w:ind w:left="0" w:leftChars="0" w:right="0" w:rightChars="0" w:firstLine="482" w:firstLineChars="200"/>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cs="Times New Roman"/>
                <w:b/>
                <w:bCs/>
                <w:color w:val="000000" w:themeColor="text1"/>
                <w:kern w:val="0"/>
                <w:sz w:val="24"/>
                <w:szCs w:val="24"/>
                <w:lang w:val="en-US" w:eastAsia="zh-CN" w:bidi="ar"/>
                <w14:textFill>
                  <w14:solidFill>
                    <w14:schemeClr w14:val="tx1"/>
                  </w14:solidFill>
                </w14:textFill>
              </w:rPr>
              <w:t>②</w:t>
            </w:r>
            <w:r>
              <w:rPr>
                <w:rFonts w:hint="default" w:ascii="Times New Roman" w:hAnsi="Times New Roman" w:cs="Times New Roman"/>
                <w:b/>
                <w:bCs/>
                <w:color w:val="000000" w:themeColor="text1"/>
                <w:kern w:val="0"/>
                <w:sz w:val="24"/>
                <w:szCs w:val="24"/>
                <w:lang w:val="en-US" w:eastAsia="zh-CN" w:bidi="ar"/>
                <w14:textFill>
                  <w14:solidFill>
                    <w14:schemeClr w14:val="tx1"/>
                  </w14:solidFill>
                </w14:textFill>
              </w:rPr>
              <w:t>泄漏废气</w:t>
            </w:r>
          </w:p>
          <w:p w14:paraId="3161FA91">
            <w:pPr>
              <w:pStyle w:val="20"/>
              <w:pageBreakBefore w:val="0"/>
              <w:kinsoku/>
              <w:overflowPunct/>
              <w:topLinePunct w:val="0"/>
              <w:autoSpaceDE/>
              <w:autoSpaceDN/>
              <w:bidi w:val="0"/>
              <w:adjustRightInd/>
              <w:spacing w:line="360" w:lineRule="auto"/>
              <w:ind w:left="0" w:leftChars="0" w:right="0" w:rightChars="0" w:firstLine="480" w:firstLineChars="200"/>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项目在</w:t>
            </w:r>
            <w:r>
              <w:rPr>
                <w:rFonts w:hint="eastAsia" w:cs="Times New Roman"/>
                <w:b w:val="0"/>
                <w:bCs w:val="0"/>
                <w:color w:val="000000" w:themeColor="text1"/>
                <w:kern w:val="0"/>
                <w:sz w:val="24"/>
                <w:szCs w:val="24"/>
                <w:lang w:val="en-US" w:eastAsia="zh-CN" w:bidi="ar"/>
                <w14:textFill>
                  <w14:solidFill>
                    <w14:schemeClr w14:val="tx1"/>
                  </w14:solidFill>
                </w14:textFill>
              </w:rPr>
              <w:t>残液回收</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、瓶阀拆卸等过程会有极少量气体逸散到空气中，逸散的气体为液化石油气，液化石油气主要是丙烷、丁烷等低碳氢烷烃化合物（以非甲烷总烃计）。</w:t>
            </w:r>
          </w:p>
          <w:p w14:paraId="2DB5B101">
            <w:pPr>
              <w:pStyle w:val="20"/>
              <w:pageBreakBefore w:val="0"/>
              <w:kinsoku/>
              <w:overflowPunct/>
              <w:topLinePunct w:val="0"/>
              <w:autoSpaceDE/>
              <w:autoSpaceDN/>
              <w:bidi w:val="0"/>
              <w:adjustRightInd/>
              <w:spacing w:line="360" w:lineRule="auto"/>
              <w:ind w:left="0" w:leftChars="0" w:right="0" w:rightChars="0" w:firstLine="480" w:firstLineChars="200"/>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根据行业经验统计，</w:t>
            </w:r>
            <w:r>
              <w:rPr>
                <w:rFonts w:hint="eastAsia" w:ascii="Times New Roman" w:hAnsi="Times New Roman" w:cs="Times New Roman"/>
                <w:b w:val="0"/>
                <w:bCs w:val="0"/>
                <w:color w:val="000000" w:themeColor="text1"/>
                <w:kern w:val="0"/>
                <w:sz w:val="24"/>
                <w:szCs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残</w:t>
            </w:r>
            <w:r>
              <w:rPr>
                <w:rFonts w:hint="eastAsia" w:cs="Times New Roman"/>
                <w:b w:val="0"/>
                <w:bCs w:val="0"/>
                <w:color w:val="000000" w:themeColor="text1"/>
                <w:kern w:val="0"/>
                <w:sz w:val="24"/>
                <w:szCs w:val="24"/>
                <w:lang w:val="en-US" w:eastAsia="zh-CN" w:bidi="ar"/>
                <w14:textFill>
                  <w14:solidFill>
                    <w14:schemeClr w14:val="tx1"/>
                  </w14:solidFill>
                </w14:textFill>
              </w:rPr>
              <w:t>液量</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约为 0.01kg/个。本项目</w:t>
            </w:r>
            <w:r>
              <w:rPr>
                <w:rFonts w:hint="eastAsia" w:cs="Times New Roman"/>
                <w:b w:val="0"/>
                <w:bCs w:val="0"/>
                <w:color w:val="000000" w:themeColor="text1"/>
                <w:kern w:val="0"/>
                <w:sz w:val="24"/>
                <w:szCs w:val="24"/>
                <w:lang w:val="en-US" w:eastAsia="zh-CN" w:bidi="ar"/>
                <w14:textFill>
                  <w14:solidFill>
                    <w14:schemeClr w14:val="tx1"/>
                  </w14:solidFill>
                </w14:textFill>
              </w:rPr>
              <w:t>残液回收</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、瓶阀拆卸等液化石油气</w:t>
            </w:r>
            <w:r>
              <w:rPr>
                <w:rFonts w:hint="eastAsia" w:ascii="Times New Roman" w:hAnsi="Times New Roman" w:cs="Times New Roman"/>
                <w:b w:val="0"/>
                <w:bCs w:val="0"/>
                <w:color w:val="000000" w:themeColor="text1"/>
                <w:kern w:val="0"/>
                <w:sz w:val="24"/>
                <w:szCs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为30万个，因此本项目</w:t>
            </w:r>
            <w:r>
              <w:rPr>
                <w:rFonts w:hint="eastAsia" w:ascii="Times New Roman" w:hAnsi="Times New Roman" w:cs="Times New Roman"/>
                <w:b w:val="0"/>
                <w:bCs w:val="0"/>
                <w:color w:val="000000" w:themeColor="text1"/>
                <w:kern w:val="0"/>
                <w:sz w:val="24"/>
                <w:szCs w:val="24"/>
                <w:lang w:val="en-US" w:eastAsia="zh-CN" w:bidi="ar"/>
                <w14:textFill>
                  <w14:solidFill>
                    <w14:schemeClr w14:val="tx1"/>
                  </w14:solidFill>
                </w14:textFill>
              </w:rPr>
              <w:t>液化石油气钢瓶</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残液总量约为3t/a。</w:t>
            </w:r>
            <w:r>
              <w:rPr>
                <w:rFonts w:hint="eastAsia" w:cs="Times New Roman"/>
                <w:b w:val="0"/>
                <w:bCs w:val="0"/>
                <w:color w:val="000000" w:themeColor="text1"/>
                <w:kern w:val="0"/>
                <w:sz w:val="24"/>
                <w:szCs w:val="24"/>
                <w:lang w:val="en-US" w:eastAsia="zh-CN" w:bidi="ar"/>
                <w14:textFill>
                  <w14:solidFill>
                    <w14:schemeClr w14:val="tx1"/>
                  </w14:solidFill>
                </w14:textFill>
              </w:rPr>
              <w:t>残液回收</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过程回收装置回收效率约99.5%，即回收到焚烧炉或静电喷涂流水线作为燃料的量为2.985t/a。</w:t>
            </w:r>
          </w:p>
          <w:p w14:paraId="41155FFA">
            <w:pPr>
              <w:pStyle w:val="20"/>
              <w:pageBreakBefore w:val="0"/>
              <w:kinsoku/>
              <w:overflowPunct/>
              <w:topLinePunct w:val="0"/>
              <w:autoSpaceDE/>
              <w:autoSpaceDN/>
              <w:bidi w:val="0"/>
              <w:adjustRightInd/>
              <w:spacing w:line="360" w:lineRule="auto"/>
              <w:ind w:left="0" w:leftChars="0" w:right="0" w:rightChars="0" w:firstLine="480" w:firstLineChars="200"/>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未回收的残气在车间</w:t>
            </w:r>
            <w:r>
              <w:rPr>
                <w:rFonts w:hint="eastAsia" w:cs="Times New Roman"/>
                <w:b w:val="0"/>
                <w:bCs w:val="0"/>
                <w:color w:val="000000" w:themeColor="text1"/>
                <w:kern w:val="0"/>
                <w:sz w:val="24"/>
                <w:szCs w:val="24"/>
                <w:lang w:val="en-US" w:eastAsia="zh-CN" w:bidi="ar"/>
                <w14:textFill>
                  <w14:solidFill>
                    <w14:schemeClr w14:val="tx1"/>
                  </w14:solidFill>
                </w14:textFill>
              </w:rPr>
              <w:t>挥发，形成</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无组织排放，因此非甲烷总烃排放量为0.015t/a，排放速率为0.00625kg/h。</w:t>
            </w:r>
          </w:p>
          <w:p w14:paraId="669A5AC2">
            <w:pPr>
              <w:pStyle w:val="20"/>
              <w:pageBreakBefore w:val="0"/>
              <w:kinsoku/>
              <w:overflowPunct/>
              <w:topLinePunct w:val="0"/>
              <w:autoSpaceDE/>
              <w:autoSpaceDN/>
              <w:bidi w:val="0"/>
              <w:adjustRightInd/>
              <w:spacing w:line="360" w:lineRule="auto"/>
              <w:ind w:left="0" w:leftChars="0" w:right="0" w:rightChars="0" w:firstLine="480" w:firstLineChars="200"/>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本项目主要为液化气钢瓶检测，根据</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《液化石油气供应工程设计规范》</w:t>
            </w:r>
            <w:r>
              <w:rPr>
                <w:rFonts w:hint="eastAsia" w:cs="Times New Roman"/>
                <w:b w:val="0"/>
                <w:bCs w:val="0"/>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GB 51142-2015</w:t>
            </w:r>
            <w:r>
              <w:rPr>
                <w:rFonts w:hint="eastAsia" w:cs="Times New Roman"/>
                <w:b w:val="0"/>
                <w:bCs w:val="0"/>
                <w:color w:val="000000" w:themeColor="text1"/>
                <w:kern w:val="0"/>
                <w:sz w:val="24"/>
                <w:szCs w:val="24"/>
                <w:lang w:val="en-US" w:eastAsia="zh-CN" w:bidi="ar"/>
                <w14:textFill>
                  <w14:solidFill>
                    <w14:schemeClr w14:val="tx1"/>
                  </w14:solidFill>
                </w14:textFill>
              </w:rPr>
              <w:t>）中相关规定液化气钢瓶充装过程中添加有加臭剂，本项目抽残过程中逸散气体极少，本次抽残过程中会产生极少量异味。</w:t>
            </w:r>
          </w:p>
          <w:p w14:paraId="499A1AA9">
            <w:pPr>
              <w:pStyle w:val="20"/>
              <w:pageBreakBefore w:val="0"/>
              <w:kinsoku/>
              <w:overflowPunct/>
              <w:topLinePunct w:val="0"/>
              <w:autoSpaceDE/>
              <w:autoSpaceDN/>
              <w:bidi w:val="0"/>
              <w:adjustRightInd/>
              <w:spacing w:line="360" w:lineRule="auto"/>
              <w:ind w:left="0" w:leftChars="0" w:right="0" w:rightChars="0" w:firstLine="480" w:firstLineChars="200"/>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本项目无组织废气通过规范生产操作，</w:t>
            </w:r>
            <w:r>
              <w:rPr>
                <w:rFonts w:hint="eastAsia" w:cs="Times New Roman"/>
                <w:color w:val="000000" w:themeColor="text1"/>
                <w:sz w:val="24"/>
                <w:szCs w:val="24"/>
                <w:lang w:val="en-US" w:eastAsia="zh-CN"/>
                <w14:textFill>
                  <w14:solidFill>
                    <w14:schemeClr w14:val="tx1"/>
                  </w14:solidFill>
                </w14:textFill>
              </w:rPr>
              <w:t>通过加强通风，废气排出车间进行无组织排放，通过自然稀释扩散后，对周围环境影响不大。</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建设单位应加强员工</w:t>
            </w:r>
            <w:r>
              <w:rPr>
                <w:rFonts w:hint="eastAsia" w:cs="Times New Roman"/>
                <w:b w:val="0"/>
                <w:bCs w:val="0"/>
                <w:color w:val="000000" w:themeColor="text1"/>
                <w:kern w:val="0"/>
                <w:sz w:val="24"/>
                <w:szCs w:val="24"/>
                <w:lang w:val="en-US" w:eastAsia="zh-CN" w:bidi="ar"/>
                <w14:textFill>
                  <w14:solidFill>
                    <w14:schemeClr w14:val="tx1"/>
                  </w14:solidFill>
                </w14:textFill>
              </w:rPr>
              <w:t>培训</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，加强</w:t>
            </w:r>
            <w:r>
              <w:rPr>
                <w:rFonts w:hint="eastAsia" w:cs="Times New Roman"/>
                <w:b w:val="0"/>
                <w:bCs w:val="0"/>
                <w:color w:val="000000" w:themeColor="text1"/>
                <w:kern w:val="0"/>
                <w:sz w:val="24"/>
                <w:szCs w:val="24"/>
                <w:lang w:val="en-US" w:eastAsia="zh-CN" w:bidi="ar"/>
                <w14:textFill>
                  <w14:solidFill>
                    <w14:schemeClr w14:val="tx1"/>
                  </w14:solidFill>
                </w14:textFill>
              </w:rPr>
              <w:t>员工手工刷字环节、残液回收环节</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操作规范，尽量避免气体的泄漏，以降低污染物排放。</w:t>
            </w:r>
          </w:p>
          <w:p w14:paraId="40623247">
            <w:pPr>
              <w:pStyle w:val="14"/>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表4-</w:t>
            </w:r>
            <w:r>
              <w:rPr>
                <w:rFonts w:hint="default" w:ascii="Times New Roman" w:hAnsi="Times New Roman" w:cs="Times New Roman"/>
                <w:b/>
                <w:bCs/>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项目无组织废气产排情况一览表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838"/>
              <w:gridCol w:w="1537"/>
              <w:gridCol w:w="751"/>
              <w:gridCol w:w="659"/>
              <w:gridCol w:w="646"/>
              <w:gridCol w:w="983"/>
              <w:gridCol w:w="983"/>
              <w:gridCol w:w="980"/>
            </w:tblGrid>
            <w:tr w14:paraId="0FC1B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690" w:type="dxa"/>
                  <w:vMerge w:val="restart"/>
                  <w:noWrap w:val="0"/>
                  <w:vAlign w:val="center"/>
                </w:tcPr>
                <w:p w14:paraId="765CD476">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产生环节</w:t>
                  </w:r>
                </w:p>
              </w:tc>
              <w:tc>
                <w:tcPr>
                  <w:tcW w:w="838" w:type="dxa"/>
                  <w:vMerge w:val="restart"/>
                  <w:noWrap w:val="0"/>
                  <w:vAlign w:val="center"/>
                </w:tcPr>
                <w:p w14:paraId="4F63330F">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污染物种类</w:t>
                  </w:r>
                </w:p>
              </w:tc>
              <w:tc>
                <w:tcPr>
                  <w:tcW w:w="1537" w:type="dxa"/>
                  <w:vMerge w:val="restart"/>
                  <w:noWrap w:val="0"/>
                  <w:vAlign w:val="center"/>
                </w:tcPr>
                <w:p w14:paraId="7233EB1B">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产生量t/a</w:t>
                  </w:r>
                </w:p>
              </w:tc>
              <w:tc>
                <w:tcPr>
                  <w:tcW w:w="2056" w:type="dxa"/>
                  <w:gridSpan w:val="3"/>
                  <w:noWrap w:val="0"/>
                  <w:vAlign w:val="center"/>
                </w:tcPr>
                <w:p w14:paraId="7F711890">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治理措施</w:t>
                  </w:r>
                </w:p>
              </w:tc>
              <w:tc>
                <w:tcPr>
                  <w:tcW w:w="2946" w:type="dxa"/>
                  <w:gridSpan w:val="3"/>
                  <w:noWrap w:val="0"/>
                  <w:vAlign w:val="center"/>
                </w:tcPr>
                <w:p w14:paraId="7DCCCF7E">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排放情况</w:t>
                  </w:r>
                </w:p>
              </w:tc>
            </w:tr>
            <w:tr w14:paraId="68F59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90" w:type="dxa"/>
                  <w:vMerge w:val="continue"/>
                  <w:noWrap w:val="0"/>
                  <w:vAlign w:val="center"/>
                </w:tcPr>
                <w:p w14:paraId="721C0721">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p>
              </w:tc>
              <w:tc>
                <w:tcPr>
                  <w:tcW w:w="838" w:type="dxa"/>
                  <w:vMerge w:val="continue"/>
                  <w:noWrap w:val="0"/>
                  <w:vAlign w:val="center"/>
                </w:tcPr>
                <w:p w14:paraId="3B7E23C5">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p>
              </w:tc>
              <w:tc>
                <w:tcPr>
                  <w:tcW w:w="1537" w:type="dxa"/>
                  <w:vMerge w:val="continue"/>
                  <w:noWrap w:val="0"/>
                  <w:vAlign w:val="center"/>
                </w:tcPr>
                <w:p w14:paraId="6E85D8AC">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p>
              </w:tc>
              <w:tc>
                <w:tcPr>
                  <w:tcW w:w="751" w:type="dxa"/>
                  <w:noWrap w:val="0"/>
                  <w:vAlign w:val="center"/>
                </w:tcPr>
                <w:p w14:paraId="33DD38F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处理工艺</w:t>
                  </w:r>
                </w:p>
              </w:tc>
              <w:tc>
                <w:tcPr>
                  <w:tcW w:w="659" w:type="dxa"/>
                  <w:noWrap w:val="0"/>
                  <w:vAlign w:val="center"/>
                </w:tcPr>
                <w:p w14:paraId="0F88D84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收集效率</w:t>
                  </w:r>
                </w:p>
              </w:tc>
              <w:tc>
                <w:tcPr>
                  <w:tcW w:w="646" w:type="dxa"/>
                  <w:noWrap w:val="0"/>
                  <w:vAlign w:val="center"/>
                </w:tcPr>
                <w:p w14:paraId="53808A7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去除</w:t>
                  </w:r>
                  <w:r>
                    <w:rPr>
                      <w:rFonts w:hint="default" w:ascii="Times New Roman" w:hAnsi="Times New Roman" w:eastAsia="宋体" w:cs="Times New Roman"/>
                      <w:b/>
                      <w:bCs/>
                      <w:color w:val="000000" w:themeColor="text1"/>
                      <w:sz w:val="21"/>
                      <w:szCs w:val="21"/>
                      <w14:textFill>
                        <w14:solidFill>
                          <w14:schemeClr w14:val="tx1"/>
                        </w14:solidFill>
                      </w14:textFill>
                    </w:rPr>
                    <w:t>效率</w:t>
                  </w:r>
                </w:p>
              </w:tc>
              <w:tc>
                <w:tcPr>
                  <w:tcW w:w="983" w:type="dxa"/>
                  <w:noWrap w:val="0"/>
                  <w:vAlign w:val="center"/>
                </w:tcPr>
                <w:p w14:paraId="247F2D5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排放量t/a</w:t>
                  </w:r>
                </w:p>
              </w:tc>
              <w:tc>
                <w:tcPr>
                  <w:tcW w:w="983" w:type="dxa"/>
                  <w:noWrap w:val="0"/>
                  <w:vAlign w:val="center"/>
                </w:tcPr>
                <w:p w14:paraId="3E0E3B4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速率</w:t>
                  </w:r>
                </w:p>
                <w:p w14:paraId="2ABD415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kg/h</w:t>
                  </w:r>
                </w:p>
              </w:tc>
              <w:tc>
                <w:tcPr>
                  <w:tcW w:w="980" w:type="dxa"/>
                  <w:noWrap w:val="0"/>
                  <w:vAlign w:val="center"/>
                </w:tcPr>
                <w:p w14:paraId="795AEC1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浓度mg/m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p>
              </w:tc>
            </w:tr>
            <w:tr w14:paraId="57AEA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90" w:type="dxa"/>
                  <w:noWrap w:val="0"/>
                  <w:vAlign w:val="center"/>
                </w:tcPr>
                <w:p w14:paraId="5FDE1C42">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手工刷字废气</w:t>
                  </w:r>
                </w:p>
              </w:tc>
              <w:tc>
                <w:tcPr>
                  <w:tcW w:w="838" w:type="dxa"/>
                  <w:vMerge w:val="restart"/>
                  <w:noWrap w:val="0"/>
                  <w:vAlign w:val="center"/>
                </w:tcPr>
                <w:p w14:paraId="4924416B">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非甲烷总烃</w:t>
                  </w:r>
                </w:p>
              </w:tc>
              <w:tc>
                <w:tcPr>
                  <w:tcW w:w="1537" w:type="dxa"/>
                  <w:noWrap w:val="0"/>
                  <w:vAlign w:val="center"/>
                </w:tcPr>
                <w:p w14:paraId="6B67C7A9">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0.157</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4</w:t>
                  </w:r>
                </w:p>
              </w:tc>
              <w:tc>
                <w:tcPr>
                  <w:tcW w:w="751" w:type="dxa"/>
                  <w:vMerge w:val="restart"/>
                  <w:noWrap w:val="0"/>
                  <w:vAlign w:val="center"/>
                </w:tcPr>
                <w:p w14:paraId="5D63D6E9">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车间加强通风、自然稀释扩散</w:t>
                  </w:r>
                </w:p>
              </w:tc>
              <w:tc>
                <w:tcPr>
                  <w:tcW w:w="659" w:type="dxa"/>
                  <w:noWrap w:val="0"/>
                  <w:vAlign w:val="center"/>
                </w:tcPr>
                <w:p w14:paraId="75D0362C">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646" w:type="dxa"/>
                  <w:noWrap w:val="0"/>
                  <w:vAlign w:val="center"/>
                </w:tcPr>
                <w:p w14:paraId="1A2B8666">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983" w:type="dxa"/>
                  <w:noWrap w:val="0"/>
                  <w:vAlign w:val="center"/>
                </w:tcPr>
                <w:p w14:paraId="02BBFB65">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0.157</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4</w:t>
                  </w:r>
                </w:p>
              </w:tc>
              <w:tc>
                <w:tcPr>
                  <w:tcW w:w="983" w:type="dxa"/>
                  <w:noWrap w:val="0"/>
                  <w:vAlign w:val="center"/>
                </w:tcPr>
                <w:p w14:paraId="1D9A1657">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0.06</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6</w:t>
                  </w:r>
                </w:p>
              </w:tc>
              <w:tc>
                <w:tcPr>
                  <w:tcW w:w="980" w:type="dxa"/>
                  <w:noWrap w:val="0"/>
                  <w:vAlign w:val="center"/>
                </w:tcPr>
                <w:p w14:paraId="16A72138">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14:paraId="4160D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90" w:type="dxa"/>
                  <w:noWrap w:val="0"/>
                  <w:vAlign w:val="center"/>
                </w:tcPr>
                <w:p w14:paraId="67485840">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泄漏废气</w:t>
                  </w:r>
                </w:p>
              </w:tc>
              <w:tc>
                <w:tcPr>
                  <w:tcW w:w="838" w:type="dxa"/>
                  <w:vMerge w:val="continue"/>
                  <w:noWrap w:val="0"/>
                  <w:vAlign w:val="center"/>
                </w:tcPr>
                <w:p w14:paraId="7AD2782F">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1537" w:type="dxa"/>
                  <w:noWrap w:val="0"/>
                  <w:vAlign w:val="center"/>
                </w:tcPr>
                <w:p w14:paraId="7D64B818">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0.015</w:t>
                  </w:r>
                </w:p>
              </w:tc>
              <w:tc>
                <w:tcPr>
                  <w:tcW w:w="751" w:type="dxa"/>
                  <w:vMerge w:val="continue"/>
                  <w:noWrap w:val="0"/>
                  <w:vAlign w:val="center"/>
                </w:tcPr>
                <w:p w14:paraId="4D3D7BD0">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659" w:type="dxa"/>
                  <w:noWrap w:val="0"/>
                  <w:vAlign w:val="center"/>
                </w:tcPr>
                <w:p w14:paraId="42F2B0BC">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646" w:type="dxa"/>
                  <w:noWrap w:val="0"/>
                  <w:vAlign w:val="center"/>
                </w:tcPr>
                <w:p w14:paraId="263810DF">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983" w:type="dxa"/>
                  <w:noWrap w:val="0"/>
                  <w:vAlign w:val="center"/>
                </w:tcPr>
                <w:p w14:paraId="314987B9">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0.015</w:t>
                  </w:r>
                </w:p>
              </w:tc>
              <w:tc>
                <w:tcPr>
                  <w:tcW w:w="983" w:type="dxa"/>
                  <w:noWrap w:val="0"/>
                  <w:vAlign w:val="center"/>
                </w:tcPr>
                <w:p w14:paraId="320871E5">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0.006</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w:t>
                  </w:r>
                </w:p>
              </w:tc>
              <w:tc>
                <w:tcPr>
                  <w:tcW w:w="980" w:type="dxa"/>
                  <w:noWrap w:val="0"/>
                  <w:vAlign w:val="center"/>
                </w:tcPr>
                <w:p w14:paraId="304BB4BB">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bl>
          <w:p w14:paraId="122BE398">
            <w:pPr>
              <w:pStyle w:val="20"/>
              <w:keepNext w:val="0"/>
              <w:keepLines/>
              <w:pageBreakBefore w:val="0"/>
              <w:kinsoku/>
              <w:overflowPunct/>
              <w:bidi w:val="0"/>
              <w:adjustRightInd/>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kern w:val="0"/>
                <w:sz w:val="24"/>
                <w:szCs w:val="24"/>
                <w:lang w:val="en-US" w:eastAsia="zh-CN" w:bidi="ar"/>
                <w14:textFill>
                  <w14:solidFill>
                    <w14:schemeClr w14:val="tx1"/>
                  </w14:solidFill>
                </w14:textFill>
              </w:rPr>
              <w:t>（2）</w:t>
            </w:r>
            <w:r>
              <w:rPr>
                <w:rFonts w:hint="default" w:ascii="Times New Roman" w:hAnsi="Times New Roman" w:eastAsia="宋体" w:cs="Times New Roman"/>
                <w:b/>
                <w:bCs/>
                <w:color w:val="000000" w:themeColor="text1"/>
                <w14:textFill>
                  <w14:solidFill>
                    <w14:schemeClr w14:val="tx1"/>
                  </w14:solidFill>
                </w14:textFill>
              </w:rPr>
              <w:t>排放口基本情况</w:t>
            </w:r>
          </w:p>
          <w:p w14:paraId="3D022D27">
            <w:pPr>
              <w:pStyle w:val="20"/>
              <w:keepNext w:val="0"/>
              <w:keepLines/>
              <w:pageBreakBefore w:val="0"/>
              <w:kinsoku/>
              <w:overflowPunct/>
              <w:bidi w:val="0"/>
              <w:adjustRightInd/>
              <w:spacing w:line="360" w:lineRule="auto"/>
              <w:ind w:firstLine="480" w:firstLineChars="2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本项目共设置</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 xml:space="preserve">个有组织排放口，对照《排污许可证申请与核发技术规范  </w:t>
            </w:r>
            <w:r>
              <w:rPr>
                <w:rFonts w:hint="default" w:ascii="Times New Roman" w:hAnsi="Times New Roman" w:eastAsia="宋体" w:cs="Times New Roman"/>
                <w:color w:val="000000" w:themeColor="text1"/>
                <w:lang w:val="en-US" w:eastAsia="zh-CN"/>
                <w14:textFill>
                  <w14:solidFill>
                    <w14:schemeClr w14:val="tx1"/>
                  </w14:solidFill>
                </w14:textFill>
              </w:rPr>
              <w:t xml:space="preserve"> 工业炉窑</w:t>
            </w:r>
            <w:r>
              <w:rPr>
                <w:rFonts w:hint="default" w:ascii="Times New Roman" w:hAnsi="Times New Roman" w:eastAsia="宋体" w:cs="Times New Roman"/>
                <w:color w:val="000000" w:themeColor="text1"/>
                <w14:textFill>
                  <w14:solidFill>
                    <w14:schemeClr w14:val="tx1"/>
                  </w14:solidFill>
                </w14:textFill>
              </w:rPr>
              <w:t>》（HJ 112</w:t>
            </w: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—2020）</w:t>
            </w:r>
            <w:r>
              <w:rPr>
                <w:rFonts w:hint="default" w:ascii="Times New Roman" w:hAnsi="Times New Roman" w:eastAsia="宋体" w:cs="Times New Roman"/>
                <w:color w:val="000000" w:themeColor="text1"/>
                <w:lang w:eastAsia="zh-CN"/>
                <w14:textFill>
                  <w14:solidFill>
                    <w14:schemeClr w14:val="tx1"/>
                  </w14:solidFill>
                </w14:textFill>
              </w:rPr>
              <w:t>，《排污许可证申请与核发技术规范</w:t>
            </w:r>
            <w:r>
              <w:rPr>
                <w:rFonts w:hint="default" w:ascii="Times New Roman" w:hAnsi="Times New Roman" w:eastAsia="宋体"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lang w:eastAsia="zh-CN"/>
                <w14:textFill>
                  <w14:solidFill>
                    <w14:schemeClr w14:val="tx1"/>
                  </w14:solidFill>
                </w14:textFill>
              </w:rPr>
              <w:t>铁路、船舶、航空航天和其他运输设备制造业》</w:t>
            </w:r>
            <w:r>
              <w:rPr>
                <w:rFonts w:hint="default" w:ascii="Times New Roman" w:hAnsi="Times New Roman" w:eastAsia="宋体" w:cs="Times New Roman"/>
                <w:color w:val="000000" w:themeColor="text1"/>
                <w14:textFill>
                  <w14:solidFill>
                    <w14:schemeClr w14:val="tx1"/>
                  </w14:solidFill>
                </w14:textFill>
              </w:rPr>
              <w:t>（HJ 112</w:t>
            </w:r>
            <w:r>
              <w:rPr>
                <w:rFonts w:hint="default" w:ascii="Times New Roman" w:hAnsi="Times New Roman" w:eastAsia="宋体"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14:textFill>
                  <w14:solidFill>
                    <w14:schemeClr w14:val="tx1"/>
                  </w14:solidFill>
                </w14:textFill>
              </w:rPr>
              <w:t>—2020）</w:t>
            </w:r>
            <w:r>
              <w:rPr>
                <w:rFonts w:hint="default" w:ascii="Times New Roman" w:hAnsi="Times New Roman" w:eastAsia="宋体" w:cs="Times New Roman"/>
                <w:color w:val="000000" w:themeColor="text1"/>
                <w:lang w:eastAsia="zh-CN"/>
                <w14:textFill>
                  <w14:solidFill>
                    <w14:schemeClr w14:val="tx1"/>
                  </w14:solidFill>
                </w14:textFill>
              </w:rPr>
              <w:t>附录</w:t>
            </w:r>
            <w:r>
              <w:rPr>
                <w:rFonts w:hint="default" w:ascii="Times New Roman" w:hAnsi="Times New Roman" w:eastAsia="宋体" w:cs="Times New Roman"/>
                <w:color w:val="000000" w:themeColor="text1"/>
                <w:lang w:val="en-US" w:eastAsia="zh-CN"/>
                <w14:textFill>
                  <w14:solidFill>
                    <w14:schemeClr w14:val="tx1"/>
                  </w14:solidFill>
                </w14:textFill>
              </w:rPr>
              <w:t>A表面处理（涂装）排污单位</w:t>
            </w:r>
            <w:r>
              <w:rPr>
                <w:rFonts w:hint="default" w:ascii="Times New Roman" w:hAnsi="Times New Roman" w:eastAsia="宋体" w:cs="Times New Roman"/>
                <w:color w:val="000000" w:themeColor="text1"/>
                <w14:textFill>
                  <w14:solidFill>
                    <w14:schemeClr w14:val="tx1"/>
                  </w14:solidFill>
                </w14:textFill>
              </w:rPr>
              <w:t>，本项目排放口为一般排放口，排放口基本情况详见下表。</w:t>
            </w:r>
          </w:p>
          <w:p w14:paraId="339EBAA4">
            <w:pPr>
              <w:pStyle w:val="32"/>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themeColor="text1"/>
                <w:spacing w:val="-10"/>
                <w:sz w:val="21"/>
                <w:szCs w:val="21"/>
                <w14:textFill>
                  <w14:solidFill>
                    <w14:schemeClr w14:val="tx1"/>
                  </w14:solidFill>
                </w14:textFill>
              </w:rPr>
            </w:pPr>
            <w:r>
              <w:rPr>
                <w:rFonts w:hint="default" w:ascii="Times New Roman" w:hAnsi="Times New Roman" w:cs="Times New Roman"/>
                <w:b/>
                <w:color w:val="000000" w:themeColor="text1"/>
                <w:kern w:val="0"/>
                <w:sz w:val="21"/>
                <w:szCs w:val="21"/>
                <w14:textFill>
                  <w14:solidFill>
                    <w14:schemeClr w14:val="tx1"/>
                  </w14:solidFill>
                </w14:textFill>
              </w:rPr>
              <w:t>表4</w:t>
            </w:r>
            <w:r>
              <w:rPr>
                <w:rFonts w:hint="default" w:ascii="Times New Roman" w:hAnsi="Times New Roman" w:cs="Times New Roman"/>
                <w:b/>
                <w:color w:val="000000" w:themeColor="text1"/>
                <w:kern w:val="0"/>
                <w:sz w:val="21"/>
                <w:szCs w:val="21"/>
                <w:lang w:val="en-US" w:eastAsia="zh-CN"/>
                <w14:textFill>
                  <w14:solidFill>
                    <w14:schemeClr w14:val="tx1"/>
                  </w14:solidFill>
                </w14:textFill>
              </w:rPr>
              <w:t>-6</w:t>
            </w:r>
            <w:r>
              <w:rPr>
                <w:rFonts w:hint="default" w:ascii="Times New Roman" w:hAnsi="Times New Roman" w:cs="Times New Roman"/>
                <w:b/>
                <w:color w:val="000000" w:themeColor="text1"/>
                <w:kern w:val="0"/>
                <w:sz w:val="21"/>
                <w:szCs w:val="21"/>
                <w14:textFill>
                  <w14:solidFill>
                    <w14:schemeClr w14:val="tx1"/>
                  </w14:solidFill>
                </w14:textFill>
              </w:rPr>
              <w:t xml:space="preserve"> 排放口基本情况一览表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8"/>
              <w:gridCol w:w="2426"/>
              <w:gridCol w:w="1035"/>
              <w:gridCol w:w="1069"/>
              <w:gridCol w:w="744"/>
              <w:gridCol w:w="1175"/>
            </w:tblGrid>
            <w:tr w14:paraId="34B16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2" w:type="pct"/>
                  <w:vAlign w:val="center"/>
                </w:tcPr>
                <w:p w14:paraId="521835B6">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编号及名称</w:t>
                  </w:r>
                </w:p>
              </w:tc>
              <w:tc>
                <w:tcPr>
                  <w:tcW w:w="1503" w:type="pct"/>
                  <w:vAlign w:val="center"/>
                </w:tcPr>
                <w:p w14:paraId="183E2C2D">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地理坐标</w:t>
                  </w:r>
                </w:p>
              </w:tc>
              <w:tc>
                <w:tcPr>
                  <w:tcW w:w="641" w:type="pct"/>
                  <w:vAlign w:val="center"/>
                </w:tcPr>
                <w:p w14:paraId="149A755D">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排放高度/m</w:t>
                  </w:r>
                </w:p>
              </w:tc>
              <w:tc>
                <w:tcPr>
                  <w:tcW w:w="662" w:type="pct"/>
                  <w:vAlign w:val="center"/>
                </w:tcPr>
                <w:p w14:paraId="6CC2EC63">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排气筒内径/m</w:t>
                  </w:r>
                </w:p>
              </w:tc>
              <w:tc>
                <w:tcPr>
                  <w:tcW w:w="461" w:type="pct"/>
                  <w:vAlign w:val="center"/>
                </w:tcPr>
                <w:p w14:paraId="74037DC7">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温度/℃</w:t>
                  </w:r>
                </w:p>
              </w:tc>
              <w:tc>
                <w:tcPr>
                  <w:tcW w:w="728" w:type="pct"/>
                  <w:vAlign w:val="center"/>
                </w:tcPr>
                <w:p w14:paraId="2B7DFE9C">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类型</w:t>
                  </w:r>
                </w:p>
              </w:tc>
            </w:tr>
            <w:tr w14:paraId="167A3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pct"/>
                  <w:vAlign w:val="center"/>
                </w:tcPr>
                <w:p w14:paraId="03719D06">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DA001废气排放口</w:t>
                  </w:r>
                </w:p>
              </w:tc>
              <w:tc>
                <w:tcPr>
                  <w:tcW w:w="1503" w:type="pct"/>
                  <w:vAlign w:val="center"/>
                </w:tcPr>
                <w:p w14:paraId="6D5E2864">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东经10</w:t>
                  </w:r>
                  <w:r>
                    <w:rPr>
                      <w:rFonts w:hint="default" w:ascii="Times New Roman" w:hAnsi="Times New Roman" w:cs="Times New Roman"/>
                      <w:b w:val="0"/>
                      <w:bCs/>
                      <w:color w:val="000000" w:themeColor="text1"/>
                      <w:kern w:val="0"/>
                      <w:sz w:val="21"/>
                      <w:szCs w:val="21"/>
                      <w:lang w:val="en-US" w:eastAsia="zh-CN"/>
                      <w14:textFill>
                        <w14:solidFill>
                          <w14:schemeClr w14:val="tx1"/>
                        </w14:solidFill>
                      </w14:textFill>
                    </w:rPr>
                    <w:t>2</w:t>
                  </w:r>
                  <w:r>
                    <w:rPr>
                      <w:rFonts w:hint="default" w:ascii="Times New Roman" w:hAnsi="Times New Roman" w:eastAsia="宋体" w:cs="Times New Roman"/>
                      <w:b w:val="0"/>
                      <w:bCs/>
                      <w:color w:val="000000" w:themeColor="text1"/>
                      <w:kern w:val="0"/>
                      <w:sz w:val="21"/>
                      <w:szCs w:val="21"/>
                      <w14:textFill>
                        <w14:solidFill>
                          <w14:schemeClr w14:val="tx1"/>
                        </w14:solidFill>
                      </w14:textFill>
                    </w:rPr>
                    <w:t>°</w:t>
                  </w:r>
                  <w:r>
                    <w:rPr>
                      <w:rFonts w:hint="default" w:ascii="Times New Roman" w:hAnsi="Times New Roman" w:cs="Times New Roman"/>
                      <w:b w:val="0"/>
                      <w:bCs/>
                      <w:color w:val="000000" w:themeColor="text1"/>
                      <w:kern w:val="0"/>
                      <w:sz w:val="21"/>
                      <w:szCs w:val="21"/>
                      <w:lang w:val="en-US" w:eastAsia="zh-CN"/>
                      <w14:textFill>
                        <w14:solidFill>
                          <w14:schemeClr w14:val="tx1"/>
                        </w14:solidFill>
                      </w14:textFill>
                    </w:rPr>
                    <w:t>29</w:t>
                  </w:r>
                  <w:r>
                    <w:rPr>
                      <w:rFonts w:hint="default" w:ascii="Times New Roman" w:hAnsi="Times New Roman" w:eastAsia="宋体" w:cs="Times New Roman"/>
                      <w:b w:val="0"/>
                      <w:bCs/>
                      <w:color w:val="000000" w:themeColor="text1"/>
                      <w:kern w:val="0"/>
                      <w:sz w:val="21"/>
                      <w:szCs w:val="21"/>
                      <w14:textFill>
                        <w14:solidFill>
                          <w14:schemeClr w14:val="tx1"/>
                        </w14:solidFill>
                      </w14:textFill>
                    </w:rPr>
                    <w:t>'</w:t>
                  </w:r>
                  <w:r>
                    <w:rPr>
                      <w:rFonts w:hint="default" w:ascii="Times New Roman" w:hAnsi="Times New Roman" w:cs="Times New Roman"/>
                      <w:b w:val="0"/>
                      <w:bCs/>
                      <w:color w:val="000000" w:themeColor="text1"/>
                      <w:kern w:val="0"/>
                      <w:sz w:val="21"/>
                      <w:szCs w:val="21"/>
                      <w:lang w:val="en-US" w:eastAsia="zh-CN"/>
                      <w14:textFill>
                        <w14:solidFill>
                          <w14:schemeClr w14:val="tx1"/>
                        </w14:solidFill>
                      </w14:textFill>
                    </w:rPr>
                    <w:t>35</w:t>
                  </w:r>
                  <w: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t>.</w:t>
                  </w:r>
                  <w:r>
                    <w:rPr>
                      <w:rFonts w:hint="default" w:ascii="Times New Roman" w:hAnsi="Times New Roman" w:cs="Times New Roman"/>
                      <w:b w:val="0"/>
                      <w:bCs/>
                      <w:color w:val="000000" w:themeColor="text1"/>
                      <w:kern w:val="0"/>
                      <w:sz w:val="21"/>
                      <w:szCs w:val="21"/>
                      <w:lang w:val="en-US" w:eastAsia="zh-CN"/>
                      <w14:textFill>
                        <w14:solidFill>
                          <w14:schemeClr w14:val="tx1"/>
                        </w14:solidFill>
                      </w14:textFill>
                    </w:rPr>
                    <w:t>156</w:t>
                  </w:r>
                  <w:r>
                    <w:rPr>
                      <w:rFonts w:hint="default" w:ascii="Times New Roman" w:hAnsi="Times New Roman" w:eastAsia="宋体" w:cs="Times New Roman"/>
                      <w:b w:val="0"/>
                      <w:bCs/>
                      <w:color w:val="000000" w:themeColor="text1"/>
                      <w:kern w:val="0"/>
                      <w:sz w:val="21"/>
                      <w:szCs w:val="21"/>
                      <w14:textFill>
                        <w14:solidFill>
                          <w14:schemeClr w14:val="tx1"/>
                        </w14:solidFill>
                      </w14:textFill>
                    </w:rPr>
                    <w:t>″、北纬24°</w:t>
                  </w:r>
                  <w: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t>1</w:t>
                  </w:r>
                  <w:r>
                    <w:rPr>
                      <w:rFonts w:hint="default" w:ascii="Times New Roman" w:hAnsi="Times New Roman" w:cs="Times New Roman"/>
                      <w:b w:val="0"/>
                      <w:bCs/>
                      <w:color w:val="000000" w:themeColor="text1"/>
                      <w:kern w:val="0"/>
                      <w:sz w:val="21"/>
                      <w:szCs w:val="21"/>
                      <w:lang w:val="en-US" w:eastAsia="zh-CN"/>
                      <w14:textFill>
                        <w14:solidFill>
                          <w14:schemeClr w14:val="tx1"/>
                        </w14:solidFill>
                      </w14:textFill>
                    </w:rPr>
                    <w:t>6</w:t>
                  </w:r>
                  <w:r>
                    <w:rPr>
                      <w:rFonts w:hint="default" w:ascii="Times New Roman" w:hAnsi="Times New Roman" w:eastAsia="宋体" w:cs="Times New Roman"/>
                      <w:b w:val="0"/>
                      <w:bCs/>
                      <w:color w:val="000000" w:themeColor="text1"/>
                      <w:kern w:val="0"/>
                      <w:sz w:val="21"/>
                      <w:szCs w:val="21"/>
                      <w14:textFill>
                        <w14:solidFill>
                          <w14:schemeClr w14:val="tx1"/>
                        </w14:solidFill>
                      </w14:textFill>
                    </w:rPr>
                    <w:t>'</w:t>
                  </w:r>
                  <w:r>
                    <w:rPr>
                      <w:rFonts w:hint="default" w:ascii="Times New Roman" w:hAnsi="Times New Roman" w:cs="Times New Roman"/>
                      <w:b w:val="0"/>
                      <w:bCs/>
                      <w:color w:val="000000" w:themeColor="text1"/>
                      <w:kern w:val="0"/>
                      <w:sz w:val="21"/>
                      <w:szCs w:val="21"/>
                      <w:lang w:val="en-US" w:eastAsia="zh-CN"/>
                      <w14:textFill>
                        <w14:solidFill>
                          <w14:schemeClr w14:val="tx1"/>
                        </w14:solidFill>
                      </w14:textFill>
                    </w:rPr>
                    <w:t>6.555</w:t>
                  </w:r>
                  <w:r>
                    <w:rPr>
                      <w:rFonts w:hint="default" w:ascii="Times New Roman" w:hAnsi="Times New Roman" w:eastAsia="宋体" w:cs="Times New Roman"/>
                      <w:b w:val="0"/>
                      <w:bCs/>
                      <w:color w:val="000000" w:themeColor="text1"/>
                      <w:kern w:val="0"/>
                      <w:sz w:val="21"/>
                      <w:szCs w:val="21"/>
                      <w14:textFill>
                        <w14:solidFill>
                          <w14:schemeClr w14:val="tx1"/>
                        </w14:solidFill>
                      </w14:textFill>
                    </w:rPr>
                    <w:t>″</w:t>
                  </w:r>
                </w:p>
              </w:tc>
              <w:tc>
                <w:tcPr>
                  <w:tcW w:w="641" w:type="pct"/>
                  <w:vAlign w:val="center"/>
                </w:tcPr>
                <w:p w14:paraId="0F255BF5">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15</w:t>
                  </w:r>
                </w:p>
              </w:tc>
              <w:tc>
                <w:tcPr>
                  <w:tcW w:w="662" w:type="pct"/>
                  <w:vAlign w:val="center"/>
                </w:tcPr>
                <w:p w14:paraId="04DA8373">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lang w:val="en-US" w:eastAsia="zh-CN"/>
                      <w14:textFill>
                        <w14:solidFill>
                          <w14:schemeClr w14:val="tx1"/>
                        </w14:solidFill>
                      </w14:textFill>
                    </w:rPr>
                    <w:t>0.5</w:t>
                  </w:r>
                </w:p>
              </w:tc>
              <w:tc>
                <w:tcPr>
                  <w:tcW w:w="461" w:type="pct"/>
                  <w:vAlign w:val="center"/>
                </w:tcPr>
                <w:p w14:paraId="20B8E102">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lang w:val="en-US" w:eastAsia="zh-CN"/>
                      <w14:textFill>
                        <w14:solidFill>
                          <w14:schemeClr w14:val="tx1"/>
                        </w14:solidFill>
                      </w14:textFill>
                    </w:rPr>
                    <w:t>100</w:t>
                  </w:r>
                </w:p>
              </w:tc>
              <w:tc>
                <w:tcPr>
                  <w:tcW w:w="728" w:type="pct"/>
                  <w:vAlign w:val="center"/>
                </w:tcPr>
                <w:p w14:paraId="2ABDCF31">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一般排放口</w:t>
                  </w:r>
                </w:p>
              </w:tc>
            </w:tr>
            <w:tr w14:paraId="29E46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pct"/>
                  <w:vAlign w:val="center"/>
                </w:tcPr>
                <w:p w14:paraId="6D9FF787">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lang w:val="en-US" w:eastAsia="zh-CN"/>
                      <w14:textFill>
                        <w14:solidFill>
                          <w14:schemeClr w14:val="tx1"/>
                        </w14:solidFill>
                      </w14:textFill>
                    </w:rPr>
                    <w:t>DA002废气排口</w:t>
                  </w:r>
                </w:p>
              </w:tc>
              <w:tc>
                <w:tcPr>
                  <w:tcW w:w="1503" w:type="pct"/>
                  <w:vAlign w:val="center"/>
                </w:tcPr>
                <w:p w14:paraId="2D943071">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东经</w:t>
                  </w:r>
                  <w:r>
                    <w:rPr>
                      <w:rFonts w:hint="default" w:ascii="Times New Roman" w:hAnsi="Times New Roman" w:eastAsia="宋体" w:cs="Times New Roman"/>
                      <w:b w:val="0"/>
                      <w:bCs/>
                      <w:color w:val="000000" w:themeColor="text1"/>
                      <w:kern w:val="0"/>
                      <w:sz w:val="21"/>
                      <w:szCs w:val="21"/>
                      <w14:textFill>
                        <w14:solidFill>
                          <w14:schemeClr w14:val="tx1"/>
                        </w14:solidFill>
                      </w14:textFill>
                    </w:rPr>
                    <w:t>102°29′35.43439″,</w:t>
                  </w: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北纬</w:t>
                  </w:r>
                  <w:r>
                    <w:rPr>
                      <w:rFonts w:hint="default" w:ascii="Times New Roman" w:hAnsi="Times New Roman" w:eastAsia="宋体" w:cs="Times New Roman"/>
                      <w:b w:val="0"/>
                      <w:bCs/>
                      <w:color w:val="000000" w:themeColor="text1"/>
                      <w:kern w:val="0"/>
                      <w:sz w:val="21"/>
                      <w:szCs w:val="21"/>
                      <w14:textFill>
                        <w14:solidFill>
                          <w14:schemeClr w14:val="tx1"/>
                        </w14:solidFill>
                      </w14:textFill>
                    </w:rPr>
                    <w:t>24°16′6.54518″</w:t>
                  </w:r>
                </w:p>
              </w:tc>
              <w:tc>
                <w:tcPr>
                  <w:tcW w:w="641" w:type="pct"/>
                  <w:vAlign w:val="center"/>
                </w:tcPr>
                <w:p w14:paraId="6D72E562">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t>15</w:t>
                  </w:r>
                </w:p>
              </w:tc>
              <w:tc>
                <w:tcPr>
                  <w:tcW w:w="662" w:type="pct"/>
                  <w:vAlign w:val="center"/>
                </w:tcPr>
                <w:p w14:paraId="26D8439B">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lang w:val="en-US" w:eastAsia="zh-CN"/>
                      <w14:textFill>
                        <w14:solidFill>
                          <w14:schemeClr w14:val="tx1"/>
                        </w14:solidFill>
                      </w14:textFill>
                    </w:rPr>
                    <w:t>0.5</w:t>
                  </w:r>
                </w:p>
              </w:tc>
              <w:tc>
                <w:tcPr>
                  <w:tcW w:w="461" w:type="pct"/>
                  <w:vAlign w:val="center"/>
                </w:tcPr>
                <w:p w14:paraId="4A08F1A1">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lang w:val="en-US" w:eastAsia="zh-CN"/>
                      <w14:textFill>
                        <w14:solidFill>
                          <w14:schemeClr w14:val="tx1"/>
                        </w14:solidFill>
                      </w14:textFill>
                    </w:rPr>
                    <w:t>26</w:t>
                  </w:r>
                </w:p>
              </w:tc>
              <w:tc>
                <w:tcPr>
                  <w:tcW w:w="728" w:type="pct"/>
                  <w:vAlign w:val="center"/>
                </w:tcPr>
                <w:p w14:paraId="00FF78B2">
                  <w:pPr>
                    <w:pStyle w:val="32"/>
                    <w:keepNext w:val="0"/>
                    <w:keepLines/>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一般排放口</w:t>
                  </w:r>
                </w:p>
              </w:tc>
            </w:tr>
          </w:tbl>
          <w:p w14:paraId="05BC104A">
            <w:pPr>
              <w:pStyle w:val="20"/>
              <w:keepNext w:val="0"/>
              <w:keepLines/>
              <w:pageBreakBefore w:val="0"/>
              <w:kinsoku/>
              <w:overflowPunct/>
              <w:bidi w:val="0"/>
              <w:adjustRightInd/>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w:t>
            </w:r>
            <w:r>
              <w:rPr>
                <w:rFonts w:hint="default" w:ascii="Times New Roman" w:hAnsi="Times New Roman" w:cs="Times New Roman"/>
                <w:b/>
                <w:bCs/>
                <w:color w:val="000000" w:themeColor="text1"/>
                <w:lang w:val="en-US" w:eastAsia="zh-CN"/>
                <w14:textFill>
                  <w14:solidFill>
                    <w14:schemeClr w14:val="tx1"/>
                  </w14:solidFill>
                </w14:textFill>
              </w:rPr>
              <w:t>3</w:t>
            </w:r>
            <w:r>
              <w:rPr>
                <w:rFonts w:hint="default" w:ascii="Times New Roman" w:hAnsi="Times New Roman" w:eastAsia="宋体" w:cs="Times New Roman"/>
                <w:b/>
                <w:bCs/>
                <w:color w:val="000000" w:themeColor="text1"/>
                <w14:textFill>
                  <w14:solidFill>
                    <w14:schemeClr w14:val="tx1"/>
                  </w14:solidFill>
                </w14:textFill>
              </w:rPr>
              <w:t>）大气环境影响分析</w:t>
            </w:r>
          </w:p>
          <w:p w14:paraId="405020D3">
            <w:pPr>
              <w:pStyle w:val="20"/>
              <w:keepNext w:val="0"/>
              <w:keepLines/>
              <w:pageBreakBefore w:val="0"/>
              <w:kinsoku/>
              <w:overflowPunct/>
              <w:bidi w:val="0"/>
              <w:adjustRightInd/>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1）</w:t>
            </w:r>
            <w:r>
              <w:rPr>
                <w:rFonts w:hint="default" w:ascii="Times New Roman" w:hAnsi="Times New Roman" w:cs="Times New Roman"/>
                <w:b/>
                <w:bCs/>
                <w:color w:val="000000" w:themeColor="text1"/>
                <w:lang w:eastAsia="zh-CN"/>
                <w14:textFill>
                  <w14:solidFill>
                    <w14:schemeClr w14:val="tx1"/>
                  </w14:solidFill>
                </w14:textFill>
              </w:rPr>
              <w:t>有组织</w:t>
            </w:r>
            <w:r>
              <w:rPr>
                <w:rFonts w:hint="default" w:ascii="Times New Roman" w:hAnsi="Times New Roman" w:eastAsia="宋体" w:cs="Times New Roman"/>
                <w:b/>
                <w:bCs/>
                <w:color w:val="000000" w:themeColor="text1"/>
                <w14:textFill>
                  <w14:solidFill>
                    <w14:schemeClr w14:val="tx1"/>
                  </w14:solidFill>
                </w14:textFill>
              </w:rPr>
              <w:t>废气</w:t>
            </w:r>
          </w:p>
          <w:p w14:paraId="6009EA01">
            <w:pPr>
              <w:pStyle w:val="20"/>
              <w:keepNext w:val="0"/>
              <w:keepLines/>
              <w:pageBreakBefore w:val="0"/>
              <w:kinsoku/>
              <w:overflowPunct/>
              <w:bidi w:val="0"/>
              <w:adjustRightInd/>
              <w:snapToGrid/>
              <w:spacing w:line="360" w:lineRule="auto"/>
              <w:ind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①正常排放</w:t>
            </w:r>
          </w:p>
          <w:p w14:paraId="764794ED">
            <w:pPr>
              <w:pStyle w:val="20"/>
              <w:keepNext w:val="0"/>
              <w:keepLines/>
              <w:pageBreakBefore w:val="0"/>
              <w:kinsoku/>
              <w:overflowPunct/>
              <w:bidi w:val="0"/>
              <w:adjustRightInd/>
              <w:snapToGrid/>
              <w:spacing w:line="360" w:lineRule="auto"/>
              <w:ind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4"/>
                <w:lang w:val="en-US" w:eastAsia="zh-CN"/>
                <w14:textFill>
                  <w14:solidFill>
                    <w14:schemeClr w14:val="tx1"/>
                  </w14:solidFill>
                </w14:textFill>
              </w:rPr>
              <w:t>项目产生的焚烧炉废气经收集后进入一套“旋风+布袋+喷淋”设施处理，烘干固化废气引入焚烧炉进行热力焚烧，废气同焚烧废气一同进入“旋风+布袋+喷淋”处理，处理后的废气通过排气筒DA001排放，</w:t>
            </w:r>
            <w:r>
              <w:rPr>
                <w:rFonts w:hint="eastAsia" w:ascii="Times New Roman" w:hAnsi="Times New Roman" w:eastAsia="宋体" w:cs="Times New Roman"/>
                <w:b w:val="0"/>
                <w:bCs w:val="0"/>
                <w:color w:val="000000" w:themeColor="text1"/>
                <w:kern w:val="24"/>
                <w:lang w:val="en-US" w:eastAsia="zh-CN"/>
                <w14:textFill>
                  <w14:solidFill>
                    <w14:schemeClr w14:val="tx1"/>
                  </w14:solidFill>
                </w14:textFill>
              </w:rPr>
              <w:t>DA001排气筒颗粒物排放浓度为</w:t>
            </w:r>
            <w:r>
              <w:rPr>
                <w:rFonts w:hint="default" w:ascii="Times New Roman" w:hAnsi="Times New Roman" w:eastAsia="宋体" w:cs="Times New Roman"/>
                <w:b w:val="0"/>
                <w:bCs w:val="0"/>
                <w:color w:val="000000" w:themeColor="text1"/>
                <w:kern w:val="24"/>
                <w:lang w:val="en-US" w:eastAsia="zh-CN"/>
                <w14:textFill>
                  <w14:solidFill>
                    <w14:schemeClr w14:val="tx1"/>
                  </w14:solidFill>
                </w14:textFill>
              </w:rPr>
              <w:t>4.435mg/m</w:t>
            </w:r>
            <w:r>
              <w:rPr>
                <w:rFonts w:hint="default" w:ascii="Times New Roman" w:hAnsi="Times New Roman" w:eastAsia="宋体" w:cs="Times New Roman"/>
                <w:b w:val="0"/>
                <w:bCs w:val="0"/>
                <w:color w:val="000000" w:themeColor="text1"/>
                <w:kern w:val="24"/>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kern w:val="24"/>
                <w:lang w:val="en-US" w:eastAsia="zh-CN"/>
                <w14:textFill>
                  <w14:solidFill>
                    <w14:schemeClr w14:val="tx1"/>
                  </w14:solidFill>
                </w14:textFill>
              </w:rPr>
              <w:t>，二氧化硫排放浓度为2.75</w:t>
            </w:r>
            <w:r>
              <w:rPr>
                <w:rFonts w:hint="default" w:ascii="Times New Roman" w:hAnsi="Times New Roman" w:eastAsia="宋体" w:cs="Times New Roman"/>
                <w:b w:val="0"/>
                <w:bCs w:val="0"/>
                <w:color w:val="000000" w:themeColor="text1"/>
                <w:kern w:val="24"/>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kern w:val="24"/>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kern w:val="24"/>
                <w:lang w:val="en-US" w:eastAsia="zh-CN"/>
                <w14:textFill>
                  <w14:solidFill>
                    <w14:schemeClr w14:val="tx1"/>
                  </w14:solidFill>
                </w14:textFill>
              </w:rPr>
              <w:t>，氮氧化物排放浓度为34.5125</w:t>
            </w:r>
            <w:r>
              <w:rPr>
                <w:rFonts w:hint="default" w:ascii="Times New Roman" w:hAnsi="Times New Roman" w:eastAsia="宋体" w:cs="Times New Roman"/>
                <w:b w:val="0"/>
                <w:bCs w:val="0"/>
                <w:color w:val="000000" w:themeColor="text1"/>
                <w:kern w:val="24"/>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kern w:val="24"/>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kern w:val="24"/>
                <w:lang w:val="en-US" w:eastAsia="zh-CN"/>
                <w14:textFill>
                  <w14:solidFill>
                    <w14:schemeClr w14:val="tx1"/>
                  </w14:solidFill>
                </w14:textFill>
              </w:rPr>
              <w:t>，非甲烷总烃排放浓度为0.2225</w:t>
            </w:r>
            <w:r>
              <w:rPr>
                <w:rFonts w:hint="default" w:ascii="Times New Roman" w:hAnsi="Times New Roman" w:eastAsia="宋体" w:cs="Times New Roman"/>
                <w:b w:val="0"/>
                <w:bCs w:val="0"/>
                <w:color w:val="000000" w:themeColor="text1"/>
                <w:kern w:val="24"/>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kern w:val="24"/>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kern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通过处理后排放的</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颗粒物、二氧化硫满足《工业炉窑大气污染物排放标准》</w:t>
            </w:r>
            <w:r>
              <w:rPr>
                <w:rFonts w:hint="default" w:ascii="Times New Roman" w:hAnsi="Times New Roman"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GB9078－1996）标准，NOx、非甲烷总烃满足《大气污染物综合排放标准》（GB16297-1996）标准。</w:t>
            </w:r>
          </w:p>
          <w:p w14:paraId="22B83BC3">
            <w:pPr>
              <w:pStyle w:val="20"/>
              <w:keepNext w:val="0"/>
              <w:keepLines/>
              <w:pageBreakBefore w:val="0"/>
              <w:kinsoku/>
              <w:overflowPunct/>
              <w:bidi w:val="0"/>
              <w:adjustRightInd/>
              <w:snapToGrid/>
              <w:spacing w:line="360" w:lineRule="auto"/>
              <w:ind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抛丸除锈废气、喷塑废气经各自设置的1套脉冲滤筒除尘器（共2套）处理后并入排气筒DA002一同排放</w:t>
            </w:r>
            <w:r>
              <w:rPr>
                <w:rFonts w:hint="default" w:ascii="Times New Roman" w:hAnsi="Times New Roman" w:eastAsia="宋体" w:cs="Times New Roman"/>
                <w:b w:val="0"/>
                <w:bCs w:val="0"/>
                <w:color w:val="000000" w:themeColor="text1"/>
                <w:kern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kern w:val="24"/>
                <w:lang w:val="en-US" w:eastAsia="zh-CN"/>
                <w14:textFill>
                  <w14:solidFill>
                    <w14:schemeClr w14:val="tx1"/>
                  </w14:solidFill>
                </w14:textFill>
              </w:rPr>
              <w:t>DA002排气筒颗粒物排放浓度为61.875</w:t>
            </w:r>
            <w:r>
              <w:rPr>
                <w:rFonts w:hint="default" w:ascii="Times New Roman" w:hAnsi="Times New Roman" w:eastAsia="宋体" w:cs="Times New Roman"/>
                <w:b w:val="0"/>
                <w:bCs w:val="0"/>
                <w:color w:val="000000" w:themeColor="text1"/>
                <w:kern w:val="24"/>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kern w:val="24"/>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kern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通过处理后排放的颗粒物排放浓度均能够达到</w:t>
            </w:r>
            <w:r>
              <w:rPr>
                <w:rFonts w:hint="default" w:ascii="Times New Roman" w:hAnsi="Times New Roman" w:eastAsia="宋体" w:cs="Times New Roman"/>
                <w:color w:val="000000" w:themeColor="text1"/>
                <w:lang w:val="en-US" w:eastAsia="zh-CN"/>
                <w14:textFill>
                  <w14:solidFill>
                    <w14:schemeClr w14:val="tx1"/>
                  </w14:solidFill>
                </w14:textFill>
              </w:rPr>
              <w:t>《大气污染物综合排放标准》（GB16297-1996）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标准限值。</w:t>
            </w:r>
          </w:p>
          <w:p w14:paraId="5D663A9E">
            <w:pPr>
              <w:pStyle w:val="20"/>
              <w:keepNext w:val="0"/>
              <w:keepLines/>
              <w:pageBreakBefore w:val="0"/>
              <w:kinsoku/>
              <w:overflowPunct/>
              <w:bidi w:val="0"/>
              <w:adjustRightInd/>
              <w:snapToGrid/>
              <w:spacing w:line="360" w:lineRule="auto"/>
              <w:ind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②非正常排放</w:t>
            </w:r>
          </w:p>
          <w:p w14:paraId="331FD9C8">
            <w:pPr>
              <w:keepNext w:val="0"/>
              <w:keepLines/>
              <w:pageBreakBefore w:val="0"/>
              <w:kinsoku/>
              <w:overflowPunct/>
              <w:bidi w:val="0"/>
              <w:adjustRightInd/>
              <w:snapToGrid/>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当处理废气</w:t>
            </w:r>
            <w:r>
              <w:rPr>
                <w:rFonts w:hint="default" w:ascii="Times New Roman" w:hAnsi="Times New Roman" w:cs="Times New Roman"/>
                <w:color w:val="000000" w:themeColor="text1"/>
                <w:sz w:val="24"/>
                <w:lang w:val="en-US" w:eastAsia="zh-CN"/>
                <w14:textFill>
                  <w14:solidFill>
                    <w14:schemeClr w14:val="tx1"/>
                  </w14:solidFill>
                </w14:textFill>
              </w:rPr>
              <w:t>治理设施</w:t>
            </w:r>
            <w:r>
              <w:rPr>
                <w:rFonts w:hint="default" w:ascii="Times New Roman" w:hAnsi="Times New Roman" w:eastAsia="宋体" w:cs="Times New Roman"/>
                <w:color w:val="000000" w:themeColor="text1"/>
                <w:sz w:val="24"/>
                <w:lang w:val="en-US" w:eastAsia="zh-CN"/>
                <w14:textFill>
                  <w14:solidFill>
                    <w14:schemeClr w14:val="tx1"/>
                  </w14:solidFill>
                </w14:textFill>
              </w:rPr>
              <w:t>发生故障不能正常运行的情况下，废气的处理效果将会降低，本次考虑焚烧炉废气</w:t>
            </w:r>
            <w:r>
              <w:rPr>
                <w:rFonts w:hint="default" w:ascii="Times New Roman" w:hAnsi="Times New Roman" w:cs="Times New Roman"/>
                <w:color w:val="000000" w:themeColor="text1"/>
                <w:sz w:val="24"/>
                <w:lang w:val="en-US" w:eastAsia="zh-CN"/>
                <w14:textFill>
                  <w14:solidFill>
                    <w14:schemeClr w14:val="tx1"/>
                  </w14:solidFill>
                </w14:textFill>
              </w:rPr>
              <w:t>、固化炉废气治理设施颗粒物处理效率降低至70%，二氧化硫处理效率降低至50%时DA001排气筒非正常排放情况；考虑</w:t>
            </w:r>
            <w:r>
              <w:rPr>
                <w:rFonts w:hint="default" w:ascii="Times New Roman" w:hAnsi="Times New Roman" w:eastAsia="宋体" w:cs="Times New Roman"/>
                <w:color w:val="000000" w:themeColor="text1"/>
                <w:sz w:val="24"/>
                <w:lang w:val="en-US" w:eastAsia="zh-CN"/>
                <w14:textFill>
                  <w14:solidFill>
                    <w14:schemeClr w14:val="tx1"/>
                  </w14:solidFill>
                </w14:textFill>
              </w:rPr>
              <w:t>抛丸除锈、喷塑环节脉冲滤筒除尘设施故障处理效率降低至70%时</w:t>
            </w:r>
            <w:r>
              <w:rPr>
                <w:rFonts w:hint="default" w:ascii="Times New Roman" w:hAnsi="Times New Roman" w:cs="Times New Roman"/>
                <w:color w:val="000000" w:themeColor="text1"/>
                <w:sz w:val="24"/>
                <w:lang w:val="en-US" w:eastAsia="zh-CN"/>
                <w14:textFill>
                  <w14:solidFill>
                    <w14:schemeClr w14:val="tx1"/>
                  </w14:solidFill>
                </w14:textFill>
              </w:rPr>
              <w:t>DA002排气筒非正常排放情况。</w:t>
            </w:r>
          </w:p>
          <w:p w14:paraId="32003016">
            <w:pPr>
              <w:keepNext w:val="0"/>
              <w:keepLines/>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eastAsia="zh-CN"/>
                <w14:textFill>
                  <w14:solidFill>
                    <w14:schemeClr w14:val="tx1"/>
                  </w14:solidFill>
                </w14:textFill>
              </w:rPr>
              <w:t>表</w:t>
            </w: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4-5 非正常工况污染物排放情况</w:t>
            </w:r>
          </w:p>
          <w:tbl>
            <w:tblPr>
              <w:tblStyle w:val="3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
              <w:gridCol w:w="884"/>
              <w:gridCol w:w="610"/>
              <w:gridCol w:w="1314"/>
              <w:gridCol w:w="1188"/>
              <w:gridCol w:w="747"/>
              <w:gridCol w:w="802"/>
              <w:gridCol w:w="767"/>
              <w:gridCol w:w="749"/>
            </w:tblGrid>
            <w:tr w14:paraId="616A5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noWrap w:val="0"/>
                  <w:vAlign w:val="center"/>
                </w:tcPr>
                <w:p w14:paraId="46D69880">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t>非正常排放源</w:t>
                  </w:r>
                </w:p>
              </w:tc>
              <w:tc>
                <w:tcPr>
                  <w:tcW w:w="884" w:type="dxa"/>
                  <w:noWrap w:val="0"/>
                  <w:vAlign w:val="center"/>
                </w:tcPr>
                <w:p w14:paraId="62CBC4F4">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t>非正常排放原因</w:t>
                  </w:r>
                </w:p>
              </w:tc>
              <w:tc>
                <w:tcPr>
                  <w:tcW w:w="610" w:type="dxa"/>
                  <w:noWrap w:val="0"/>
                  <w:vAlign w:val="center"/>
                </w:tcPr>
                <w:p w14:paraId="6B1C203E">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t>污染物</w:t>
                  </w:r>
                </w:p>
              </w:tc>
              <w:tc>
                <w:tcPr>
                  <w:tcW w:w="1314" w:type="dxa"/>
                  <w:noWrap w:val="0"/>
                  <w:vAlign w:val="center"/>
                </w:tcPr>
                <w:p w14:paraId="7D1F4B78">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t>非正常</w:t>
                  </w: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排放浓度mg/m</w:t>
                  </w:r>
                  <w:r>
                    <w:rPr>
                      <w:rFonts w:hint="default" w:ascii="Times New Roman" w:hAnsi="Times New Roman" w:eastAsia="宋体" w:cs="Times New Roman"/>
                      <w:b w:val="0"/>
                      <w:bCs/>
                      <w:color w:val="000000" w:themeColor="text1"/>
                      <w:kern w:val="0"/>
                      <w:sz w:val="21"/>
                      <w:szCs w:val="21"/>
                      <w:highlight w:val="none"/>
                      <w:vertAlign w:val="superscript"/>
                      <w14:textFill>
                        <w14:solidFill>
                          <w14:schemeClr w14:val="tx1"/>
                        </w14:solidFill>
                      </w14:textFill>
                    </w:rPr>
                    <w:t>3</w:t>
                  </w:r>
                </w:p>
              </w:tc>
              <w:tc>
                <w:tcPr>
                  <w:tcW w:w="1188" w:type="dxa"/>
                  <w:noWrap w:val="0"/>
                  <w:vAlign w:val="center"/>
                </w:tcPr>
                <w:p w14:paraId="7DD71BB8">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t>非正常排放速率</w:t>
                  </w: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/kg/h</w:t>
                  </w:r>
                </w:p>
              </w:tc>
              <w:tc>
                <w:tcPr>
                  <w:tcW w:w="747" w:type="dxa"/>
                  <w:noWrap w:val="0"/>
                  <w:vAlign w:val="center"/>
                </w:tcPr>
                <w:p w14:paraId="57A81C94">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t>实际</w:t>
                  </w: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治理效率</w:t>
                  </w:r>
                </w:p>
              </w:tc>
              <w:tc>
                <w:tcPr>
                  <w:tcW w:w="802" w:type="dxa"/>
                  <w:noWrap w:val="0"/>
                  <w:vAlign w:val="center"/>
                </w:tcPr>
                <w:p w14:paraId="2765ED6E">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t>单次持续时间</w:t>
                  </w: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/h</w:t>
                  </w:r>
                </w:p>
              </w:tc>
              <w:tc>
                <w:tcPr>
                  <w:tcW w:w="767" w:type="dxa"/>
                  <w:noWrap w:val="0"/>
                  <w:vAlign w:val="center"/>
                </w:tcPr>
                <w:p w14:paraId="10A558CF">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t>年发生频次</w:t>
                  </w: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/次</w:t>
                  </w:r>
                </w:p>
              </w:tc>
              <w:tc>
                <w:tcPr>
                  <w:tcW w:w="464" w:type="pct"/>
                  <w:noWrap w:val="0"/>
                  <w:vAlign w:val="center"/>
                </w:tcPr>
                <w:p w14:paraId="63649AD3">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t>应对措施</w:t>
                  </w:r>
                </w:p>
              </w:tc>
            </w:tr>
            <w:tr w14:paraId="5D70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Merge w:val="restart"/>
                  <w:noWrap w:val="0"/>
                  <w:vAlign w:val="center"/>
                </w:tcPr>
                <w:p w14:paraId="19123830">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DA001</w:t>
                  </w:r>
                </w:p>
              </w:tc>
              <w:tc>
                <w:tcPr>
                  <w:tcW w:w="884" w:type="dxa"/>
                  <w:noWrap w:val="0"/>
                  <w:vAlign w:val="center"/>
                </w:tcPr>
                <w:p w14:paraId="2BA395E6">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t>除尘设施效率降低</w:t>
                  </w:r>
                </w:p>
              </w:tc>
              <w:tc>
                <w:tcPr>
                  <w:tcW w:w="610" w:type="dxa"/>
                  <w:noWrap w:val="0"/>
                  <w:vAlign w:val="center"/>
                </w:tcPr>
                <w:p w14:paraId="5DE9C34B">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t>颗粒物</w:t>
                  </w:r>
                </w:p>
              </w:tc>
              <w:tc>
                <w:tcPr>
                  <w:tcW w:w="1314" w:type="dxa"/>
                  <w:noWrap w:val="0"/>
                  <w:vAlign w:val="center"/>
                </w:tcPr>
                <w:p w14:paraId="26F2FE90">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280.7</w:t>
                  </w: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9</w:t>
                  </w:r>
                </w:p>
              </w:tc>
              <w:tc>
                <w:tcPr>
                  <w:tcW w:w="1188" w:type="dxa"/>
                  <w:noWrap w:val="0"/>
                  <w:vAlign w:val="center"/>
                </w:tcPr>
                <w:p w14:paraId="6676C2F9">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1.123</w:t>
                  </w:r>
                </w:p>
              </w:tc>
              <w:tc>
                <w:tcPr>
                  <w:tcW w:w="747" w:type="dxa"/>
                  <w:noWrap w:val="0"/>
                  <w:vAlign w:val="center"/>
                </w:tcPr>
                <w:p w14:paraId="3F197869">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70</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w:t>
                  </w:r>
                </w:p>
              </w:tc>
              <w:tc>
                <w:tcPr>
                  <w:tcW w:w="802" w:type="dxa"/>
                  <w:noWrap w:val="0"/>
                  <w:vAlign w:val="center"/>
                </w:tcPr>
                <w:p w14:paraId="53C193A1">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1</w:t>
                  </w:r>
                </w:p>
              </w:tc>
              <w:tc>
                <w:tcPr>
                  <w:tcW w:w="767" w:type="dxa"/>
                  <w:noWrap w:val="0"/>
                  <w:vAlign w:val="center"/>
                </w:tcPr>
                <w:p w14:paraId="7129EEE1">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1</w:t>
                  </w:r>
                </w:p>
              </w:tc>
              <w:tc>
                <w:tcPr>
                  <w:tcW w:w="464" w:type="pct"/>
                  <w:vMerge w:val="restart"/>
                  <w:noWrap w:val="0"/>
                  <w:vAlign w:val="center"/>
                </w:tcPr>
                <w:p w14:paraId="64E40D69">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设备关停检修</w:t>
                  </w:r>
                </w:p>
              </w:tc>
            </w:tr>
            <w:tr w14:paraId="00E2C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Merge w:val="continue"/>
                  <w:noWrap w:val="0"/>
                  <w:vAlign w:val="center"/>
                </w:tcPr>
                <w:p w14:paraId="566DFB3B">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p>
              </w:tc>
              <w:tc>
                <w:tcPr>
                  <w:tcW w:w="884" w:type="dxa"/>
                  <w:noWrap w:val="0"/>
                  <w:vAlign w:val="center"/>
                </w:tcPr>
                <w:p w14:paraId="55057757">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t>除尘设施效率降低</w:t>
                  </w:r>
                </w:p>
              </w:tc>
              <w:tc>
                <w:tcPr>
                  <w:tcW w:w="610" w:type="dxa"/>
                  <w:noWrap w:val="0"/>
                  <w:vAlign w:val="center"/>
                </w:tcPr>
                <w:p w14:paraId="6B8DF5E3">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t>二氧化硫</w:t>
                  </w:r>
                </w:p>
              </w:tc>
              <w:tc>
                <w:tcPr>
                  <w:tcW w:w="1314" w:type="dxa"/>
                  <w:noWrap w:val="0"/>
                  <w:vAlign w:val="center"/>
                </w:tcPr>
                <w:p w14:paraId="3A2A14B9">
                  <w:pPr>
                    <w:keepNext w:val="0"/>
                    <w:keepLines/>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6.89</w:t>
                  </w:r>
                </w:p>
              </w:tc>
              <w:tc>
                <w:tcPr>
                  <w:tcW w:w="1188" w:type="dxa"/>
                  <w:noWrap w:val="0"/>
                  <w:vAlign w:val="center"/>
                </w:tcPr>
                <w:p w14:paraId="346C1482">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0.0276</w:t>
                  </w:r>
                </w:p>
              </w:tc>
              <w:tc>
                <w:tcPr>
                  <w:tcW w:w="747" w:type="dxa"/>
                  <w:noWrap w:val="0"/>
                  <w:vAlign w:val="center"/>
                </w:tcPr>
                <w:p w14:paraId="4EA54969">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50</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w:t>
                  </w:r>
                </w:p>
              </w:tc>
              <w:tc>
                <w:tcPr>
                  <w:tcW w:w="802" w:type="dxa"/>
                  <w:noWrap w:val="0"/>
                  <w:vAlign w:val="center"/>
                </w:tcPr>
                <w:p w14:paraId="2BC01ECA">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1</w:t>
                  </w:r>
                </w:p>
              </w:tc>
              <w:tc>
                <w:tcPr>
                  <w:tcW w:w="767" w:type="dxa"/>
                  <w:noWrap w:val="0"/>
                  <w:vAlign w:val="center"/>
                </w:tcPr>
                <w:p w14:paraId="7C854AD6">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1</w:t>
                  </w:r>
                </w:p>
              </w:tc>
              <w:tc>
                <w:tcPr>
                  <w:tcW w:w="464" w:type="pct"/>
                  <w:vMerge w:val="continue"/>
                  <w:noWrap w:val="0"/>
                  <w:vAlign w:val="center"/>
                </w:tcPr>
                <w:p w14:paraId="1C179C9A">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p>
              </w:tc>
            </w:tr>
            <w:tr w14:paraId="34BDA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noWrap w:val="0"/>
                  <w:vAlign w:val="center"/>
                </w:tcPr>
                <w:p w14:paraId="0EE55049">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DA002</w:t>
                  </w:r>
                </w:p>
              </w:tc>
              <w:tc>
                <w:tcPr>
                  <w:tcW w:w="884" w:type="dxa"/>
                  <w:noWrap w:val="0"/>
                  <w:vAlign w:val="center"/>
                </w:tcPr>
                <w:p w14:paraId="4407F205">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t>除尘设施效率降低</w:t>
                  </w:r>
                </w:p>
              </w:tc>
              <w:tc>
                <w:tcPr>
                  <w:tcW w:w="610" w:type="dxa"/>
                  <w:noWrap w:val="0"/>
                  <w:vAlign w:val="center"/>
                </w:tcPr>
                <w:p w14:paraId="0C00A2E0">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t>颗粒物</w:t>
                  </w:r>
                </w:p>
              </w:tc>
              <w:tc>
                <w:tcPr>
                  <w:tcW w:w="1314" w:type="dxa"/>
                  <w:noWrap w:val="0"/>
                  <w:vAlign w:val="center"/>
                </w:tcPr>
                <w:p w14:paraId="787EE145">
                  <w:pPr>
                    <w:keepNext w:val="0"/>
                    <w:keepLines/>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247.5</w:t>
                  </w:r>
                </w:p>
              </w:tc>
              <w:tc>
                <w:tcPr>
                  <w:tcW w:w="1188" w:type="dxa"/>
                  <w:noWrap w:val="0"/>
                  <w:vAlign w:val="center"/>
                </w:tcPr>
                <w:p w14:paraId="46CC699D">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0.9900</w:t>
                  </w:r>
                </w:p>
              </w:tc>
              <w:tc>
                <w:tcPr>
                  <w:tcW w:w="747" w:type="dxa"/>
                  <w:noWrap w:val="0"/>
                  <w:vAlign w:val="center"/>
                </w:tcPr>
                <w:p w14:paraId="6965011A">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70%</w:t>
                  </w:r>
                </w:p>
              </w:tc>
              <w:tc>
                <w:tcPr>
                  <w:tcW w:w="802" w:type="dxa"/>
                  <w:noWrap w:val="0"/>
                  <w:vAlign w:val="center"/>
                </w:tcPr>
                <w:p w14:paraId="0B068297">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1</w:t>
                  </w:r>
                </w:p>
              </w:tc>
              <w:tc>
                <w:tcPr>
                  <w:tcW w:w="767" w:type="dxa"/>
                  <w:noWrap w:val="0"/>
                  <w:vAlign w:val="center"/>
                </w:tcPr>
                <w:p w14:paraId="186248BC">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1</w:t>
                  </w:r>
                </w:p>
              </w:tc>
              <w:tc>
                <w:tcPr>
                  <w:tcW w:w="464" w:type="pct"/>
                  <w:vMerge w:val="continue"/>
                  <w:noWrap w:val="0"/>
                  <w:vAlign w:val="center"/>
                </w:tcPr>
                <w:p w14:paraId="261A1442">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p>
              </w:tc>
            </w:tr>
          </w:tbl>
          <w:p w14:paraId="5F09C65C">
            <w:pPr>
              <w:keepNext w:val="0"/>
              <w:keepLines/>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表4</w:t>
            </w: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cs="Times New Roman"/>
                <w:b/>
                <w:color w:val="000000" w:themeColor="text1"/>
                <w:kern w:val="0"/>
                <w:sz w:val="21"/>
                <w:szCs w:val="21"/>
                <w:highlight w:val="none"/>
                <w:lang w:val="en-US" w:eastAsia="zh-CN"/>
                <w14:textFill>
                  <w14:solidFill>
                    <w14:schemeClr w14:val="tx1"/>
                  </w14:solidFill>
                </w14:textFill>
              </w:rPr>
              <w:t>6</w:t>
            </w: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非正常情况下项目有组织</w:t>
            </w:r>
            <w:r>
              <w:rPr>
                <w:rFonts w:hint="default" w:ascii="Times New Roman" w:hAnsi="Times New Roman" w:eastAsia="宋体" w:cs="Times New Roman"/>
                <w:b/>
                <w:color w:val="000000" w:themeColor="text1"/>
                <w:kern w:val="0"/>
                <w:sz w:val="21"/>
                <w:szCs w:val="21"/>
                <w:highlight w:val="none"/>
                <w:lang w:eastAsia="zh-CN"/>
                <w14:textFill>
                  <w14:solidFill>
                    <w14:schemeClr w14:val="tx1"/>
                  </w14:solidFill>
                </w14:textFill>
              </w:rPr>
              <w:t>废气</w:t>
            </w: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排放达标分析表</w:t>
            </w:r>
          </w:p>
          <w:tbl>
            <w:tblPr>
              <w:tblStyle w:val="3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40"/>
              <w:gridCol w:w="1385"/>
              <w:gridCol w:w="699"/>
              <w:gridCol w:w="1918"/>
              <w:gridCol w:w="1798"/>
              <w:gridCol w:w="1227"/>
            </w:tblGrid>
            <w:tr w14:paraId="72E07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4" w:type="pct"/>
                  <w:shd w:val="clear" w:color="000000" w:fill="FFFFFF"/>
                  <w:noWrap w:val="0"/>
                  <w:vAlign w:val="center"/>
                </w:tcPr>
                <w:p w14:paraId="3552B228">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污染源</w:t>
                  </w:r>
                </w:p>
              </w:tc>
              <w:tc>
                <w:tcPr>
                  <w:tcW w:w="858" w:type="pct"/>
                  <w:shd w:val="clear" w:color="000000" w:fill="FFFFFF"/>
                  <w:noWrap w:val="0"/>
                  <w:vAlign w:val="center"/>
                </w:tcPr>
                <w:p w14:paraId="1CEFC390">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污染物</w:t>
                  </w:r>
                </w:p>
              </w:tc>
              <w:tc>
                <w:tcPr>
                  <w:tcW w:w="433" w:type="pct"/>
                  <w:shd w:val="clear" w:color="000000" w:fill="FFFFFF"/>
                  <w:noWrap w:val="0"/>
                  <w:vAlign w:val="center"/>
                </w:tcPr>
                <w:p w14:paraId="3C7A5250">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治理效率</w:t>
                  </w:r>
                </w:p>
              </w:tc>
              <w:tc>
                <w:tcPr>
                  <w:tcW w:w="1188" w:type="pct"/>
                  <w:shd w:val="clear" w:color="000000" w:fill="FFFFFF"/>
                  <w:noWrap w:val="0"/>
                  <w:vAlign w:val="center"/>
                </w:tcPr>
                <w:p w14:paraId="7F1937EE">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排放浓度mg/m</w:t>
                  </w:r>
                  <w:r>
                    <w:rPr>
                      <w:rFonts w:hint="default" w:ascii="Times New Roman" w:hAnsi="Times New Roman" w:eastAsia="宋体" w:cs="Times New Roman"/>
                      <w:b/>
                      <w:bCs w:val="0"/>
                      <w:color w:val="000000" w:themeColor="text1"/>
                      <w:kern w:val="0"/>
                      <w:sz w:val="21"/>
                      <w:szCs w:val="21"/>
                      <w:highlight w:val="none"/>
                      <w:vertAlign w:val="superscript"/>
                      <w14:textFill>
                        <w14:solidFill>
                          <w14:schemeClr w14:val="tx1"/>
                        </w14:solidFill>
                      </w14:textFill>
                    </w:rPr>
                    <w:t>3</w:t>
                  </w:r>
                </w:p>
              </w:tc>
              <w:tc>
                <w:tcPr>
                  <w:tcW w:w="1114" w:type="pct"/>
                  <w:shd w:val="clear" w:color="000000" w:fill="FFFFFF"/>
                  <w:noWrap w:val="0"/>
                  <w:vAlign w:val="center"/>
                </w:tcPr>
                <w:p w14:paraId="5D6CBF34">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标准限值mg/m3</w:t>
                  </w:r>
                </w:p>
              </w:tc>
              <w:tc>
                <w:tcPr>
                  <w:tcW w:w="760" w:type="pct"/>
                  <w:shd w:val="clear" w:color="000000" w:fill="FFFFFF"/>
                  <w:noWrap w:val="0"/>
                  <w:vAlign w:val="center"/>
                </w:tcPr>
                <w:p w14:paraId="1FBB13B8">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达标情况</w:t>
                  </w:r>
                </w:p>
              </w:tc>
            </w:tr>
            <w:tr w14:paraId="22596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4" w:type="pct"/>
                  <w:vMerge w:val="restart"/>
                  <w:shd w:val="clear" w:color="000000" w:fill="FFFFFF"/>
                  <w:noWrap w:val="0"/>
                  <w:vAlign w:val="center"/>
                </w:tcPr>
                <w:p w14:paraId="39740BF7">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lang w:val="en-US" w:eastAsia="zh-CN"/>
                      <w14:textFill>
                        <w14:solidFill>
                          <w14:schemeClr w14:val="tx1"/>
                        </w14:solidFill>
                      </w14:textFill>
                    </w:rPr>
                    <w:t>DA001</w:t>
                  </w:r>
                </w:p>
              </w:tc>
              <w:tc>
                <w:tcPr>
                  <w:tcW w:w="858" w:type="pct"/>
                  <w:shd w:val="clear" w:color="000000" w:fill="FFFFFF"/>
                  <w:noWrap w:val="0"/>
                  <w:vAlign w:val="center"/>
                </w:tcPr>
                <w:p w14:paraId="00DACEB1">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t>颗粒物</w:t>
                  </w:r>
                </w:p>
              </w:tc>
              <w:tc>
                <w:tcPr>
                  <w:tcW w:w="433" w:type="pct"/>
                  <w:shd w:val="clear" w:color="000000" w:fill="FFFFFF"/>
                  <w:noWrap w:val="0"/>
                  <w:vAlign w:val="center"/>
                </w:tcPr>
                <w:p w14:paraId="685476AC">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70</w:t>
                  </w:r>
                </w:p>
              </w:tc>
              <w:tc>
                <w:tcPr>
                  <w:tcW w:w="1930" w:type="dxa"/>
                  <w:shd w:val="clear" w:color="000000" w:fill="FFFFFF"/>
                  <w:noWrap w:val="0"/>
                  <w:vAlign w:val="center"/>
                </w:tcPr>
                <w:p w14:paraId="6A169655">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280.788</w:t>
                  </w:r>
                </w:p>
              </w:tc>
              <w:tc>
                <w:tcPr>
                  <w:tcW w:w="1114" w:type="pct"/>
                  <w:shd w:val="clear" w:color="000000" w:fill="FFFFFF"/>
                  <w:noWrap w:val="0"/>
                  <w:vAlign w:val="center"/>
                </w:tcPr>
                <w:p w14:paraId="0240F5BA">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200</w:t>
                  </w:r>
                </w:p>
              </w:tc>
              <w:tc>
                <w:tcPr>
                  <w:tcW w:w="760" w:type="pct"/>
                  <w:shd w:val="clear" w:color="000000" w:fill="FFFFFF"/>
                  <w:noWrap w:val="0"/>
                  <w:vAlign w:val="center"/>
                </w:tcPr>
                <w:p w14:paraId="5ABA34CB">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eastAsia="zh-CN"/>
                      <w14:textFill>
                        <w14:solidFill>
                          <w14:schemeClr w14:val="tx1"/>
                        </w14:solidFill>
                      </w14:textFill>
                    </w:rPr>
                    <w:t>超标</w:t>
                  </w:r>
                </w:p>
              </w:tc>
            </w:tr>
            <w:tr w14:paraId="38898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4" w:type="pct"/>
                  <w:vMerge w:val="continue"/>
                  <w:shd w:val="clear" w:color="000000" w:fill="FFFFFF"/>
                  <w:noWrap w:val="0"/>
                  <w:vAlign w:val="center"/>
                </w:tcPr>
                <w:p w14:paraId="7A22D487">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pPr>
                </w:p>
              </w:tc>
              <w:tc>
                <w:tcPr>
                  <w:tcW w:w="858" w:type="pct"/>
                  <w:shd w:val="clear" w:color="000000" w:fill="FFFFFF"/>
                  <w:noWrap w:val="0"/>
                  <w:vAlign w:val="center"/>
                </w:tcPr>
                <w:p w14:paraId="2ECFCDC0">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二氧化硫</w:t>
                  </w:r>
                </w:p>
              </w:tc>
              <w:tc>
                <w:tcPr>
                  <w:tcW w:w="433" w:type="pct"/>
                  <w:shd w:val="clear" w:color="000000" w:fill="FFFFFF"/>
                  <w:noWrap w:val="0"/>
                  <w:vAlign w:val="center"/>
                </w:tcPr>
                <w:p w14:paraId="74D8F843">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lang w:val="en-US" w:eastAsia="zh-CN"/>
                      <w14:textFill>
                        <w14:solidFill>
                          <w14:schemeClr w14:val="tx1"/>
                        </w14:solidFill>
                      </w14:textFill>
                    </w:rPr>
                    <w:t>50</w:t>
                  </w:r>
                </w:p>
              </w:tc>
              <w:tc>
                <w:tcPr>
                  <w:tcW w:w="1930" w:type="dxa"/>
                  <w:shd w:val="clear" w:color="000000" w:fill="FFFFFF"/>
                  <w:noWrap w:val="0"/>
                  <w:vAlign w:val="center"/>
                </w:tcPr>
                <w:p w14:paraId="6A48C404">
                  <w:pPr>
                    <w:keepNext w:val="0"/>
                    <w:keepLines/>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6.89</w:t>
                  </w:r>
                </w:p>
              </w:tc>
              <w:tc>
                <w:tcPr>
                  <w:tcW w:w="1114" w:type="pct"/>
                  <w:shd w:val="clear" w:color="000000" w:fill="FFFFFF"/>
                  <w:noWrap w:val="0"/>
                  <w:vAlign w:val="center"/>
                </w:tcPr>
                <w:p w14:paraId="04DF6B62">
                  <w:pPr>
                    <w:keepNext w:val="0"/>
                    <w:keepLines/>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lang w:val="en-US" w:eastAsia="zh-CN"/>
                      <w14:textFill>
                        <w14:solidFill>
                          <w14:schemeClr w14:val="tx1"/>
                        </w14:solidFill>
                      </w14:textFill>
                    </w:rPr>
                    <w:t>550</w:t>
                  </w:r>
                </w:p>
              </w:tc>
              <w:tc>
                <w:tcPr>
                  <w:tcW w:w="760" w:type="pct"/>
                  <w:shd w:val="clear" w:color="000000" w:fill="FFFFFF"/>
                  <w:noWrap w:val="0"/>
                  <w:vAlign w:val="center"/>
                </w:tcPr>
                <w:p w14:paraId="68E1D7C1">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lang w:eastAsia="zh-CN"/>
                      <w14:textFill>
                        <w14:solidFill>
                          <w14:schemeClr w14:val="tx1"/>
                        </w14:solidFill>
                      </w14:textFill>
                    </w:rPr>
                    <w:t>达标</w:t>
                  </w:r>
                </w:p>
              </w:tc>
            </w:tr>
            <w:tr w14:paraId="60011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4" w:type="pct"/>
                  <w:shd w:val="clear" w:color="000000" w:fill="FFFFFF"/>
                  <w:noWrap w:val="0"/>
                  <w:vAlign w:val="center"/>
                </w:tcPr>
                <w:p w14:paraId="102611EF">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DA002</w:t>
                  </w:r>
                </w:p>
              </w:tc>
              <w:tc>
                <w:tcPr>
                  <w:tcW w:w="858" w:type="pct"/>
                  <w:shd w:val="clear" w:color="000000" w:fill="FFFFFF"/>
                  <w:noWrap w:val="0"/>
                  <w:vAlign w:val="center"/>
                </w:tcPr>
                <w:p w14:paraId="7335890B">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t>颗粒物</w:t>
                  </w:r>
                </w:p>
              </w:tc>
              <w:tc>
                <w:tcPr>
                  <w:tcW w:w="433" w:type="pct"/>
                  <w:shd w:val="clear" w:color="000000" w:fill="FFFFFF"/>
                  <w:noWrap w:val="0"/>
                  <w:vAlign w:val="center"/>
                </w:tcPr>
                <w:p w14:paraId="3BD3A950">
                  <w:pPr>
                    <w:keepNext w:val="0"/>
                    <w:keepLines/>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70</w:t>
                  </w:r>
                </w:p>
              </w:tc>
              <w:tc>
                <w:tcPr>
                  <w:tcW w:w="1930" w:type="dxa"/>
                  <w:shd w:val="clear" w:color="000000" w:fill="FFFFFF"/>
                  <w:noWrap w:val="0"/>
                  <w:vAlign w:val="center"/>
                </w:tcPr>
                <w:p w14:paraId="27012A00">
                  <w:pPr>
                    <w:keepNext w:val="0"/>
                    <w:keepLines/>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247.5</w:t>
                  </w:r>
                </w:p>
              </w:tc>
              <w:tc>
                <w:tcPr>
                  <w:tcW w:w="1114" w:type="pct"/>
                  <w:shd w:val="clear" w:color="000000" w:fill="FFFFFF"/>
                  <w:noWrap w:val="0"/>
                  <w:vAlign w:val="center"/>
                </w:tcPr>
                <w:p w14:paraId="27F8683B">
                  <w:pPr>
                    <w:keepNext w:val="0"/>
                    <w:keepLines/>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lang w:val="en-US" w:eastAsia="zh-CN"/>
                      <w14:textFill>
                        <w14:solidFill>
                          <w14:schemeClr w14:val="tx1"/>
                        </w14:solidFill>
                      </w14:textFill>
                    </w:rPr>
                    <w:t>120</w:t>
                  </w:r>
                </w:p>
              </w:tc>
              <w:tc>
                <w:tcPr>
                  <w:tcW w:w="760" w:type="pct"/>
                  <w:shd w:val="clear" w:color="000000" w:fill="FFFFFF"/>
                  <w:noWrap w:val="0"/>
                  <w:vAlign w:val="center"/>
                </w:tcPr>
                <w:p w14:paraId="357CB6B6">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eastAsia="zh-CN"/>
                      <w14:textFill>
                        <w14:solidFill>
                          <w14:schemeClr w14:val="tx1"/>
                        </w14:solidFill>
                      </w14:textFill>
                    </w:rPr>
                    <w:t>超标</w:t>
                  </w:r>
                </w:p>
              </w:tc>
            </w:tr>
          </w:tbl>
          <w:p w14:paraId="46A14AAA">
            <w:pPr>
              <w:keepNext w:val="0"/>
              <w:keepLines/>
              <w:pageBreakBefore w:val="0"/>
              <w:kinsoku/>
              <w:overflowPunct/>
              <w:bidi w:val="0"/>
              <w:adjustRightInd/>
              <w:snapToGrid/>
              <w:spacing w:line="360" w:lineRule="auto"/>
              <w:ind w:firstLine="480" w:firstLineChars="200"/>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由上表可知，若设备故障，处理效率降低至</w:t>
            </w:r>
            <w:r>
              <w:rPr>
                <w:rFonts w:hint="default" w:ascii="Times New Roman" w:hAnsi="Times New Roman" w:cs="Times New Roman"/>
                <w:b w:val="0"/>
                <w:bCs w:val="0"/>
                <w:color w:val="000000" w:themeColor="text1"/>
                <w:sz w:val="24"/>
                <w:lang w:val="en-US" w:eastAsia="zh-CN"/>
                <w14:textFill>
                  <w14:solidFill>
                    <w14:schemeClr w14:val="tx1"/>
                  </w14:solidFill>
                </w14:textFill>
              </w:rPr>
              <w:t>70</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时，</w:t>
            </w:r>
            <w:r>
              <w:rPr>
                <w:rFonts w:hint="default" w:ascii="Times New Roman" w:hAnsi="Times New Roman" w:cs="Times New Roman"/>
                <w:b w:val="0"/>
                <w:bCs w:val="0"/>
                <w:color w:val="000000" w:themeColor="text1"/>
                <w:sz w:val="24"/>
                <w:lang w:val="en-US" w:eastAsia="zh-CN"/>
                <w14:textFill>
                  <w14:solidFill>
                    <w14:schemeClr w14:val="tx1"/>
                  </w14:solidFill>
                </w14:textFill>
              </w:rPr>
              <w:t>颗粒物</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排放浓度超过《工业炉窑大气污染物排放标准》</w:t>
            </w:r>
            <w:r>
              <w:rPr>
                <w:rFonts w:hint="default" w:ascii="Times New Roman" w:hAnsi="Times New Roman"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GB9078－1996）、《大气污染物综合排放标准》（GB16297-1996）标准限值，对环境造成的影响。</w:t>
            </w:r>
          </w:p>
          <w:p w14:paraId="76163437">
            <w:pPr>
              <w:keepNext w:val="0"/>
              <w:keepLines/>
              <w:pageBreakBefore w:val="0"/>
              <w:kinsoku/>
              <w:overflowPunct/>
              <w:bidi w:val="0"/>
              <w:adjustRightInd/>
              <w:snapToGrid/>
              <w:spacing w:line="360" w:lineRule="auto"/>
              <w:ind w:firstLine="480" w:firstLineChars="200"/>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cs="Times New Roman"/>
                <w:b w:val="0"/>
                <w:bCs w:val="0"/>
                <w:color w:val="000000" w:themeColor="text1"/>
                <w:sz w:val="24"/>
                <w:lang w:val="en-US" w:eastAsia="zh-CN"/>
                <w14:textFill>
                  <w14:solidFill>
                    <w14:schemeClr w14:val="tx1"/>
                  </w14:solidFill>
                </w14:textFill>
              </w:rPr>
              <w:t>故</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当出现非正常排放时，建设单位要及时对设备关停检修，杜绝废气非正常排放的发生，尽量控制对周围环境的影响。为避免非正常工况，应对废气处理设施进行日常检查及定期维护，事故排放现象一旦被发现，应立即停产检修，待正常运行后才可投入生产。</w:t>
            </w:r>
          </w:p>
          <w:p w14:paraId="24765459">
            <w:pPr>
              <w:pStyle w:val="20"/>
              <w:keepNext w:val="0"/>
              <w:keepLines/>
              <w:pageBreakBefore w:val="0"/>
              <w:widowControl w:val="0"/>
              <w:kinsoku/>
              <w:wordWrap/>
              <w:overflowPunct/>
              <w:topLinePunct w:val="0"/>
              <w:autoSpaceDE w:val="0"/>
              <w:autoSpaceDN w:val="0"/>
              <w:bidi w:val="0"/>
              <w:adjustRightInd/>
              <w:snapToGrid/>
              <w:spacing w:line="360" w:lineRule="auto"/>
              <w:ind w:firstLine="482"/>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2）无组织废气达标情况分析</w:t>
            </w:r>
          </w:p>
          <w:p w14:paraId="55380C8A">
            <w:pPr>
              <w:pStyle w:val="20"/>
              <w:keepNext w:val="0"/>
              <w:keepLines/>
              <w:pageBreakBefore w:val="0"/>
              <w:kinsoku/>
              <w:overflowPunct/>
              <w:bidi w:val="0"/>
              <w:adjustRightInd/>
              <w:snapToGrid/>
              <w:spacing w:line="360" w:lineRule="auto"/>
              <w:ind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本项目无组织废气主要为</w:t>
            </w:r>
            <w:r>
              <w:rPr>
                <w:rFonts w:hint="default" w:ascii="Times New Roman" w:hAnsi="Times New Roman" w:cs="Times New Roman"/>
                <w:color w:val="000000" w:themeColor="text1"/>
                <w:sz w:val="24"/>
                <w:szCs w:val="24"/>
                <w:lang w:val="en-US" w:eastAsia="zh-CN"/>
                <w14:textFill>
                  <w14:solidFill>
                    <w14:schemeClr w14:val="tx1"/>
                  </w14:solidFill>
                </w14:textFill>
              </w:rPr>
              <w:t>NMHC</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，通过规范生产操作，并在车间设置通排风系统，废气经排风扇排出；同时要求员工做好个人防护措施，以尽量减轻废气排放对员工健康的影响。</w:t>
            </w:r>
          </w:p>
          <w:p w14:paraId="566A2853">
            <w:pPr>
              <w:pStyle w:val="20"/>
              <w:keepNext w:val="0"/>
              <w:keepLines/>
              <w:pageBreakBefore w:val="0"/>
              <w:widowControl w:val="0"/>
              <w:kinsoku/>
              <w:wordWrap w:val="0"/>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本评价采用《环境影响评价技术导则大气环境》（HJ2.2-2018）推荐的AERSCREEN模型进行预测，其预测参数如下：</w:t>
            </w:r>
          </w:p>
          <w:p w14:paraId="26B18769">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表</w:t>
            </w: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4-8 </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AERSCREEN模型预测参数表</w:t>
            </w:r>
          </w:p>
          <w:tbl>
            <w:tblPr>
              <w:tblStyle w:val="33"/>
              <w:tblW w:w="4985"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680"/>
              <w:gridCol w:w="2688"/>
              <w:gridCol w:w="2683"/>
            </w:tblGrid>
            <w:tr w14:paraId="4015CF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3333" w:type="pct"/>
                  <w:gridSpan w:val="2"/>
                  <w:vAlign w:val="center"/>
                </w:tcPr>
                <w:p w14:paraId="0ED1A69A">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参数</w:t>
                  </w:r>
                </w:p>
              </w:tc>
              <w:tc>
                <w:tcPr>
                  <w:tcW w:w="1666" w:type="pct"/>
                  <w:vAlign w:val="center"/>
                </w:tcPr>
                <w:p w14:paraId="60DD1CF9">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取值</w:t>
                  </w:r>
                </w:p>
              </w:tc>
            </w:tr>
            <w:tr w14:paraId="21CFB1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664" w:type="pct"/>
                  <w:vMerge w:val="restart"/>
                  <w:vAlign w:val="center"/>
                </w:tcPr>
                <w:p w14:paraId="599AA86A">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城市/农村选项</w:t>
                  </w:r>
                </w:p>
              </w:tc>
              <w:tc>
                <w:tcPr>
                  <w:tcW w:w="1668" w:type="pct"/>
                  <w:vAlign w:val="center"/>
                </w:tcPr>
                <w:p w14:paraId="4EE59B4C">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城市/农村</w:t>
                  </w:r>
                </w:p>
              </w:tc>
              <w:tc>
                <w:tcPr>
                  <w:tcW w:w="1666" w:type="pct"/>
                  <w:vAlign w:val="center"/>
                </w:tcPr>
                <w:p w14:paraId="4B3E99D8">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农村</w:t>
                  </w:r>
                </w:p>
              </w:tc>
            </w:tr>
            <w:tr w14:paraId="19D26D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664" w:type="pct"/>
                  <w:vMerge w:val="continue"/>
                  <w:vAlign w:val="center"/>
                </w:tcPr>
                <w:p w14:paraId="4727C57B">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p>
              </w:tc>
              <w:tc>
                <w:tcPr>
                  <w:tcW w:w="1668" w:type="pct"/>
                  <w:vAlign w:val="center"/>
                </w:tcPr>
                <w:p w14:paraId="4ECE2AAF">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人口数</w:t>
                  </w:r>
                  <w:r>
                    <w:rPr>
                      <w:rFonts w:hint="default" w:ascii="Times New Roman" w:hAnsi="Times New Roman" w:cs="Times New Roman"/>
                      <w:b w:val="0"/>
                      <w:bCs/>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城市人口数</w:t>
                  </w:r>
                  <w:r>
                    <w:rPr>
                      <w:rFonts w:hint="default" w:ascii="Times New Roman" w:hAnsi="Times New Roman" w:cs="Times New Roman"/>
                      <w:b w:val="0"/>
                      <w:bCs/>
                      <w:color w:val="000000" w:themeColor="text1"/>
                      <w:kern w:val="0"/>
                      <w:sz w:val="21"/>
                      <w:szCs w:val="21"/>
                      <w:highlight w:val="none"/>
                      <w:lang w:val="en-US" w:eastAsia="zh-CN"/>
                      <w14:textFill>
                        <w14:solidFill>
                          <w14:schemeClr w14:val="tx1"/>
                        </w14:solidFill>
                      </w14:textFill>
                    </w:rPr>
                    <w:t>）</w:t>
                  </w:r>
                </w:p>
              </w:tc>
              <w:tc>
                <w:tcPr>
                  <w:tcW w:w="1666" w:type="pct"/>
                  <w:vAlign w:val="center"/>
                </w:tcPr>
                <w:p w14:paraId="35B5B9A1">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w:t>
                  </w:r>
                </w:p>
              </w:tc>
            </w:tr>
            <w:tr w14:paraId="6DDC396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3333" w:type="pct"/>
                  <w:gridSpan w:val="2"/>
                  <w:vAlign w:val="center"/>
                </w:tcPr>
                <w:p w14:paraId="6D607445">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最高环境温度</w:t>
                  </w:r>
                </w:p>
              </w:tc>
              <w:tc>
                <w:tcPr>
                  <w:tcW w:w="1666" w:type="pct"/>
                  <w:vAlign w:val="center"/>
                </w:tcPr>
                <w:p w14:paraId="012F8A8E">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34.4</w:t>
                  </w:r>
                </w:p>
              </w:tc>
            </w:tr>
            <w:tr w14:paraId="1846D1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3333" w:type="pct"/>
                  <w:gridSpan w:val="2"/>
                  <w:vAlign w:val="center"/>
                </w:tcPr>
                <w:p w14:paraId="632B07B2">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最低环境温度</w:t>
                  </w:r>
                </w:p>
              </w:tc>
              <w:tc>
                <w:tcPr>
                  <w:tcW w:w="1666" w:type="pct"/>
                  <w:vAlign w:val="center"/>
                </w:tcPr>
                <w:p w14:paraId="58B907B6">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-5.5</w:t>
                  </w:r>
                </w:p>
              </w:tc>
            </w:tr>
            <w:tr w14:paraId="75736EF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3333" w:type="pct"/>
                  <w:gridSpan w:val="2"/>
                  <w:vAlign w:val="center"/>
                </w:tcPr>
                <w:p w14:paraId="7B1C1995">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土地利用类型</w:t>
                  </w:r>
                </w:p>
              </w:tc>
              <w:tc>
                <w:tcPr>
                  <w:tcW w:w="1666" w:type="pct"/>
                  <w:vAlign w:val="center"/>
                </w:tcPr>
                <w:p w14:paraId="50BCA116">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农田</w:t>
                  </w:r>
                </w:p>
              </w:tc>
            </w:tr>
            <w:tr w14:paraId="3F388C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3333" w:type="pct"/>
                  <w:gridSpan w:val="2"/>
                  <w:vAlign w:val="center"/>
                </w:tcPr>
                <w:p w14:paraId="39E151D5">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区域湿度条件</w:t>
                  </w:r>
                </w:p>
              </w:tc>
              <w:tc>
                <w:tcPr>
                  <w:tcW w:w="1666" w:type="pct"/>
                  <w:vAlign w:val="center"/>
                </w:tcPr>
                <w:p w14:paraId="184E3CC2">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潮湿</w:t>
                  </w:r>
                </w:p>
              </w:tc>
            </w:tr>
            <w:tr w14:paraId="2276E6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664" w:type="pct"/>
                  <w:vMerge w:val="restart"/>
                  <w:vAlign w:val="center"/>
                </w:tcPr>
                <w:p w14:paraId="691B8B61">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是否考虑地形</w:t>
                  </w:r>
                </w:p>
              </w:tc>
              <w:tc>
                <w:tcPr>
                  <w:tcW w:w="1668" w:type="pct"/>
                  <w:vAlign w:val="center"/>
                </w:tcPr>
                <w:p w14:paraId="6A8B64B3">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考虑地形</w:t>
                  </w:r>
                </w:p>
              </w:tc>
              <w:tc>
                <w:tcPr>
                  <w:tcW w:w="1666" w:type="pct"/>
                  <w:vAlign w:val="center"/>
                </w:tcPr>
                <w:p w14:paraId="65B15673">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否</w:t>
                  </w:r>
                </w:p>
              </w:tc>
            </w:tr>
            <w:tr w14:paraId="1E145F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1664" w:type="pct"/>
                  <w:vMerge w:val="continue"/>
                  <w:vAlign w:val="center"/>
                </w:tcPr>
                <w:p w14:paraId="234AA0D0">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p>
              </w:tc>
              <w:tc>
                <w:tcPr>
                  <w:tcW w:w="1668" w:type="pct"/>
                  <w:vAlign w:val="center"/>
                </w:tcPr>
                <w:p w14:paraId="3FA9646B">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地形数据分辨率</w:t>
                  </w:r>
                  <w:r>
                    <w:rPr>
                      <w:rFonts w:hint="default" w:ascii="Times New Roman" w:hAnsi="Times New Roman" w:cs="Times New Roman"/>
                      <w:b w:val="0"/>
                      <w:bCs/>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m</w:t>
                  </w:r>
                  <w:r>
                    <w:rPr>
                      <w:rFonts w:hint="default" w:ascii="Times New Roman" w:hAnsi="Times New Roman" w:cs="Times New Roman"/>
                      <w:b w:val="0"/>
                      <w:bCs/>
                      <w:color w:val="000000" w:themeColor="text1"/>
                      <w:kern w:val="0"/>
                      <w:sz w:val="21"/>
                      <w:szCs w:val="21"/>
                      <w:highlight w:val="none"/>
                      <w:lang w:val="en-US" w:eastAsia="zh-CN"/>
                      <w14:textFill>
                        <w14:solidFill>
                          <w14:schemeClr w14:val="tx1"/>
                        </w14:solidFill>
                      </w14:textFill>
                    </w:rPr>
                    <w:t>）</w:t>
                  </w:r>
                </w:p>
              </w:tc>
              <w:tc>
                <w:tcPr>
                  <w:tcW w:w="1666" w:type="pct"/>
                  <w:vAlign w:val="center"/>
                </w:tcPr>
                <w:p w14:paraId="02155819">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w:t>
                  </w:r>
                </w:p>
              </w:tc>
            </w:tr>
            <w:tr w14:paraId="476650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664" w:type="pct"/>
                  <w:vMerge w:val="restart"/>
                  <w:vAlign w:val="center"/>
                </w:tcPr>
                <w:p w14:paraId="03B39F85">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是否考虑岸线熏烟</w:t>
                  </w:r>
                </w:p>
              </w:tc>
              <w:tc>
                <w:tcPr>
                  <w:tcW w:w="1668" w:type="pct"/>
                  <w:vAlign w:val="center"/>
                </w:tcPr>
                <w:p w14:paraId="100DFB83">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考虑岸线熏烟</w:t>
                  </w:r>
                </w:p>
              </w:tc>
              <w:tc>
                <w:tcPr>
                  <w:tcW w:w="1666" w:type="pct"/>
                  <w:vAlign w:val="center"/>
                </w:tcPr>
                <w:p w14:paraId="1818C3B0">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否</w:t>
                  </w:r>
                </w:p>
              </w:tc>
            </w:tr>
            <w:tr w14:paraId="463185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664" w:type="pct"/>
                  <w:vMerge w:val="continue"/>
                  <w:vAlign w:val="center"/>
                </w:tcPr>
                <w:p w14:paraId="135F6167">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p>
              </w:tc>
              <w:tc>
                <w:tcPr>
                  <w:tcW w:w="1668" w:type="pct"/>
                  <w:vAlign w:val="center"/>
                </w:tcPr>
                <w:p w14:paraId="17A4AD11">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岸线距离/m</w:t>
                  </w:r>
                </w:p>
              </w:tc>
              <w:tc>
                <w:tcPr>
                  <w:tcW w:w="1666" w:type="pct"/>
                  <w:vAlign w:val="center"/>
                </w:tcPr>
                <w:p w14:paraId="0DDD9C5D">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w:t>
                  </w:r>
                </w:p>
              </w:tc>
            </w:tr>
            <w:tr w14:paraId="66005B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664" w:type="pct"/>
                  <w:vMerge w:val="continue"/>
                  <w:vAlign w:val="center"/>
                </w:tcPr>
                <w:p w14:paraId="28935400">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p>
              </w:tc>
              <w:tc>
                <w:tcPr>
                  <w:tcW w:w="1668" w:type="pct"/>
                  <w:vAlign w:val="center"/>
                </w:tcPr>
                <w:p w14:paraId="77588D36">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岸线方向/°</w:t>
                  </w:r>
                </w:p>
              </w:tc>
              <w:tc>
                <w:tcPr>
                  <w:tcW w:w="1666" w:type="pct"/>
                  <w:vAlign w:val="center"/>
                </w:tcPr>
                <w:p w14:paraId="0A9EE864">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w:t>
                  </w:r>
                </w:p>
              </w:tc>
            </w:tr>
            <w:tr w14:paraId="6BE4F9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27" w:hRule="atLeast"/>
              </w:trPr>
              <w:tc>
                <w:tcPr>
                  <w:tcW w:w="1664" w:type="pct"/>
                  <w:vAlign w:val="center"/>
                </w:tcPr>
                <w:p w14:paraId="264FF562">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排放速率</w:t>
                  </w:r>
                </w:p>
              </w:tc>
              <w:tc>
                <w:tcPr>
                  <w:tcW w:w="1668" w:type="pct"/>
                  <w:vAlign w:val="center"/>
                </w:tcPr>
                <w:p w14:paraId="10428379">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非甲烷总烃</w:t>
                  </w:r>
                </w:p>
              </w:tc>
              <w:tc>
                <w:tcPr>
                  <w:tcW w:w="1666" w:type="pct"/>
                  <w:vAlign w:val="center"/>
                </w:tcPr>
                <w:p w14:paraId="63D9347B">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0.07183</w:t>
                  </w:r>
                </w:p>
              </w:tc>
            </w:tr>
          </w:tbl>
          <w:p w14:paraId="5870347C">
            <w:pPr>
              <w:keepNext w:val="0"/>
              <w:keepLines/>
              <w:pageBreakBefore w:val="0"/>
              <w:kinsoku/>
              <w:overflowPunct/>
              <w:bidi w:val="0"/>
              <w:adjustRightInd/>
              <w:snapToGrid/>
              <w:spacing w:line="360" w:lineRule="auto"/>
              <w:ind w:firstLine="480" w:firstLineChars="200"/>
              <w:rPr>
                <w:rFonts w:hint="eastAsia"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根据估算结果，本次项目</w:t>
            </w:r>
            <w:r>
              <w:rPr>
                <w:rFonts w:hint="default" w:ascii="Times New Roman" w:hAnsi="Times New Roman" w:eastAsia="宋体" w:cs="Times New Roman"/>
                <w:color w:val="000000" w:themeColor="text1"/>
                <w:sz w:val="24"/>
                <w:szCs w:val="24"/>
                <w14:textFill>
                  <w14:solidFill>
                    <w14:schemeClr w14:val="tx1"/>
                  </w14:solidFill>
                </w14:textFill>
              </w:rPr>
              <w:t>下风向最大浓度出现距离</w:t>
            </w:r>
            <w:r>
              <w:rPr>
                <w:rFonts w:hint="default" w:ascii="Times New Roman" w:hAnsi="Times New Roman" w:eastAsia="宋体" w:cs="Times New Roman"/>
                <w:color w:val="000000" w:themeColor="text1"/>
                <w:sz w:val="24"/>
                <w:szCs w:val="24"/>
                <w:lang w:eastAsia="zh-CN"/>
                <w14:textFill>
                  <w14:solidFill>
                    <w14:schemeClr w14:val="tx1"/>
                  </w14:solidFill>
                </w14:textFill>
              </w:rPr>
              <w:t>为</w:t>
            </w:r>
            <w:r>
              <w:rPr>
                <w:rFonts w:hint="default" w:ascii="Times New Roman" w:hAnsi="Times New Roman" w:cs="Times New Roman"/>
                <w:color w:val="000000" w:themeColor="text1"/>
                <w:sz w:val="24"/>
                <w:szCs w:val="24"/>
                <w:lang w:val="en-US" w:eastAsia="zh-CN"/>
                <w14:textFill>
                  <w14:solidFill>
                    <w14:schemeClr w14:val="tx1"/>
                  </w14:solidFill>
                </w14:textFill>
              </w:rPr>
              <w:t>61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m，非甲烷总烃下风向最大浓度为</w:t>
            </w:r>
            <w:r>
              <w:rPr>
                <w:rFonts w:hint="default" w:ascii="Times New Roman" w:hAnsi="Times New Roman" w:eastAsia="宋体" w:cs="Times New Roman"/>
                <w:b w:val="0"/>
                <w:color w:val="000000" w:themeColor="text1"/>
                <w:sz w:val="24"/>
                <w:szCs w:val="24"/>
                <w14:textFill>
                  <w14:solidFill>
                    <w14:schemeClr w14:val="tx1"/>
                  </w14:solidFill>
                </w14:textFill>
              </w:rPr>
              <w:t>50.2190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μg/m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cs="Times New Roman"/>
                <w:color w:val="000000" w:themeColor="text1"/>
                <w:sz w:val="24"/>
                <w:szCs w:val="24"/>
                <w:lang w:eastAsia="zh-CN"/>
                <w14:textFill>
                  <w14:solidFill>
                    <w14:schemeClr w14:val="tx1"/>
                  </w14:solidFill>
                </w14:textFill>
              </w:rPr>
              <w:t>。</w:t>
            </w:r>
          </w:p>
          <w:p w14:paraId="7F13E3BA">
            <w:pPr>
              <w:keepNext w:val="0"/>
              <w:keepLines/>
              <w:pageBreakBefore w:val="0"/>
              <w:kinsoku/>
              <w:overflowPunct/>
              <w:bidi w:val="0"/>
              <w:adjustRightInd/>
              <w:snapToGrid/>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本项目以下风向</w:t>
            </w:r>
            <w:r>
              <w:rPr>
                <w:rFonts w:hint="default" w:ascii="Times New Roman" w:hAnsi="Times New Roman" w:cs="Times New Roman"/>
                <w:color w:val="000000" w:themeColor="text1"/>
                <w:sz w:val="24"/>
                <w:szCs w:val="24"/>
                <w:lang w:val="en-US" w:eastAsia="zh-CN"/>
                <w14:textFill>
                  <w14:solidFill>
                    <w14:schemeClr w14:val="tx1"/>
                  </w14:solidFill>
                </w14:textFill>
              </w:rPr>
              <w:t>1m处浓度作为厂界浓度，</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非甲烷总烃下风向</w:t>
            </w:r>
            <w:r>
              <w:rPr>
                <w:rFonts w:hint="default" w:ascii="Times New Roman" w:hAnsi="Times New Roman" w:cs="Times New Roman"/>
                <w:color w:val="000000" w:themeColor="text1"/>
                <w:sz w:val="24"/>
                <w:szCs w:val="24"/>
                <w:lang w:val="en-US" w:eastAsia="zh-CN"/>
                <w14:textFill>
                  <w14:solidFill>
                    <w14:schemeClr w14:val="tx1"/>
                  </w14:solidFill>
                </w14:textFill>
              </w:rPr>
              <w:t>1m处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浓度为</w:t>
            </w:r>
            <w:r>
              <w:rPr>
                <w:rFonts w:hint="default" w:ascii="Times New Roman" w:hAnsi="Times New Roman" w:eastAsia="宋体" w:cs="Times New Roman"/>
                <w:b w:val="0"/>
                <w:color w:val="000000" w:themeColor="text1"/>
                <w:sz w:val="24"/>
                <w:szCs w:val="24"/>
                <w14:textFill>
                  <w14:solidFill>
                    <w14:schemeClr w14:val="tx1"/>
                  </w14:solidFill>
                </w14:textFill>
              </w:rPr>
              <w:t>28.3370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μg/m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厂界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最大落地浓度满足《大气污染物综合排放标准》（GB16297-1996）表2中无组织排放浓度，对周边环境影响较小</w:t>
            </w:r>
            <w:r>
              <w:rPr>
                <w:rFonts w:hint="default" w:ascii="Times New Roman" w:hAnsi="Times New Roman" w:cs="Times New Roman"/>
                <w:color w:val="000000" w:themeColor="text1"/>
                <w:sz w:val="24"/>
                <w:szCs w:val="24"/>
                <w:lang w:val="en-US" w:eastAsia="zh-CN"/>
                <w14:textFill>
                  <w14:solidFill>
                    <w14:schemeClr w14:val="tx1"/>
                  </w14:solidFill>
                </w14:textFill>
              </w:rPr>
              <w:t>。</w:t>
            </w:r>
          </w:p>
          <w:p w14:paraId="645AEA8F">
            <w:pPr>
              <w:keepNext w:val="0"/>
              <w:keepLines/>
              <w:pageBreakBefore w:val="0"/>
              <w:kinsoku/>
              <w:overflowPunct/>
              <w:bidi w:val="0"/>
              <w:adjustRightInd/>
              <w:snapToGrid/>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根据</w:t>
            </w:r>
            <w:r>
              <w:rPr>
                <w:rFonts w:hint="default" w:ascii="Times New Roman" w:hAnsi="Times New Roman" w:eastAsia="宋体" w:cs="Times New Roman"/>
                <w:color w:val="000000" w:themeColor="text1"/>
                <w:sz w:val="24"/>
                <w:lang w:val="en-US" w:eastAsia="zh-CN"/>
                <w14:textFill>
                  <w14:solidFill>
                    <w14:schemeClr w14:val="tx1"/>
                  </w14:solidFill>
                </w14:textFill>
              </w:rPr>
              <w:t>《环境影响评价技术导则 大气环境》</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HJ 2.2-2018</w:t>
            </w:r>
            <w:r>
              <w:rPr>
                <w:rFonts w:hint="default" w:ascii="Times New Roman" w:hAnsi="Times New Roman" w:cs="Times New Roman"/>
                <w:color w:val="000000" w:themeColor="text1"/>
                <w:sz w:val="24"/>
                <w:lang w:val="en-US" w:eastAsia="zh-CN"/>
                <w14:textFill>
                  <w14:solidFill>
                    <w14:schemeClr w14:val="tx1"/>
                  </w14:solidFill>
                </w14:textFill>
              </w:rPr>
              <w:t>）中“8.7.5.1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经上述分析预测，本最大落地浓度达标，故无需设置大气环境防护距离。</w:t>
            </w:r>
          </w:p>
          <w:p w14:paraId="55B4392B">
            <w:pPr>
              <w:keepNext w:val="0"/>
              <w:keepLines/>
              <w:pageBreakBefore w:val="0"/>
              <w:kinsoku/>
              <w:overflowPunct/>
              <w:bidi w:val="0"/>
              <w:adjustRightInd/>
              <w:snapToGri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综上所述</w:t>
            </w:r>
            <w:r>
              <w:rPr>
                <w:rFonts w:hint="default" w:ascii="Times New Roman" w:hAnsi="Times New Roman" w:cs="Times New Roman"/>
                <w:color w:val="000000" w:themeColor="text1"/>
                <w:sz w:val="24"/>
                <w14:textFill>
                  <w14:solidFill>
                    <w14:schemeClr w14:val="tx1"/>
                  </w14:solidFill>
                </w14:textFill>
              </w:rPr>
              <w:t>，项目厂界无组织</w:t>
            </w:r>
            <w:r>
              <w:rPr>
                <w:rFonts w:hint="default" w:ascii="Times New Roman" w:hAnsi="Times New Roman" w:cs="Times New Roman"/>
                <w:color w:val="000000" w:themeColor="text1"/>
                <w:sz w:val="24"/>
                <w:lang w:eastAsia="zh-CN"/>
                <w14:textFill>
                  <w14:solidFill>
                    <w14:schemeClr w14:val="tx1"/>
                  </w14:solidFill>
                </w14:textFill>
              </w:rPr>
              <w:t>非甲烷总烃</w:t>
            </w:r>
            <w:r>
              <w:rPr>
                <w:rFonts w:hint="default" w:ascii="Times New Roman" w:hAnsi="Times New Roman" w:cs="Times New Roman"/>
                <w:color w:val="000000" w:themeColor="text1"/>
                <w:sz w:val="24"/>
                <w14:textFill>
                  <w14:solidFill>
                    <w14:schemeClr w14:val="tx1"/>
                  </w14:solidFill>
                </w14:textFill>
              </w:rPr>
              <w:t>可实现达标排放，故采取的无组织废气治理设施有效可行。</w:t>
            </w:r>
          </w:p>
          <w:p w14:paraId="4639F3F6">
            <w:pPr>
              <w:pStyle w:val="32"/>
              <w:spacing w:line="360" w:lineRule="auto"/>
              <w:ind w:firstLine="422"/>
              <w:jc w:val="left"/>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kern w:val="24"/>
                <w:lang w:val="en-US" w:eastAsia="zh-CN"/>
                <w14:textFill>
                  <w14:solidFill>
                    <w14:schemeClr w14:val="tx1"/>
                  </w14:solidFill>
                </w14:textFill>
              </w:rPr>
              <w:t>3）</w:t>
            </w:r>
            <w:r>
              <w:rPr>
                <w:rFonts w:hint="default" w:ascii="Times New Roman" w:hAnsi="Times New Roman" w:cs="Times New Roman"/>
                <w:b/>
                <w:bCs/>
                <w:color w:val="000000" w:themeColor="text1"/>
                <w:sz w:val="24"/>
                <w14:textFill>
                  <w14:solidFill>
                    <w14:schemeClr w14:val="tx1"/>
                  </w14:solidFill>
                </w14:textFill>
              </w:rPr>
              <w:t>卫生防护距离</w:t>
            </w:r>
          </w:p>
          <w:p w14:paraId="04FAE848">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根据《大气有害物质无组织排放卫生防护距离推导技术导则》（GB/T39499-2020）有关要求，本项目卫生防护距离按下式计算： </w:t>
            </w:r>
          </w:p>
          <w:p w14:paraId="3D478A0D">
            <w:pPr>
              <w:pStyle w:val="144"/>
              <w:ind w:firstLine="48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1597660" cy="380365"/>
                  <wp:effectExtent l="0" t="0" r="2540" b="63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3" cstate="print"/>
                          <a:stretch>
                            <a:fillRect/>
                          </a:stretch>
                        </pic:blipFill>
                        <pic:spPr>
                          <a:xfrm>
                            <a:off x="0" y="0"/>
                            <a:ext cx="1597660" cy="380365"/>
                          </a:xfrm>
                          <a:prstGeom prst="rect">
                            <a:avLst/>
                          </a:prstGeom>
                          <a:noFill/>
                          <a:ln>
                            <a:noFill/>
                          </a:ln>
                        </pic:spPr>
                      </pic:pic>
                    </a:graphicData>
                  </a:graphic>
                </wp:inline>
              </w:drawing>
            </w:r>
          </w:p>
          <w:p w14:paraId="482C42C9">
            <w:pPr>
              <w:widowControl/>
              <w:spacing w:line="360" w:lineRule="auto"/>
              <w:ind w:firstLine="48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式中：</w:t>
            </w:r>
            <w:r>
              <w:rPr>
                <w:rFonts w:hint="default" w:ascii="Times New Roman" w:hAnsi="Times New Roman" w:eastAsia="TimesNewRomanPSMT" w:cs="Times New Roman"/>
                <w:color w:val="000000" w:themeColor="text1"/>
                <w:kern w:val="0"/>
                <w:sz w:val="24"/>
                <w14:textFill>
                  <w14:solidFill>
                    <w14:schemeClr w14:val="tx1"/>
                  </w14:solidFill>
                </w14:textFill>
              </w:rPr>
              <w:t>Cm—</w:t>
            </w:r>
            <w:r>
              <w:rPr>
                <w:rFonts w:hint="default" w:ascii="Times New Roman" w:hAnsi="Times New Roman" w:cs="Times New Roman"/>
                <w:color w:val="000000" w:themeColor="text1"/>
                <w:kern w:val="0"/>
                <w:sz w:val="24"/>
                <w14:textFill>
                  <w14:solidFill>
                    <w14:schemeClr w14:val="tx1"/>
                  </w14:solidFill>
                </w14:textFill>
              </w:rPr>
              <w:t>标准浓度限值，</w:t>
            </w:r>
            <w:r>
              <w:rPr>
                <w:rFonts w:hint="default" w:ascii="Times New Roman" w:hAnsi="Times New Roman" w:eastAsia="TimesNewRomanPSMT" w:cs="Times New Roman"/>
                <w:color w:val="000000" w:themeColor="text1"/>
                <w:kern w:val="0"/>
                <w:sz w:val="24"/>
                <w14:textFill>
                  <w14:solidFill>
                    <w14:schemeClr w14:val="tx1"/>
                  </w14:solidFill>
                </w14:textFill>
              </w:rPr>
              <w:t>mg/m</w:t>
            </w:r>
            <w:r>
              <w:rPr>
                <w:rFonts w:hint="default" w:ascii="Times New Roman" w:hAnsi="Times New Roman" w:cs="Times New Roman"/>
                <w:color w:val="000000" w:themeColor="text1"/>
                <w:kern w:val="0"/>
                <w:sz w:val="24"/>
                <w:vertAlign w:val="superscript"/>
                <w14:textFill>
                  <w14:solidFill>
                    <w14:schemeClr w14:val="tx1"/>
                  </w14:solidFill>
                </w14:textFill>
              </w:rPr>
              <w:t>3</w:t>
            </w:r>
            <w:r>
              <w:rPr>
                <w:rFonts w:hint="default" w:ascii="Times New Roman" w:hAnsi="Times New Roman" w:cs="Times New Roman"/>
                <w:color w:val="000000" w:themeColor="text1"/>
                <w:kern w:val="0"/>
                <w:sz w:val="24"/>
                <w14:textFill>
                  <w14:solidFill>
                    <w14:schemeClr w14:val="tx1"/>
                  </w14:solidFill>
                </w14:textFill>
              </w:rPr>
              <w:t xml:space="preserve">； </w:t>
            </w:r>
          </w:p>
          <w:p w14:paraId="4FB91896">
            <w:pPr>
              <w:widowControl/>
              <w:spacing w:line="360" w:lineRule="auto"/>
              <w:ind w:firstLine="48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TimesNewRomanPSMT" w:cs="Times New Roman"/>
                <w:color w:val="000000" w:themeColor="text1"/>
                <w:kern w:val="0"/>
                <w:sz w:val="24"/>
                <w14:textFill>
                  <w14:solidFill>
                    <w14:schemeClr w14:val="tx1"/>
                  </w14:solidFill>
                </w14:textFill>
              </w:rPr>
              <w:t>L—</w:t>
            </w:r>
            <w:r>
              <w:rPr>
                <w:rFonts w:hint="default" w:ascii="Times New Roman" w:hAnsi="Times New Roman" w:cs="Times New Roman"/>
                <w:color w:val="000000" w:themeColor="text1"/>
                <w:kern w:val="0"/>
                <w:sz w:val="24"/>
                <w14:textFill>
                  <w14:solidFill>
                    <w14:schemeClr w14:val="tx1"/>
                  </w14:solidFill>
                </w14:textFill>
              </w:rPr>
              <w:t>工业企业所需卫生防护距离，</w:t>
            </w:r>
            <w:r>
              <w:rPr>
                <w:rFonts w:hint="default" w:ascii="Times New Roman" w:hAnsi="Times New Roman" w:eastAsia="TimesNewRomanPSMT" w:cs="Times New Roman"/>
                <w:color w:val="000000" w:themeColor="text1"/>
                <w:kern w:val="0"/>
                <w:sz w:val="24"/>
                <w14:textFill>
                  <w14:solidFill>
                    <w14:schemeClr w14:val="tx1"/>
                  </w14:solidFill>
                </w14:textFill>
              </w:rPr>
              <w:t>m</w:t>
            </w:r>
            <w:r>
              <w:rPr>
                <w:rFonts w:hint="default" w:ascii="Times New Roman" w:hAnsi="Times New Roman" w:cs="Times New Roman"/>
                <w:color w:val="000000" w:themeColor="text1"/>
                <w:kern w:val="0"/>
                <w:sz w:val="24"/>
                <w14:textFill>
                  <w14:solidFill>
                    <w14:schemeClr w14:val="tx1"/>
                  </w14:solidFill>
                </w14:textFill>
              </w:rPr>
              <w:t xml:space="preserve">； </w:t>
            </w:r>
          </w:p>
          <w:p w14:paraId="7C779291">
            <w:pPr>
              <w:widowControl/>
              <w:spacing w:line="360" w:lineRule="auto"/>
              <w:ind w:firstLine="48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TimesNewRomanPSMT" w:cs="Times New Roman"/>
                <w:color w:val="000000" w:themeColor="text1"/>
                <w:kern w:val="0"/>
                <w:sz w:val="24"/>
                <w14:textFill>
                  <w14:solidFill>
                    <w14:schemeClr w14:val="tx1"/>
                  </w14:solidFill>
                </w14:textFill>
              </w:rPr>
              <w:t>r —</w:t>
            </w:r>
            <w:r>
              <w:rPr>
                <w:rFonts w:hint="default" w:ascii="Times New Roman" w:hAnsi="Times New Roman" w:cs="Times New Roman"/>
                <w:color w:val="000000" w:themeColor="text1"/>
                <w:kern w:val="0"/>
                <w:sz w:val="24"/>
                <w14:textFill>
                  <w14:solidFill>
                    <w14:schemeClr w14:val="tx1"/>
                  </w14:solidFill>
                </w14:textFill>
              </w:rPr>
              <w:t>有害气体无组织排放源所在生产单元的等效半径，</w:t>
            </w:r>
            <w:r>
              <w:rPr>
                <w:rFonts w:hint="default" w:ascii="Times New Roman" w:hAnsi="Times New Roman" w:eastAsia="TimesNewRomanPSMT" w:cs="Times New Roman"/>
                <w:color w:val="000000" w:themeColor="text1"/>
                <w:kern w:val="0"/>
                <w:sz w:val="24"/>
                <w14:textFill>
                  <w14:solidFill>
                    <w14:schemeClr w14:val="tx1"/>
                  </w14:solidFill>
                </w14:textFill>
              </w:rPr>
              <w:t>m</w:t>
            </w:r>
            <w:r>
              <w:rPr>
                <w:rFonts w:hint="default" w:ascii="Times New Roman" w:hAnsi="Times New Roman" w:cs="Times New Roman"/>
                <w:color w:val="000000" w:themeColor="text1"/>
                <w:kern w:val="0"/>
                <w:sz w:val="24"/>
                <w14:textFill>
                  <w14:solidFill>
                    <w14:schemeClr w14:val="tx1"/>
                  </w14:solidFill>
                </w14:textFill>
              </w:rPr>
              <w:t xml:space="preserve">； </w:t>
            </w:r>
          </w:p>
          <w:p w14:paraId="5B3FEABC">
            <w:pPr>
              <w:widowControl/>
              <w:spacing w:line="360" w:lineRule="auto"/>
              <w:ind w:firstLine="48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TimesNewRomanPSMT" w:cs="Times New Roman"/>
                <w:color w:val="000000" w:themeColor="text1"/>
                <w:kern w:val="0"/>
                <w:sz w:val="24"/>
                <w14:textFill>
                  <w14:solidFill>
                    <w14:schemeClr w14:val="tx1"/>
                  </w14:solidFill>
                </w14:textFill>
              </w:rPr>
              <w:t>A</w:t>
            </w:r>
            <w:r>
              <w:rPr>
                <w:rFonts w:hint="default" w:ascii="Times New Roman" w:hAnsi="Times New Roman" w:cs="Times New Roman"/>
                <w:color w:val="000000" w:themeColor="text1"/>
                <w:kern w:val="0"/>
                <w:sz w:val="24"/>
                <w14:textFill>
                  <w14:solidFill>
                    <w14:schemeClr w14:val="tx1"/>
                  </w14:solidFill>
                </w14:textFill>
              </w:rPr>
              <w:t>、</w:t>
            </w:r>
            <w:r>
              <w:rPr>
                <w:rFonts w:hint="default" w:ascii="Times New Roman" w:hAnsi="Times New Roman" w:eastAsia="TimesNewRomanPSMT" w:cs="Times New Roman"/>
                <w:color w:val="000000" w:themeColor="text1"/>
                <w:kern w:val="0"/>
                <w:sz w:val="24"/>
                <w14:textFill>
                  <w14:solidFill>
                    <w14:schemeClr w14:val="tx1"/>
                  </w14:solidFill>
                </w14:textFill>
              </w:rPr>
              <w:t>B</w:t>
            </w:r>
            <w:r>
              <w:rPr>
                <w:rFonts w:hint="default" w:ascii="Times New Roman" w:hAnsi="Times New Roman" w:cs="Times New Roman"/>
                <w:color w:val="000000" w:themeColor="text1"/>
                <w:kern w:val="0"/>
                <w:sz w:val="24"/>
                <w14:textFill>
                  <w14:solidFill>
                    <w14:schemeClr w14:val="tx1"/>
                  </w14:solidFill>
                </w14:textFill>
              </w:rPr>
              <w:t>、</w:t>
            </w:r>
            <w:r>
              <w:rPr>
                <w:rFonts w:hint="default" w:ascii="Times New Roman" w:hAnsi="Times New Roman" w:eastAsia="TimesNewRomanPSMT" w:cs="Times New Roman"/>
                <w:color w:val="000000" w:themeColor="text1"/>
                <w:kern w:val="0"/>
                <w:sz w:val="24"/>
                <w14:textFill>
                  <w14:solidFill>
                    <w14:schemeClr w14:val="tx1"/>
                  </w14:solidFill>
                </w14:textFill>
              </w:rPr>
              <w:t>C</w:t>
            </w:r>
            <w:r>
              <w:rPr>
                <w:rFonts w:hint="default" w:ascii="Times New Roman" w:hAnsi="Times New Roman" w:cs="Times New Roman"/>
                <w:color w:val="000000" w:themeColor="text1"/>
                <w:kern w:val="0"/>
                <w:sz w:val="24"/>
                <w14:textFill>
                  <w14:solidFill>
                    <w14:schemeClr w14:val="tx1"/>
                  </w14:solidFill>
                </w14:textFill>
              </w:rPr>
              <w:t>、</w:t>
            </w:r>
            <w:r>
              <w:rPr>
                <w:rFonts w:hint="default" w:ascii="Times New Roman" w:hAnsi="Times New Roman" w:eastAsia="TimesNewRomanPSMT" w:cs="Times New Roman"/>
                <w:color w:val="000000" w:themeColor="text1"/>
                <w:kern w:val="0"/>
                <w:sz w:val="24"/>
                <w14:textFill>
                  <w14:solidFill>
                    <w14:schemeClr w14:val="tx1"/>
                  </w14:solidFill>
                </w14:textFill>
              </w:rPr>
              <w:t>D—</w:t>
            </w:r>
            <w:r>
              <w:rPr>
                <w:rFonts w:hint="default" w:ascii="Times New Roman" w:hAnsi="Times New Roman" w:cs="Times New Roman"/>
                <w:color w:val="000000" w:themeColor="text1"/>
                <w:kern w:val="0"/>
                <w:sz w:val="24"/>
                <w14:textFill>
                  <w14:solidFill>
                    <w14:schemeClr w14:val="tx1"/>
                  </w14:solidFill>
                </w14:textFill>
              </w:rPr>
              <w:t xml:space="preserve">卫生防护距离计算系数，无因次，根据工业企业所在地区近五年 </w:t>
            </w:r>
          </w:p>
          <w:p w14:paraId="10BC5526">
            <w:pPr>
              <w:widowControl/>
              <w:spacing w:line="360" w:lineRule="auto"/>
              <w:ind w:firstLine="48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 xml:space="preserve">平均风速及工业企业大气污染源构成类别选取； </w:t>
            </w:r>
          </w:p>
          <w:p w14:paraId="24CEE0EB">
            <w:pPr>
              <w:widowControl/>
              <w:spacing w:line="360" w:lineRule="auto"/>
              <w:ind w:firstLine="480" w:firstLineChars="200"/>
              <w:jc w:val="left"/>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eastAsia="TimesNewRomanPSMT" w:cs="Times New Roman"/>
                <w:color w:val="000000" w:themeColor="text1"/>
                <w:kern w:val="0"/>
                <w:sz w:val="24"/>
                <w14:textFill>
                  <w14:solidFill>
                    <w14:schemeClr w14:val="tx1"/>
                  </w14:solidFill>
                </w14:textFill>
              </w:rPr>
              <w:t>Qc----</w:t>
            </w:r>
            <w:r>
              <w:rPr>
                <w:rFonts w:hint="default" w:ascii="Times New Roman" w:hAnsi="Times New Roman" w:cs="Times New Roman"/>
                <w:color w:val="000000" w:themeColor="text1"/>
                <w:kern w:val="0"/>
                <w:sz w:val="24"/>
                <w14:textFill>
                  <w14:solidFill>
                    <w14:schemeClr w14:val="tx1"/>
                  </w14:solidFill>
                </w14:textFill>
              </w:rPr>
              <w:t>工业企业有害气体无组织排放量可以达到的控制水平。</w:t>
            </w:r>
          </w:p>
          <w:p w14:paraId="4399E9A4">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 xml:space="preserve">表 </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4-</w:t>
            </w:r>
            <w:r>
              <w:rPr>
                <w:rFonts w:hint="default" w:ascii="Times New Roman" w:hAnsi="Times New Roman" w:cs="Times New Roman"/>
                <w:b/>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b/>
                <w:color w:val="000000" w:themeColor="text1"/>
                <w:sz w:val="21"/>
                <w:szCs w:val="21"/>
                <w14:textFill>
                  <w14:solidFill>
                    <w14:schemeClr w14:val="tx1"/>
                  </w14:solidFill>
                </w14:textFill>
              </w:rPr>
              <w:t>卫生防护距离计算参数及计算结果</w:t>
            </w:r>
          </w:p>
          <w:tbl>
            <w:tblPr>
              <w:tblStyle w:val="3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85"/>
              <w:gridCol w:w="1610"/>
              <w:gridCol w:w="1293"/>
              <w:gridCol w:w="1156"/>
              <w:gridCol w:w="1004"/>
              <w:gridCol w:w="1719"/>
            </w:tblGrid>
            <w:tr w14:paraId="06112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96" w:type="pct"/>
                  <w:vAlign w:val="center"/>
                </w:tcPr>
                <w:p w14:paraId="7D9D0F8C">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污染因子</w:t>
                  </w:r>
                </w:p>
              </w:tc>
              <w:tc>
                <w:tcPr>
                  <w:tcW w:w="997" w:type="pct"/>
                  <w:vAlign w:val="center"/>
                </w:tcPr>
                <w:p w14:paraId="02388A64">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排放速率kg/h</w:t>
                  </w:r>
                </w:p>
              </w:tc>
              <w:tc>
                <w:tcPr>
                  <w:tcW w:w="801" w:type="pct"/>
                  <w:vAlign w:val="center"/>
                </w:tcPr>
                <w:p w14:paraId="40A15CAA">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面源高度 m</w:t>
                  </w:r>
                </w:p>
              </w:tc>
              <w:tc>
                <w:tcPr>
                  <w:tcW w:w="716" w:type="pct"/>
                  <w:vAlign w:val="center"/>
                </w:tcPr>
                <w:p w14:paraId="3F77D8B0">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eastAsia="zh-CN"/>
                      <w14:textFill>
                        <w14:solidFill>
                          <w14:schemeClr w14:val="tx1"/>
                        </w14:solidFill>
                      </w14:textFill>
                    </w:rPr>
                    <w:t>占地面积</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b/>
                      <w:color w:val="000000" w:themeColor="text1"/>
                      <w:sz w:val="21"/>
                      <w:szCs w:val="21"/>
                      <w:vertAlign w:val="superscript"/>
                      <w:lang w:val="en-US" w:eastAsia="zh-CN"/>
                      <w14:textFill>
                        <w14:solidFill>
                          <w14:schemeClr w14:val="tx1"/>
                        </w14:solidFill>
                      </w14:textFill>
                    </w:rPr>
                    <w:t>2</w:t>
                  </w:r>
                </w:p>
              </w:tc>
              <w:tc>
                <w:tcPr>
                  <w:tcW w:w="622" w:type="pct"/>
                  <w:vAlign w:val="center"/>
                </w:tcPr>
                <w:p w14:paraId="14519BCC">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计算值 m</w:t>
                  </w:r>
                </w:p>
              </w:tc>
              <w:tc>
                <w:tcPr>
                  <w:tcW w:w="1065" w:type="pct"/>
                  <w:vAlign w:val="center"/>
                </w:tcPr>
                <w:p w14:paraId="64E83848">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提级后防护距离m</w:t>
                  </w:r>
                </w:p>
              </w:tc>
            </w:tr>
            <w:tr w14:paraId="57A75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96" w:type="pct"/>
                  <w:vAlign w:val="center"/>
                </w:tcPr>
                <w:p w14:paraId="28B31F35">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非甲烷总烃</w:t>
                  </w:r>
                </w:p>
              </w:tc>
              <w:tc>
                <w:tcPr>
                  <w:tcW w:w="997" w:type="pct"/>
                  <w:vAlign w:val="center"/>
                </w:tcPr>
                <w:p w14:paraId="6BAD7EF1">
                  <w:pPr>
                    <w:pStyle w:val="2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0.1285</w:t>
                  </w:r>
                </w:p>
              </w:tc>
              <w:tc>
                <w:tcPr>
                  <w:tcW w:w="801" w:type="pct"/>
                  <w:vAlign w:val="center"/>
                </w:tcPr>
                <w:p w14:paraId="742A2A34">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10</w:t>
                  </w:r>
                </w:p>
              </w:tc>
              <w:tc>
                <w:tcPr>
                  <w:tcW w:w="716" w:type="pct"/>
                  <w:vAlign w:val="center"/>
                </w:tcPr>
                <w:p w14:paraId="066634E7">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1900</w:t>
                  </w:r>
                </w:p>
              </w:tc>
              <w:tc>
                <w:tcPr>
                  <w:tcW w:w="622" w:type="pct"/>
                  <w:vAlign w:val="center"/>
                </w:tcPr>
                <w:p w14:paraId="2ADB61B7">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7.14</w:t>
                  </w:r>
                </w:p>
              </w:tc>
              <w:tc>
                <w:tcPr>
                  <w:tcW w:w="1065" w:type="pct"/>
                  <w:vAlign w:val="center"/>
                </w:tcPr>
                <w:p w14:paraId="2B444BF8">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50</w:t>
                  </w:r>
                </w:p>
              </w:tc>
            </w:tr>
          </w:tbl>
          <w:p w14:paraId="1C5241EF">
            <w:pPr>
              <w:widowControl/>
              <w:spacing w:line="360" w:lineRule="auto"/>
              <w:ind w:firstLine="480" w:firstLineChars="20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lang w:eastAsia="zh-CN"/>
                <w14:textFill>
                  <w14:solidFill>
                    <w14:schemeClr w14:val="tx1"/>
                  </w14:solidFill>
                </w14:textFill>
              </w:rPr>
              <w:t>经计算，</w:t>
            </w:r>
            <w:r>
              <w:rPr>
                <w:rFonts w:hint="default" w:ascii="Times New Roman" w:hAnsi="Times New Roman" w:cs="Times New Roman"/>
                <w:color w:val="000000" w:themeColor="text1"/>
                <w:kern w:val="0"/>
                <w:sz w:val="24"/>
                <w:highlight w:val="none"/>
                <w14:textFill>
                  <w14:solidFill>
                    <w14:schemeClr w14:val="tx1"/>
                  </w14:solidFill>
                </w14:textFill>
              </w:rPr>
              <w:t>项目颗粒物的卫生防护距离为</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12.20</w:t>
            </w:r>
            <w:r>
              <w:rPr>
                <w:rFonts w:hint="default" w:ascii="Times New Roman" w:hAnsi="Times New Roman" w:eastAsia="TimesNewRomanPSMT" w:cs="Times New Roman"/>
                <w:color w:val="000000" w:themeColor="text1"/>
                <w:kern w:val="0"/>
                <w:sz w:val="24"/>
                <w:highlight w:val="none"/>
                <w14:textFill>
                  <w14:solidFill>
                    <w14:schemeClr w14:val="tx1"/>
                  </w14:solidFill>
                </w14:textFill>
              </w:rPr>
              <w:t>m</w:t>
            </w:r>
            <w:r>
              <w:rPr>
                <w:rFonts w:hint="default" w:ascii="Times New Roman" w:hAnsi="Times New Roman" w:cs="Times New Roman"/>
                <w:color w:val="000000" w:themeColor="text1"/>
                <w:kern w:val="0"/>
                <w:sz w:val="24"/>
                <w:highlight w:val="none"/>
                <w14:textFill>
                  <w14:solidFill>
                    <w14:schemeClr w14:val="tx1"/>
                  </w14:solidFill>
                </w14:textFill>
              </w:rPr>
              <w:t>，项目</w:t>
            </w:r>
            <w:r>
              <w:rPr>
                <w:rFonts w:hint="default" w:ascii="Times New Roman" w:hAnsi="Times New Roman" w:cs="Times New Roman"/>
                <w:color w:val="000000" w:themeColor="text1"/>
                <w:kern w:val="0"/>
                <w:sz w:val="24"/>
                <w:highlight w:val="none"/>
                <w:lang w:eastAsia="zh-CN"/>
                <w14:textFill>
                  <w14:solidFill>
                    <w14:schemeClr w14:val="tx1"/>
                  </w14:solidFill>
                </w14:textFill>
              </w:rPr>
              <w:t>非甲烷总烃</w:t>
            </w:r>
            <w:r>
              <w:rPr>
                <w:rFonts w:hint="default" w:ascii="Times New Roman" w:hAnsi="Times New Roman" w:cs="Times New Roman"/>
                <w:color w:val="000000" w:themeColor="text1"/>
                <w:kern w:val="0"/>
                <w:sz w:val="24"/>
                <w:highlight w:val="none"/>
                <w14:textFill>
                  <w14:solidFill>
                    <w14:schemeClr w14:val="tx1"/>
                  </w14:solidFill>
                </w14:textFill>
              </w:rPr>
              <w:t>的卫生防护距离为</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7.14</w:t>
            </w:r>
            <w:r>
              <w:rPr>
                <w:rFonts w:hint="default" w:ascii="Times New Roman" w:hAnsi="Times New Roman" w:eastAsia="TimesNewRomanPSMT" w:cs="Times New Roman"/>
                <w:color w:val="000000" w:themeColor="text1"/>
                <w:kern w:val="0"/>
                <w:sz w:val="24"/>
                <w:highlight w:val="none"/>
                <w14:textFill>
                  <w14:solidFill>
                    <w14:schemeClr w14:val="tx1"/>
                  </w14:solidFill>
                </w14:textFill>
              </w:rPr>
              <w:t>m</w:t>
            </w:r>
            <w:r>
              <w:rPr>
                <w:rFonts w:hint="default" w:ascii="Times New Roman" w:hAnsi="Times New Roman" w:cs="Times New Roman"/>
                <w:color w:val="000000" w:themeColor="text1"/>
                <w:kern w:val="0"/>
                <w:sz w:val="24"/>
                <w:highlight w:val="none"/>
                <w14:textFill>
                  <w14:solidFill>
                    <w14:schemeClr w14:val="tx1"/>
                  </w14:solidFill>
                </w14:textFill>
              </w:rPr>
              <w:t>，根据《制定地方大气污染物排放标准的技术方法》（</w:t>
            </w:r>
            <w:r>
              <w:rPr>
                <w:rFonts w:hint="default" w:ascii="Times New Roman" w:hAnsi="Times New Roman" w:eastAsia="TimesNewRomanPSMT" w:cs="Times New Roman"/>
                <w:color w:val="000000" w:themeColor="text1"/>
                <w:kern w:val="0"/>
                <w:sz w:val="24"/>
                <w:highlight w:val="none"/>
                <w14:textFill>
                  <w14:solidFill>
                    <w14:schemeClr w14:val="tx1"/>
                  </w14:solidFill>
                </w14:textFill>
              </w:rPr>
              <w:t>GB/T 13201-91</w:t>
            </w:r>
            <w:r>
              <w:rPr>
                <w:rFonts w:hint="default" w:ascii="Times New Roman" w:hAnsi="Times New Roman" w:cs="Times New Roman"/>
                <w:color w:val="000000" w:themeColor="text1"/>
                <w:kern w:val="0"/>
                <w:sz w:val="24"/>
                <w:highlight w:val="none"/>
                <w14:textFill>
                  <w14:solidFill>
                    <w14:schemeClr w14:val="tx1"/>
                  </w14:solidFill>
                </w14:textFill>
              </w:rPr>
              <w:t>）中的有关要求，卫生防护距离在</w:t>
            </w:r>
            <w:r>
              <w:rPr>
                <w:rFonts w:hint="default" w:ascii="Times New Roman" w:hAnsi="Times New Roman" w:eastAsia="TimesNewRomanPSMT" w:cs="Times New Roman"/>
                <w:color w:val="000000" w:themeColor="text1"/>
                <w:kern w:val="0"/>
                <w:sz w:val="24"/>
                <w:highlight w:val="none"/>
                <w14:textFill>
                  <w14:solidFill>
                    <w14:schemeClr w14:val="tx1"/>
                  </w14:solidFill>
                </w14:textFill>
              </w:rPr>
              <w:t>100m</w:t>
            </w:r>
            <w:r>
              <w:rPr>
                <w:rFonts w:hint="default" w:ascii="Times New Roman" w:hAnsi="Times New Roman" w:cs="Times New Roman"/>
                <w:color w:val="000000" w:themeColor="text1"/>
                <w:kern w:val="0"/>
                <w:sz w:val="24"/>
                <w:highlight w:val="none"/>
                <w14:textFill>
                  <w14:solidFill>
                    <w14:schemeClr w14:val="tx1"/>
                  </w14:solidFill>
                </w14:textFill>
              </w:rPr>
              <w:t>以内时，级差为</w:t>
            </w:r>
            <w:r>
              <w:rPr>
                <w:rFonts w:hint="default" w:ascii="Times New Roman" w:hAnsi="Times New Roman" w:eastAsia="TimesNewRomanPSMT" w:cs="Times New Roman"/>
                <w:color w:val="000000" w:themeColor="text1"/>
                <w:kern w:val="0"/>
                <w:sz w:val="24"/>
                <w:highlight w:val="none"/>
                <w14:textFill>
                  <w14:solidFill>
                    <w14:schemeClr w14:val="tx1"/>
                  </w14:solidFill>
                </w14:textFill>
              </w:rPr>
              <w:t>50m</w:t>
            </w:r>
            <w:r>
              <w:rPr>
                <w:rFonts w:hint="default" w:ascii="Times New Roman" w:hAnsi="Times New Roman" w:cs="Times New Roman"/>
                <w:color w:val="000000" w:themeColor="text1"/>
                <w:kern w:val="0"/>
                <w:sz w:val="24"/>
                <w:highlight w:val="none"/>
                <w14:textFill>
                  <w14:solidFill>
                    <w14:schemeClr w14:val="tx1"/>
                  </w14:solidFill>
                </w14:textFill>
              </w:rPr>
              <w:t>，因此确定本项目的卫生防护距离为以生产车间边界外扩</w:t>
            </w:r>
            <w:r>
              <w:rPr>
                <w:rFonts w:hint="default" w:ascii="Times New Roman" w:hAnsi="Times New Roman" w:eastAsia="TimesNewRomanPSMT" w:cs="Times New Roman"/>
                <w:color w:val="000000" w:themeColor="text1"/>
                <w:kern w:val="0"/>
                <w:sz w:val="24"/>
                <w:highlight w:val="none"/>
                <w14:textFill>
                  <w14:solidFill>
                    <w14:schemeClr w14:val="tx1"/>
                  </w14:solidFill>
                </w14:textFill>
              </w:rPr>
              <w:t>50m</w:t>
            </w:r>
            <w:r>
              <w:rPr>
                <w:rFonts w:hint="default" w:ascii="Times New Roman" w:hAnsi="Times New Roman" w:cs="Times New Roman"/>
                <w:color w:val="000000" w:themeColor="text1"/>
                <w:kern w:val="0"/>
                <w:sz w:val="24"/>
                <w:highlight w:val="none"/>
                <w14:textFill>
                  <w14:solidFill>
                    <w14:schemeClr w14:val="tx1"/>
                  </w14:solidFill>
                </w14:textFill>
              </w:rPr>
              <w:t>。</w:t>
            </w:r>
          </w:p>
          <w:p w14:paraId="599C7F67">
            <w:pPr>
              <w:widowControl/>
              <w:spacing w:line="360" w:lineRule="auto"/>
              <w:ind w:firstLine="480"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根据现场勘查，本项目卫生防护距离内无居住区、医院、学校等环境敏感点，</w:t>
            </w:r>
            <w:r>
              <w:rPr>
                <w:rFonts w:hint="default" w:ascii="Times New Roman" w:hAnsi="Times New Roman" w:cs="Times New Roman"/>
                <w:color w:val="000000" w:themeColor="text1"/>
                <w:kern w:val="0"/>
                <w:sz w:val="24"/>
                <w:lang w:eastAsia="zh-CN"/>
                <w14:textFill>
                  <w14:solidFill>
                    <w14:schemeClr w14:val="tx1"/>
                  </w14:solidFill>
                </w14:textFill>
              </w:rPr>
              <w:t>最近关心点为西南侧</w:t>
            </w:r>
            <w:r>
              <w:rPr>
                <w:rFonts w:hint="default" w:ascii="Times New Roman" w:hAnsi="Times New Roman" w:cs="Times New Roman"/>
                <w:color w:val="000000" w:themeColor="text1"/>
                <w:kern w:val="0"/>
                <w:sz w:val="24"/>
                <w:lang w:val="en-US" w:eastAsia="zh-CN"/>
                <w14:textFill>
                  <w14:solidFill>
                    <w14:schemeClr w14:val="tx1"/>
                  </w14:solidFill>
                </w14:textFill>
              </w:rPr>
              <w:t>100m处定古村，</w:t>
            </w:r>
            <w:r>
              <w:rPr>
                <w:rFonts w:hint="default" w:ascii="Times New Roman" w:hAnsi="Times New Roman" w:cs="Times New Roman"/>
                <w:color w:val="000000" w:themeColor="text1"/>
                <w:kern w:val="0"/>
                <w:sz w:val="24"/>
                <w14:textFill>
                  <w14:solidFill>
                    <w14:schemeClr w14:val="tx1"/>
                  </w14:solidFill>
                </w14:textFill>
              </w:rPr>
              <w:t>无组织</w:t>
            </w:r>
            <w:r>
              <w:rPr>
                <w:rFonts w:hint="default" w:ascii="Times New Roman" w:hAnsi="Times New Roman" w:cs="Times New Roman"/>
                <w:color w:val="000000" w:themeColor="text1"/>
                <w:kern w:val="0"/>
                <w:sz w:val="24"/>
                <w:lang w:eastAsia="zh-CN"/>
                <w14:textFill>
                  <w14:solidFill>
                    <w14:schemeClr w14:val="tx1"/>
                  </w14:solidFill>
                </w14:textFill>
              </w:rPr>
              <w:t>废气</w:t>
            </w:r>
            <w:r>
              <w:rPr>
                <w:rFonts w:hint="default" w:ascii="Times New Roman" w:hAnsi="Times New Roman" w:cs="Times New Roman"/>
                <w:color w:val="000000" w:themeColor="text1"/>
                <w:kern w:val="0"/>
                <w:sz w:val="24"/>
                <w14:textFill>
                  <w14:solidFill>
                    <w14:schemeClr w14:val="tx1"/>
                  </w14:solidFill>
                </w14:textFill>
              </w:rPr>
              <w:t>对周围环境影响在可接受范围之内。</w:t>
            </w:r>
          </w:p>
          <w:p w14:paraId="440F74FA">
            <w:pPr>
              <w:keepNext w:val="0"/>
              <w:keepLines/>
              <w:pageBreakBefore w:val="0"/>
              <w:tabs>
                <w:tab w:val="left" w:pos="4830"/>
              </w:tabs>
              <w:kinsoku/>
              <w:overflowPunct/>
              <w:bidi w:val="0"/>
              <w:adjustRightInd/>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w:t>
            </w:r>
            <w:r>
              <w:rPr>
                <w:rFonts w:hint="default" w:ascii="Times New Roman" w:hAnsi="Times New Roman" w:cs="Times New Roman"/>
                <w:b/>
                <w:bCs/>
                <w:color w:val="000000" w:themeColor="text1"/>
                <w:sz w:val="24"/>
                <w:lang w:val="en-US" w:eastAsia="zh-CN"/>
                <w14:textFill>
                  <w14:solidFill>
                    <w14:schemeClr w14:val="tx1"/>
                  </w14:solidFill>
                </w14:textFill>
              </w:rPr>
              <w:t>3</w:t>
            </w:r>
            <w:r>
              <w:rPr>
                <w:rFonts w:hint="default" w:ascii="Times New Roman" w:hAnsi="Times New Roman" w:cs="Times New Roman"/>
                <w:b/>
                <w:bCs/>
                <w:color w:val="000000" w:themeColor="text1"/>
                <w:sz w:val="24"/>
                <w14:textFill>
                  <w14:solidFill>
                    <w14:schemeClr w14:val="tx1"/>
                  </w14:solidFill>
                </w14:textFill>
              </w:rPr>
              <w:t>）废气治理可行性分析</w:t>
            </w:r>
          </w:p>
          <w:p w14:paraId="3D18B5D0">
            <w:pPr>
              <w:keepNext w:val="0"/>
              <w:keepLines/>
              <w:pageBreakBefore w:val="0"/>
              <w:kinsoku/>
              <w:overflowPunct/>
              <w:bidi w:val="0"/>
              <w:adjustRightInd/>
              <w:spacing w:line="360" w:lineRule="auto"/>
              <w:ind w:firstLine="480"/>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1）处理装置原理</w:t>
            </w:r>
          </w:p>
          <w:p w14:paraId="75FB42D5">
            <w:pPr>
              <w:widowControl/>
              <w:spacing w:line="360" w:lineRule="auto"/>
              <w:ind w:firstLine="482" w:firstLineChars="200"/>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旋风除尘器：</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 xml:space="preserve">顶部配置最先进的二次分离回收陀螺式涡流分离系统，（经 </w:t>
            </w:r>
          </w:p>
          <w:p w14:paraId="67E5803E">
            <w:pPr>
              <w:widowControl/>
              <w:spacing w:line="360" w:lineRule="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科学配比的尺寸让回收率最大化，单次分离率最高可达95~98%，与粉末粒径分布有关，10um以下超细粉小于5%）。而且使旋风的上部达到了自清洁的功能，在颜色变化较大或要求较高时简单地吹清下部锥斗即可。</w:t>
            </w:r>
          </w:p>
          <w:p w14:paraId="00E4CCB0">
            <w:pPr>
              <w:keepNext w:val="0"/>
              <w:keepLines w:val="0"/>
              <w:pageBreakBefore w:val="0"/>
              <w:kinsoku/>
              <w:wordWrap/>
              <w:overflowPunct/>
              <w:topLinePunct w:val="0"/>
              <w:autoSpaceDE/>
              <w:autoSpaceDN/>
              <w:bidi w:val="0"/>
              <w:spacing w:line="360" w:lineRule="auto"/>
              <w:ind w:firstLine="482" w:firstLineChars="200"/>
              <w:textAlignment w:val="auto"/>
              <w:outlineLvl w:val="9"/>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lang w:val="en-US" w:eastAsia="zh-CN"/>
                <w14:textFill>
                  <w14:solidFill>
                    <w14:schemeClr w14:val="tx1"/>
                  </w14:solidFill>
                </w14:textFill>
              </w:rPr>
              <w:t>布袋除尘器工作原理：</w:t>
            </w:r>
            <w:r>
              <w:rPr>
                <w:rFonts w:hint="default" w:ascii="Times New Roman" w:hAnsi="Times New Roman" w:eastAsia="宋体" w:cs="Times New Roman"/>
                <w:bCs/>
                <w:color w:val="000000" w:themeColor="text1"/>
                <w:sz w:val="24"/>
                <w:lang w:val="en-US" w:eastAsia="zh-CN"/>
                <w14:textFill>
                  <w14:solidFill>
                    <w14:schemeClr w14:val="tx1"/>
                  </w14:solidFill>
                </w14:textFill>
              </w:rPr>
              <w:t>袋式除尘器是一种干式滤尘装置。它适用于捕集细小、干燥、非纤维性粉尘。滤袋采用纺织的滤布或非纺织的毡制成，利用纤维织物的过滤作用对含尘气体进行过滤，当含尘气体进入袋式除尘器后，颗粒大、比重大的粉尘，由于重力的作用沉降下来，落入灰斗，含有较细小粉尘的气体在通过滤料时，粉尘被阻留，使气体得到净化。</w:t>
            </w:r>
          </w:p>
          <w:p w14:paraId="745BC0C4">
            <w:pPr>
              <w:pageBreakBefore w:val="0"/>
              <w:kinsoku/>
              <w:overflowPunct/>
              <w:topLinePunct w:val="0"/>
              <w:bidi w:val="0"/>
              <w:spacing w:line="360" w:lineRule="auto"/>
              <w:ind w:left="0" w:leftChars="0" w:right="0" w:firstLine="482" w:firstLineChars="200"/>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32"/>
                <w:lang w:val="en-US" w:eastAsia="zh-CN"/>
                <w14:textFill>
                  <w14:solidFill>
                    <w14:schemeClr w14:val="tx1"/>
                  </w14:solidFill>
                </w14:textFill>
              </w:rPr>
              <w:t>喷淋塔：</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喷淋塔中的喷淋液通过物理吸收和洗涤作用，能够将颗粒物凝聚增重，最终在重力作用下落入塔底的积液槽中，经过沉淀或过滤等后续处理后，可以将固体废弃物分离出来，净化后的气体则从塔顶排出‌。对于酸性废气如二氧化硫，喷淋液中可以添加碱性物质（如氢氧化钠），废气中的二氧化硫与碱性喷淋液发生中和反应，生成无害的盐类物质和水，从而达到去除污染物的目的。喷淋塔结构简单，主要由塔体、喷淋系统、循环系统等组成，投资成本较低。设备运行稳定，维护保养方便。循环系统可对喷淋液进行循环利用，减少了药剂消耗和废水排放。</w:t>
            </w:r>
          </w:p>
          <w:p w14:paraId="38A51FF8">
            <w:pPr>
              <w:pageBreakBefore w:val="0"/>
              <w:kinsoku/>
              <w:overflowPunct/>
              <w:topLinePunct w:val="0"/>
              <w:bidi w:val="0"/>
              <w:spacing w:line="360" w:lineRule="auto"/>
              <w:ind w:left="0" w:leftChars="0" w:right="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喷淋塔工作原理：</w:t>
            </w:r>
          </w:p>
          <w:p w14:paraId="2AC1E5DD">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钠钙双碱法采用钠碱启动，钠碱吸收SO</w:t>
            </w:r>
            <w:r>
              <w:rPr>
                <w:rFonts w:hint="default" w:ascii="Times New Roman" w:hAnsi="Times New Roman" w:eastAsia="宋体" w:cs="Times New Roman"/>
                <w:b w:val="0"/>
                <w:bCs w:val="0"/>
                <w:color w:val="000000" w:themeColor="text1"/>
                <w:sz w:val="24"/>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，采用石灰再生钠碱的方法进行循环运行。其基本化学原理可分脱硫过程和再生过程。</w:t>
            </w:r>
          </w:p>
          <w:p w14:paraId="04874AC8">
            <w:pPr>
              <w:pageBreakBefore w:val="0"/>
              <w:numPr>
                <w:ilvl w:val="0"/>
                <w:numId w:val="0"/>
              </w:numPr>
              <w:kinsoku/>
              <w:overflowPunct/>
              <w:topLinePunct w:val="0"/>
              <w:bidi w:val="0"/>
              <w:spacing w:line="360" w:lineRule="auto"/>
              <w:ind w:left="0" w:leftChars="0" w:right="0" w:rightChars="0" w:firstLine="480" w:firstLineChars="200"/>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脱硫过程</w:t>
            </w:r>
            <w:r>
              <w:rPr>
                <w:rFonts w:hint="eastAsia"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2NaOH+SO</w:t>
            </w:r>
            <w:r>
              <w:rPr>
                <w:rFonts w:hint="default" w:ascii="Times New Roman" w:hAnsi="Times New Roman" w:eastAsia="宋体" w:cs="Times New Roman"/>
                <w:b w:val="0"/>
                <w:bCs w:val="0"/>
                <w:color w:val="000000" w:themeColor="text1"/>
                <w:sz w:val="24"/>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→Na</w:t>
            </w:r>
            <w:r>
              <w:rPr>
                <w:rFonts w:hint="default" w:ascii="Times New Roman" w:hAnsi="Times New Roman" w:eastAsia="宋体" w:cs="Times New Roman"/>
                <w:b w:val="0"/>
                <w:bCs w:val="0"/>
                <w:color w:val="000000" w:themeColor="text1"/>
                <w:sz w:val="24"/>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SO</w:t>
            </w:r>
            <w:r>
              <w:rPr>
                <w:rFonts w:hint="default" w:ascii="Times New Roman" w:hAnsi="Times New Roman" w:eastAsia="宋体" w:cs="Times New Roman"/>
                <w:b w:val="0"/>
                <w:bCs w:val="0"/>
                <w:color w:val="000000" w:themeColor="text1"/>
                <w:sz w:val="24"/>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+H</w:t>
            </w:r>
            <w:r>
              <w:rPr>
                <w:rFonts w:hint="default" w:ascii="Times New Roman" w:hAnsi="Times New Roman" w:eastAsia="宋体" w:cs="Times New Roman"/>
                <w:b w:val="0"/>
                <w:bCs w:val="0"/>
                <w:color w:val="000000" w:themeColor="text1"/>
                <w:sz w:val="24"/>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O；Na</w:t>
            </w:r>
            <w:r>
              <w:rPr>
                <w:rFonts w:hint="default" w:ascii="Times New Roman" w:hAnsi="Times New Roman" w:eastAsia="宋体" w:cs="Times New Roman"/>
                <w:b w:val="0"/>
                <w:bCs w:val="0"/>
                <w:color w:val="000000" w:themeColor="text1"/>
                <w:sz w:val="24"/>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SO</w:t>
            </w:r>
            <w:r>
              <w:rPr>
                <w:rFonts w:hint="default" w:ascii="Times New Roman" w:hAnsi="Times New Roman" w:eastAsia="宋体" w:cs="Times New Roman"/>
                <w:b w:val="0"/>
                <w:bCs w:val="0"/>
                <w:color w:val="000000" w:themeColor="text1"/>
                <w:sz w:val="24"/>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+SO</w:t>
            </w:r>
            <w:r>
              <w:rPr>
                <w:rFonts w:hint="default" w:ascii="Times New Roman" w:hAnsi="Times New Roman" w:eastAsia="宋体" w:cs="Times New Roman"/>
                <w:b w:val="0"/>
                <w:bCs w:val="0"/>
                <w:color w:val="000000" w:themeColor="text1"/>
                <w:sz w:val="24"/>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+H</w:t>
            </w:r>
            <w:r>
              <w:rPr>
                <w:rFonts w:hint="default" w:ascii="Times New Roman" w:hAnsi="Times New Roman" w:eastAsia="宋体" w:cs="Times New Roman"/>
                <w:b w:val="0"/>
                <w:bCs w:val="0"/>
                <w:color w:val="000000" w:themeColor="text1"/>
                <w:sz w:val="24"/>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O→NaHSO</w:t>
            </w:r>
            <w:r>
              <w:rPr>
                <w:rFonts w:hint="default" w:ascii="Times New Roman" w:hAnsi="Times New Roman" w:eastAsia="宋体" w:cs="Times New Roman"/>
                <w:b w:val="0"/>
                <w:bCs w:val="0"/>
                <w:color w:val="000000" w:themeColor="text1"/>
                <w:sz w:val="24"/>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w:t>
            </w:r>
          </w:p>
          <w:p w14:paraId="1C33E93E">
            <w:pPr>
              <w:pageBreakBefore w:val="0"/>
              <w:numPr>
                <w:ilvl w:val="0"/>
                <w:numId w:val="0"/>
              </w:numPr>
              <w:kinsoku/>
              <w:overflowPunct/>
              <w:topLinePunct w:val="0"/>
              <w:bidi w:val="0"/>
              <w:spacing w:line="360" w:lineRule="auto"/>
              <w:ind w:left="0" w:leftChars="0" w:right="0" w:rightChars="0" w:firstLine="480" w:firstLineChars="200"/>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再生过程</w:t>
            </w:r>
            <w:r>
              <w:rPr>
                <w:rFonts w:hint="eastAsia" w:cs="Times New Roman"/>
                <w:b w:val="0"/>
                <w:bCs w:val="0"/>
                <w:color w:val="000000" w:themeColor="text1"/>
                <w:sz w:val="24"/>
                <w:lang w:val="en-US" w:eastAsia="zh-CN"/>
                <w14:textFill>
                  <w14:solidFill>
                    <w14:schemeClr w14:val="tx1"/>
                  </w14:solidFill>
                </w14:textFill>
              </w:rPr>
              <w:t>：</w:t>
            </w:r>
          </w:p>
          <w:p w14:paraId="0783D6F3">
            <w:pPr>
              <w:pageBreakBefore w:val="0"/>
              <w:numPr>
                <w:ilvl w:val="0"/>
                <w:numId w:val="0"/>
              </w:numPr>
              <w:kinsoku/>
              <w:overflowPunct/>
              <w:topLinePunct w:val="0"/>
              <w:bidi w:val="0"/>
              <w:spacing w:line="360" w:lineRule="auto"/>
              <w:ind w:left="0" w:leftChars="0" w:right="0" w:rightChars="0" w:firstLine="440" w:firstLineChars="200"/>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t>2NaHSO</w:t>
            </w:r>
            <w:r>
              <w:rPr>
                <w:rFonts w:hint="default" w:ascii="Times New Roman" w:hAnsi="Times New Roman" w:eastAsia="宋体" w:cs="Times New Roman"/>
                <w:b w:val="0"/>
                <w:bCs w:val="0"/>
                <w:color w:val="000000" w:themeColor="text1"/>
                <w:sz w:val="22"/>
                <w:szCs w:val="22"/>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t>+Ca(OH)</w:t>
            </w:r>
            <w:r>
              <w:rPr>
                <w:rFonts w:hint="default" w:ascii="Times New Roman" w:hAnsi="Times New Roman" w:eastAsia="宋体" w:cs="Times New Roman"/>
                <w:b w:val="0"/>
                <w:bCs w:val="0"/>
                <w:color w:val="000000" w:themeColor="text1"/>
                <w:sz w:val="22"/>
                <w:szCs w:val="22"/>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t>→Na</w:t>
            </w:r>
            <w:r>
              <w:rPr>
                <w:rFonts w:hint="default" w:ascii="Times New Roman" w:hAnsi="Times New Roman" w:eastAsia="宋体" w:cs="Times New Roman"/>
                <w:b w:val="0"/>
                <w:bCs w:val="0"/>
                <w:color w:val="000000" w:themeColor="text1"/>
                <w:sz w:val="22"/>
                <w:szCs w:val="22"/>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t>SO</w:t>
            </w:r>
            <w:r>
              <w:rPr>
                <w:rFonts w:hint="default" w:ascii="Times New Roman" w:hAnsi="Times New Roman" w:eastAsia="宋体" w:cs="Times New Roman"/>
                <w:b w:val="0"/>
                <w:bCs w:val="0"/>
                <w:color w:val="000000" w:themeColor="text1"/>
                <w:sz w:val="22"/>
                <w:szCs w:val="22"/>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t>+CaSO</w:t>
            </w:r>
            <w:r>
              <w:rPr>
                <w:rFonts w:hint="default" w:ascii="Times New Roman" w:hAnsi="Times New Roman" w:eastAsia="宋体" w:cs="Times New Roman"/>
                <w:b w:val="0"/>
                <w:bCs w:val="0"/>
                <w:color w:val="000000" w:themeColor="text1"/>
                <w:sz w:val="22"/>
                <w:szCs w:val="22"/>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t>↓+2H</w:t>
            </w:r>
            <w:r>
              <w:rPr>
                <w:rFonts w:hint="default" w:ascii="Times New Roman" w:hAnsi="Times New Roman" w:eastAsia="宋体" w:cs="Times New Roman"/>
                <w:b w:val="0"/>
                <w:bCs w:val="0"/>
                <w:color w:val="000000" w:themeColor="text1"/>
                <w:sz w:val="22"/>
                <w:szCs w:val="22"/>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t>ONa</w:t>
            </w:r>
            <w:r>
              <w:rPr>
                <w:rFonts w:hint="default" w:ascii="Times New Roman" w:hAnsi="Times New Roman" w:eastAsia="宋体" w:cs="Times New Roman"/>
                <w:b w:val="0"/>
                <w:bCs w:val="0"/>
                <w:color w:val="000000" w:themeColor="text1"/>
                <w:sz w:val="22"/>
                <w:szCs w:val="22"/>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t>SO</w:t>
            </w:r>
            <w:r>
              <w:rPr>
                <w:rFonts w:hint="default" w:ascii="Times New Roman" w:hAnsi="Times New Roman" w:eastAsia="宋体" w:cs="Times New Roman"/>
                <w:b w:val="0"/>
                <w:bCs w:val="0"/>
                <w:color w:val="000000" w:themeColor="text1"/>
                <w:sz w:val="22"/>
                <w:szCs w:val="22"/>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t>+Ca(OH)</w:t>
            </w:r>
            <w:r>
              <w:rPr>
                <w:rFonts w:hint="default" w:ascii="Times New Roman" w:hAnsi="Times New Roman" w:eastAsia="宋体" w:cs="Times New Roman"/>
                <w:b w:val="0"/>
                <w:bCs w:val="0"/>
                <w:color w:val="000000" w:themeColor="text1"/>
                <w:sz w:val="22"/>
                <w:szCs w:val="22"/>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t>→2NaOH+CaSO</w:t>
            </w:r>
            <w:r>
              <w:rPr>
                <w:rFonts w:hint="default" w:ascii="Times New Roman" w:hAnsi="Times New Roman" w:eastAsia="宋体" w:cs="Times New Roman"/>
                <w:b w:val="0"/>
                <w:bCs w:val="0"/>
                <w:color w:val="000000" w:themeColor="text1"/>
                <w:sz w:val="22"/>
                <w:szCs w:val="22"/>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t>↓</w:t>
            </w:r>
          </w:p>
          <w:p w14:paraId="4A1A3ECA">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在石灰浆液（石灰达到饱和状况）中，中性（或两性）的NaHSO</w:t>
            </w:r>
            <w:r>
              <w:rPr>
                <w:rFonts w:hint="default" w:ascii="Times New Roman" w:hAnsi="Times New Roman" w:eastAsia="宋体" w:cs="Times New Roman"/>
                <w:b w:val="0"/>
                <w:bCs w:val="0"/>
                <w:color w:val="000000" w:themeColor="text1"/>
                <w:sz w:val="24"/>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很快跟石灰反应从而释放出[Na</w:t>
            </w:r>
            <w:r>
              <w:rPr>
                <w:rFonts w:hint="default" w:ascii="Times New Roman" w:hAnsi="Times New Roman" w:eastAsia="宋体" w:cs="Times New Roman"/>
                <w:b w:val="0"/>
                <w:bCs w:val="0"/>
                <w:color w:val="000000" w:themeColor="text1"/>
                <w:sz w:val="24"/>
                <w:vertAlign w:val="superscript"/>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]，随后生成的[SO</w:t>
            </w:r>
            <w:r>
              <w:rPr>
                <w:rFonts w:hint="default" w:ascii="Times New Roman" w:hAnsi="Times New Roman" w:eastAsia="宋体" w:cs="Times New Roman"/>
                <w:b w:val="0"/>
                <w:bCs w:val="0"/>
                <w:color w:val="000000" w:themeColor="text1"/>
                <w:sz w:val="24"/>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]又继续跟石灰反应，反应生成的亚硫酸钙以半水化合物形式慢慢沉淀下来，从而使[Na</w:t>
            </w:r>
            <w:r>
              <w:rPr>
                <w:rFonts w:hint="default" w:ascii="Times New Roman" w:hAnsi="Times New Roman" w:eastAsia="宋体" w:cs="Times New Roman"/>
                <w:b w:val="0"/>
                <w:bCs w:val="0"/>
                <w:color w:val="000000" w:themeColor="text1"/>
                <w:sz w:val="24"/>
                <w:vertAlign w:val="superscript"/>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]得到再生，吸收液恢复对SO</w:t>
            </w:r>
            <w:r>
              <w:rPr>
                <w:rFonts w:hint="default" w:ascii="Times New Roman" w:hAnsi="Times New Roman" w:eastAsia="宋体" w:cs="Times New Roman"/>
                <w:b w:val="0"/>
                <w:bCs w:val="0"/>
                <w:color w:val="000000" w:themeColor="text1"/>
                <w:sz w:val="24"/>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的吸收能力，循环使用。脱硫副产物为石膏。</w:t>
            </w:r>
          </w:p>
          <w:p w14:paraId="6755A9A1">
            <w:pPr>
              <w:pStyle w:val="20"/>
              <w:pageBreakBefore w:val="0"/>
              <w:kinsoku/>
              <w:overflowPunct/>
              <w:topLinePunct w:val="0"/>
              <w:autoSpaceDE/>
              <w:autoSpaceDN/>
              <w:bidi w:val="0"/>
              <w:adjustRightInd/>
              <w:spacing w:line="360" w:lineRule="auto"/>
              <w:ind w:left="0" w:leftChars="0" w:right="0" w:rightChars="0" w:firstLine="482" w:firstLineChars="20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脉冲滤筒除尘器：</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滤筒除尘器主要由箱体、滤筒、清灰系统、进风口和出风口等部分组成。箱体是整个设备的框架，为内部除尘过程提供稳定的空间，同时起到保护内部组件的作用；滤筒是除尘器的核心部件，一般采用聚酯纤维、覆膜材料等制成，与传统布袋相比，滤筒的褶皱纹理设计大幅增加了过滤面积，同等体积下，滤筒的过滤面积可达布袋的2-3倍。滤筒表面的特殊涂层或覆膜结构，能有效提高过滤精度和粉尘剥离性；清灰系统是维持滤筒性能的关键，常见的清灰方式有脉冲喷吹清灰、机械振动清灰等，负责及时清除附着在滤筒表面的粉尘；进风口和出风口分别承担含尘气体的引入和净化后气体的排出工作，科学的气流通道设计能确保气体均匀分布，提高除尘效率。</w:t>
            </w:r>
          </w:p>
          <w:p w14:paraId="11E01EB3">
            <w:pPr>
              <w:keepNext w:val="0"/>
              <w:keepLines/>
              <w:pageBreakBefore w:val="0"/>
              <w:kinsoku/>
              <w:overflowPunct/>
              <w:bidi w:val="0"/>
              <w:adjustRightInd/>
              <w:spacing w:line="360" w:lineRule="auto"/>
              <w:ind w:firstLine="48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热力焚烧：</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燃烧法是非甲烷总烃处理最常见的方法之一。将废气通过高温燃烧装置燃烧后，形成二氧化碳和水蒸气等无害物质排放。</w:t>
            </w:r>
          </w:p>
          <w:p w14:paraId="6FD01CDD">
            <w:pPr>
              <w:keepNext w:val="0"/>
              <w:keepLines/>
              <w:pageBreakBefore w:val="0"/>
              <w:kinsoku/>
              <w:overflowPunct/>
              <w:bidi w:val="0"/>
              <w:adjustRightInd/>
              <w:spacing w:line="360" w:lineRule="auto"/>
              <w:ind w:firstLine="48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2）可行技术分析</w:t>
            </w:r>
          </w:p>
          <w:p w14:paraId="3073D4AC">
            <w:pPr>
              <w:pStyle w:val="20"/>
              <w:pageBreakBefore w:val="0"/>
              <w:kinsoku/>
              <w:overflowPunct/>
              <w:topLinePunct w:val="0"/>
              <w:autoSpaceDE/>
              <w:autoSpaceDN/>
              <w:bidi w:val="0"/>
              <w:adjustRightInd/>
              <w:spacing w:line="360" w:lineRule="auto"/>
              <w:ind w:left="0" w:leftChars="0" w:right="0" w:rightChars="0"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本次可行技术主要根据</w:t>
            </w:r>
            <w:r>
              <w:rPr>
                <w:rFonts w:hint="default" w:ascii="Times New Roman" w:hAnsi="Times New Roman" w:eastAsia="宋体" w:cs="Times New Roman"/>
                <w:color w:val="000000" w:themeColor="text1"/>
                <w14:textFill>
                  <w14:solidFill>
                    <w14:schemeClr w14:val="tx1"/>
                  </w14:solidFill>
                </w14:textFill>
              </w:rPr>
              <w:t xml:space="preserve">《排污许可证申请与核发技术规范  </w:t>
            </w:r>
            <w:r>
              <w:rPr>
                <w:rFonts w:hint="default" w:ascii="Times New Roman" w:hAnsi="Times New Roman" w:eastAsia="宋体" w:cs="Times New Roman"/>
                <w:color w:val="000000" w:themeColor="text1"/>
                <w:lang w:val="en-US" w:eastAsia="zh-CN"/>
                <w14:textFill>
                  <w14:solidFill>
                    <w14:schemeClr w14:val="tx1"/>
                  </w14:solidFill>
                </w14:textFill>
              </w:rPr>
              <w:t>工业炉窑</w:t>
            </w:r>
            <w:r>
              <w:rPr>
                <w:rFonts w:hint="default" w:ascii="Times New Roman" w:hAnsi="Times New Roman" w:eastAsia="宋体" w:cs="Times New Roman"/>
                <w:color w:val="000000" w:themeColor="text1"/>
                <w14:textFill>
                  <w14:solidFill>
                    <w14:schemeClr w14:val="tx1"/>
                  </w14:solidFill>
                </w14:textFill>
              </w:rPr>
              <w:t>》（HJ 112</w:t>
            </w: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—2020）</w:t>
            </w:r>
            <w:r>
              <w:rPr>
                <w:rFonts w:hint="default" w:ascii="Times New Roman" w:hAnsi="Times New Roman" w:eastAsia="宋体" w:cs="Times New Roman"/>
                <w:color w:val="000000" w:themeColor="text1"/>
                <w:lang w:eastAsia="zh-CN"/>
                <w14:textFill>
                  <w14:solidFill>
                    <w14:schemeClr w14:val="tx1"/>
                  </w14:solidFill>
                </w14:textFill>
              </w:rPr>
              <w:t>，《排污许可证申请与核发技术规范</w:t>
            </w:r>
            <w:r>
              <w:rPr>
                <w:rFonts w:hint="default" w:ascii="Times New Roman" w:hAnsi="Times New Roman" w:eastAsia="宋体"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lang w:eastAsia="zh-CN"/>
                <w14:textFill>
                  <w14:solidFill>
                    <w14:schemeClr w14:val="tx1"/>
                  </w14:solidFill>
                </w14:textFill>
              </w:rPr>
              <w:t>铁路、船舶、航空航天和其他运输设备制造业》</w:t>
            </w:r>
            <w:r>
              <w:rPr>
                <w:rFonts w:hint="default" w:ascii="Times New Roman" w:hAnsi="Times New Roman" w:eastAsia="宋体" w:cs="Times New Roman"/>
                <w:color w:val="000000" w:themeColor="text1"/>
                <w14:textFill>
                  <w14:solidFill>
                    <w14:schemeClr w14:val="tx1"/>
                  </w14:solidFill>
                </w14:textFill>
              </w:rPr>
              <w:t>（HJ 112</w:t>
            </w:r>
            <w:r>
              <w:rPr>
                <w:rFonts w:hint="default" w:ascii="Times New Roman" w:hAnsi="Times New Roman" w:eastAsia="宋体"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14:textFill>
                  <w14:solidFill>
                    <w14:schemeClr w14:val="tx1"/>
                  </w14:solidFill>
                </w14:textFill>
              </w:rPr>
              <w:t>—2020）</w:t>
            </w:r>
            <w:r>
              <w:rPr>
                <w:rFonts w:hint="default" w:ascii="Times New Roman" w:hAnsi="Times New Roman" w:eastAsia="宋体" w:cs="Times New Roman"/>
                <w:color w:val="000000" w:themeColor="text1"/>
                <w:lang w:eastAsia="zh-CN"/>
                <w14:textFill>
                  <w14:solidFill>
                    <w14:schemeClr w14:val="tx1"/>
                  </w14:solidFill>
                </w14:textFill>
              </w:rPr>
              <w:t>“附录</w:t>
            </w:r>
            <w:r>
              <w:rPr>
                <w:rFonts w:hint="default" w:ascii="Times New Roman" w:hAnsi="Times New Roman" w:eastAsia="宋体" w:cs="Times New Roman"/>
                <w:color w:val="000000" w:themeColor="text1"/>
                <w:lang w:val="en-US" w:eastAsia="zh-CN"/>
                <w14:textFill>
                  <w14:solidFill>
                    <w14:schemeClr w14:val="tx1"/>
                  </w14:solidFill>
                </w14:textFill>
              </w:rPr>
              <w:t>A表面处理（涂装）排污单位</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的相关要求</w:t>
            </w:r>
            <w:r>
              <w:rPr>
                <w:rFonts w:hint="default" w:ascii="Times New Roman" w:hAnsi="Times New Roman" w:cs="Times New Roman"/>
                <w:color w:val="000000" w:themeColor="text1"/>
                <w:sz w:val="24"/>
                <w:lang w:eastAsia="zh-CN"/>
                <w14:textFill>
                  <w14:solidFill>
                    <w14:schemeClr w14:val="tx1"/>
                  </w14:solidFill>
                </w14:textFill>
              </w:rPr>
              <w:t>进行判定本项目可行技术</w:t>
            </w:r>
            <w:r>
              <w:rPr>
                <w:rFonts w:hint="default" w:ascii="Times New Roman" w:hAnsi="Times New Roman" w:cs="Times New Roman"/>
                <w:color w:val="000000" w:themeColor="text1"/>
                <w:sz w:val="24"/>
                <w14:textFill>
                  <w14:solidFill>
                    <w14:schemeClr w14:val="tx1"/>
                  </w14:solidFill>
                </w14:textFill>
              </w:rPr>
              <w:t>，详见下表。</w:t>
            </w:r>
          </w:p>
          <w:p w14:paraId="2782D636">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表4-</w:t>
            </w:r>
            <w:r>
              <w:rPr>
                <w:rFonts w:hint="default" w:ascii="Times New Roman" w:hAnsi="Times New Roman" w:cs="Times New Roman"/>
                <w:b/>
                <w:color w:val="000000" w:themeColor="text1"/>
                <w:sz w:val="21"/>
                <w:szCs w:val="21"/>
                <w:lang w:val="en-US" w:eastAsia="zh-CN"/>
                <w14:textFill>
                  <w14:solidFill>
                    <w14:schemeClr w14:val="tx1"/>
                  </w14:solidFill>
                </w14:textFill>
              </w:rPr>
              <w:t>10</w:t>
            </w:r>
            <w:r>
              <w:rPr>
                <w:rFonts w:hint="default" w:ascii="Times New Roman" w:hAnsi="Times New Roman" w:cs="Times New Roman"/>
                <w:b/>
                <w:color w:val="000000" w:themeColor="text1"/>
                <w:sz w:val="21"/>
                <w:szCs w:val="21"/>
                <w14:textFill>
                  <w14:solidFill>
                    <w14:schemeClr w14:val="tx1"/>
                  </w14:solidFill>
                </w14:textFill>
              </w:rPr>
              <w:t xml:space="preserve"> </w:t>
            </w:r>
            <w:r>
              <w:rPr>
                <w:rFonts w:hint="default" w:ascii="Times New Roman" w:hAnsi="Times New Roman" w:cs="Times New Roman"/>
                <w:b/>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color w:val="000000" w:themeColor="text1"/>
                <w:sz w:val="21"/>
                <w:szCs w:val="21"/>
                <w14:textFill>
                  <w14:solidFill>
                    <w14:schemeClr w14:val="tx1"/>
                  </w14:solidFill>
                </w14:textFill>
              </w:rPr>
              <w:t>排污单位废气污染防治推荐可行技术</w:t>
            </w:r>
          </w:p>
          <w:tbl>
            <w:tblPr>
              <w:tblStyle w:val="33"/>
              <w:tblW w:w="8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874"/>
              <w:gridCol w:w="1217"/>
              <w:gridCol w:w="1698"/>
              <w:gridCol w:w="1356"/>
              <w:gridCol w:w="1500"/>
              <w:gridCol w:w="1422"/>
            </w:tblGrid>
            <w:tr w14:paraId="7A149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874" w:type="dxa"/>
                  <w:tcBorders>
                    <w:tl2br w:val="nil"/>
                    <w:tr2bl w:val="nil"/>
                  </w:tcBorders>
                  <w:shd w:val="clear" w:color="auto" w:fill="auto"/>
                  <w:vAlign w:val="center"/>
                </w:tcPr>
                <w:p w14:paraId="56A9B356">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产污环节</w:t>
                  </w:r>
                </w:p>
              </w:tc>
              <w:tc>
                <w:tcPr>
                  <w:tcW w:w="1217" w:type="dxa"/>
                  <w:tcBorders>
                    <w:tl2br w:val="nil"/>
                    <w:tr2bl w:val="nil"/>
                  </w:tcBorders>
                  <w:shd w:val="clear" w:color="auto" w:fill="auto"/>
                  <w:vAlign w:val="center"/>
                </w:tcPr>
                <w:p w14:paraId="3D91CC22">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主要污染物</w:t>
                  </w:r>
                </w:p>
              </w:tc>
              <w:tc>
                <w:tcPr>
                  <w:tcW w:w="1698" w:type="dxa"/>
                  <w:tcBorders>
                    <w:tl2br w:val="nil"/>
                    <w:tr2bl w:val="nil"/>
                  </w:tcBorders>
                  <w:shd w:val="clear" w:color="auto" w:fill="auto"/>
                  <w:vAlign w:val="center"/>
                </w:tcPr>
                <w:p w14:paraId="75A244CE">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可行技术</w:t>
                  </w:r>
                </w:p>
              </w:tc>
              <w:tc>
                <w:tcPr>
                  <w:tcW w:w="1356" w:type="dxa"/>
                  <w:tcBorders>
                    <w:tl2br w:val="nil"/>
                    <w:tr2bl w:val="nil"/>
                  </w:tcBorders>
                  <w:shd w:val="clear" w:color="auto" w:fill="auto"/>
                  <w:vAlign w:val="center"/>
                </w:tcPr>
                <w:p w14:paraId="3C931046">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参照标准</w:t>
                  </w:r>
                </w:p>
              </w:tc>
              <w:tc>
                <w:tcPr>
                  <w:tcW w:w="1500" w:type="dxa"/>
                  <w:tcBorders>
                    <w:tl2br w:val="nil"/>
                    <w:tr2bl w:val="nil"/>
                  </w:tcBorders>
                  <w:shd w:val="clear" w:color="auto" w:fill="auto"/>
                  <w:vAlign w:val="center"/>
                </w:tcPr>
                <w:p w14:paraId="5A5D3401">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本项目处理工艺</w:t>
                  </w:r>
                </w:p>
              </w:tc>
              <w:tc>
                <w:tcPr>
                  <w:tcW w:w="1422" w:type="dxa"/>
                  <w:tcBorders>
                    <w:tl2br w:val="nil"/>
                    <w:tr2bl w:val="nil"/>
                  </w:tcBorders>
                  <w:shd w:val="clear" w:color="auto" w:fill="auto"/>
                  <w:vAlign w:val="center"/>
                </w:tcPr>
                <w:p w14:paraId="24D9212B">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对比说明</w:t>
                  </w:r>
                </w:p>
              </w:tc>
            </w:tr>
            <w:tr w14:paraId="77B69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8" w:hRule="atLeast"/>
                <w:jc w:val="center"/>
              </w:trPr>
              <w:tc>
                <w:tcPr>
                  <w:tcW w:w="874" w:type="dxa"/>
                  <w:vMerge w:val="restart"/>
                  <w:tcBorders>
                    <w:tl2br w:val="nil"/>
                    <w:tr2bl w:val="nil"/>
                  </w:tcBorders>
                  <w:shd w:val="clear" w:color="auto" w:fill="auto"/>
                  <w:vAlign w:val="center"/>
                </w:tcPr>
                <w:p w14:paraId="76B33755">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焚烧炉废气</w:t>
                  </w:r>
                </w:p>
              </w:tc>
              <w:tc>
                <w:tcPr>
                  <w:tcW w:w="1217" w:type="dxa"/>
                  <w:tcBorders>
                    <w:tl2br w:val="nil"/>
                    <w:tr2bl w:val="nil"/>
                  </w:tcBorders>
                  <w:shd w:val="clear" w:color="auto" w:fill="auto"/>
                  <w:vAlign w:val="center"/>
                </w:tcPr>
                <w:p w14:paraId="749CE2FE">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颗粒物</w:t>
                  </w:r>
                </w:p>
              </w:tc>
              <w:tc>
                <w:tcPr>
                  <w:tcW w:w="1698" w:type="dxa"/>
                  <w:tcBorders>
                    <w:tl2br w:val="nil"/>
                    <w:tr2bl w:val="nil"/>
                  </w:tcBorders>
                  <w:shd w:val="clear" w:color="auto" w:fill="auto"/>
                  <w:vAlign w:val="center"/>
                </w:tcPr>
                <w:p w14:paraId="6AF95D24">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袋式除尘、静电除尘</w:t>
                  </w:r>
                </w:p>
              </w:tc>
              <w:tc>
                <w:tcPr>
                  <w:tcW w:w="1356" w:type="dxa"/>
                  <w:vMerge w:val="restart"/>
                  <w:tcBorders>
                    <w:tl2br w:val="nil"/>
                    <w:tr2bl w:val="nil"/>
                  </w:tcBorders>
                  <w:shd w:val="clear" w:color="auto" w:fill="auto"/>
                  <w:vAlign w:val="center"/>
                </w:tcPr>
                <w:p w14:paraId="14970C84">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《排污许可证申请与核发技术规范  工业炉窑》（HJ 1121—2020）附录A.1</w:t>
                  </w:r>
                </w:p>
              </w:tc>
              <w:tc>
                <w:tcPr>
                  <w:tcW w:w="1500" w:type="dxa"/>
                  <w:vMerge w:val="restart"/>
                  <w:tcBorders>
                    <w:tl2br w:val="nil"/>
                    <w:tr2bl w:val="nil"/>
                  </w:tcBorders>
                  <w:shd w:val="clear" w:color="auto" w:fill="auto"/>
                  <w:vAlign w:val="center"/>
                </w:tcPr>
                <w:p w14:paraId="0F0B7A8D">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“旋风+布袋+喷淋”废气治理设施</w:t>
                  </w:r>
                </w:p>
              </w:tc>
              <w:tc>
                <w:tcPr>
                  <w:tcW w:w="1422" w:type="dxa"/>
                  <w:vMerge w:val="restart"/>
                  <w:tcBorders>
                    <w:tl2br w:val="nil"/>
                    <w:tr2bl w:val="nil"/>
                  </w:tcBorders>
                  <w:shd w:val="clear" w:color="auto" w:fill="auto"/>
                  <w:vAlign w:val="center"/>
                </w:tcPr>
                <w:p w14:paraId="60B5AEAF">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w:t>
                  </w:r>
                  <w:r>
                    <w:rPr>
                      <w:rFonts w:hint="default" w:ascii="Times New Roman" w:hAnsi="Times New Roman" w:eastAsia="宋体" w:cs="Times New Roman"/>
                      <w:color w:val="000000" w:themeColor="text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lang w:val="en-US" w:eastAsia="zh-CN"/>
                      <w14:textFill>
                        <w14:solidFill>
                          <w14:schemeClr w14:val="tx1"/>
                        </w14:solidFill>
                      </w14:textFill>
                    </w:rPr>
                    <w:instrText xml:space="preserve"> HYPERLINK "https://www.mee.gov.cn/xxgk2018/xxgk/xxgk01/202106/W020210624327149500026.pdf" </w:instrText>
                  </w:r>
                  <w:r>
                    <w:rPr>
                      <w:rFonts w:hint="default" w:ascii="Times New Roman" w:hAnsi="Times New Roman" w:eastAsia="宋体" w:cs="Times New Roman"/>
                      <w:color w:val="000000" w:themeColor="text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lang w:val="en-US" w:eastAsia="zh-CN"/>
                      <w14:textFill>
                        <w14:solidFill>
                          <w14:schemeClr w14:val="tx1"/>
                        </w14:solidFill>
                      </w14:textFill>
                    </w:rPr>
                    <w:t>排放源统计调查产排污核算方法和系数手册</w:t>
                  </w:r>
                  <w:r>
                    <w:rPr>
                      <w:rFonts w:hint="default" w:ascii="Times New Roman" w:hAnsi="Times New Roman" w:eastAsia="宋体" w:cs="Times New Roman"/>
                      <w:color w:val="000000" w:themeColor="text1"/>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lang w:val="en-US" w:eastAsia="zh-CN"/>
                      <w14:textFill>
                        <w14:solidFill>
                          <w14:schemeClr w14:val="tx1"/>
                        </w14:solidFill>
                      </w14:textFill>
                    </w:rPr>
                    <w:t>》中《33-37，431-434 机械行业系数手册》中“管式除尘末端治理效率为95%，袋式除尘末端治理效率为95%”处理效率一致，本项目废气经处理后能够达标排放。</w:t>
                  </w:r>
                </w:p>
                <w:p w14:paraId="39A9C667">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采用技术为可行技术。</w:t>
                  </w:r>
                </w:p>
              </w:tc>
            </w:tr>
            <w:tr w14:paraId="2D103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8" w:hRule="atLeast"/>
                <w:jc w:val="center"/>
              </w:trPr>
              <w:tc>
                <w:tcPr>
                  <w:tcW w:w="874" w:type="dxa"/>
                  <w:vMerge w:val="continue"/>
                  <w:tcBorders>
                    <w:tl2br w:val="nil"/>
                    <w:tr2bl w:val="nil"/>
                  </w:tcBorders>
                  <w:shd w:val="clear" w:color="auto" w:fill="auto"/>
                  <w:vAlign w:val="center"/>
                </w:tcPr>
                <w:p w14:paraId="15202012">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cs="Times New Roman"/>
                      <w:color w:val="000000" w:themeColor="text1"/>
                      <w14:textFill>
                        <w14:solidFill>
                          <w14:schemeClr w14:val="tx1"/>
                        </w14:solidFill>
                      </w14:textFill>
                    </w:rPr>
                  </w:pPr>
                </w:p>
              </w:tc>
              <w:tc>
                <w:tcPr>
                  <w:tcW w:w="1217" w:type="dxa"/>
                  <w:tcBorders>
                    <w:tl2br w:val="nil"/>
                    <w:tr2bl w:val="nil"/>
                  </w:tcBorders>
                  <w:shd w:val="clear" w:color="auto" w:fill="auto"/>
                  <w:vAlign w:val="center"/>
                </w:tcPr>
                <w:p w14:paraId="71E18D25">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二氧化硫</w:t>
                  </w:r>
                </w:p>
              </w:tc>
              <w:tc>
                <w:tcPr>
                  <w:tcW w:w="1698" w:type="dxa"/>
                  <w:tcBorders>
                    <w:tl2br w:val="nil"/>
                    <w:tr2bl w:val="nil"/>
                  </w:tcBorders>
                  <w:shd w:val="clear" w:color="auto" w:fill="auto"/>
                  <w:vAlign w:val="center"/>
                </w:tcPr>
                <w:p w14:paraId="4BA1E561">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采用低硫原料和燃料；干法、半干法脱硫；湿法脱硫</w:t>
                  </w:r>
                </w:p>
              </w:tc>
              <w:tc>
                <w:tcPr>
                  <w:tcW w:w="1356" w:type="dxa"/>
                  <w:vMerge w:val="continue"/>
                  <w:tcBorders>
                    <w:tl2br w:val="nil"/>
                    <w:tr2bl w:val="nil"/>
                  </w:tcBorders>
                  <w:shd w:val="clear" w:color="auto" w:fill="auto"/>
                  <w:vAlign w:val="center"/>
                </w:tcPr>
                <w:p w14:paraId="60899913">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cs="Times New Roman"/>
                      <w:color w:val="000000" w:themeColor="text1"/>
                      <w14:textFill>
                        <w14:solidFill>
                          <w14:schemeClr w14:val="tx1"/>
                        </w14:solidFill>
                      </w14:textFill>
                    </w:rPr>
                  </w:pPr>
                </w:p>
              </w:tc>
              <w:tc>
                <w:tcPr>
                  <w:tcW w:w="1500" w:type="dxa"/>
                  <w:vMerge w:val="continue"/>
                  <w:tcBorders>
                    <w:tl2br w:val="nil"/>
                    <w:tr2bl w:val="nil"/>
                  </w:tcBorders>
                  <w:shd w:val="clear" w:color="auto" w:fill="auto"/>
                  <w:vAlign w:val="center"/>
                </w:tcPr>
                <w:p w14:paraId="17C1CFCA">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cs="Times New Roman"/>
                      <w:color w:val="000000" w:themeColor="text1"/>
                      <w14:textFill>
                        <w14:solidFill>
                          <w14:schemeClr w14:val="tx1"/>
                        </w14:solidFill>
                      </w14:textFill>
                    </w:rPr>
                  </w:pPr>
                </w:p>
              </w:tc>
              <w:tc>
                <w:tcPr>
                  <w:tcW w:w="1422" w:type="dxa"/>
                  <w:vMerge w:val="continue"/>
                  <w:tcBorders>
                    <w:tl2br w:val="nil"/>
                    <w:tr2bl w:val="nil"/>
                  </w:tcBorders>
                  <w:shd w:val="clear" w:color="auto" w:fill="auto"/>
                  <w:vAlign w:val="center"/>
                </w:tcPr>
                <w:p w14:paraId="637139C9">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cs="Times New Roman"/>
                      <w:color w:val="000000" w:themeColor="text1"/>
                      <w14:textFill>
                        <w14:solidFill>
                          <w14:schemeClr w14:val="tx1"/>
                        </w14:solidFill>
                      </w14:textFill>
                    </w:rPr>
                  </w:pPr>
                </w:p>
              </w:tc>
            </w:tr>
            <w:tr w14:paraId="6918D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874" w:type="dxa"/>
                  <w:tcBorders>
                    <w:tl2br w:val="nil"/>
                    <w:tr2bl w:val="nil"/>
                  </w:tcBorders>
                  <w:shd w:val="clear" w:color="auto" w:fill="auto"/>
                  <w:vAlign w:val="center"/>
                </w:tcPr>
                <w:p w14:paraId="100876BA">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抛丸除锈废气</w:t>
                  </w:r>
                </w:p>
              </w:tc>
              <w:tc>
                <w:tcPr>
                  <w:tcW w:w="1217" w:type="dxa"/>
                  <w:tcBorders>
                    <w:tl2br w:val="nil"/>
                    <w:tr2bl w:val="nil"/>
                  </w:tcBorders>
                  <w:shd w:val="clear" w:color="auto" w:fill="auto"/>
                  <w:vAlign w:val="center"/>
                </w:tcPr>
                <w:p w14:paraId="7B3E68E3">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颗粒物</w:t>
                  </w:r>
                </w:p>
              </w:tc>
              <w:tc>
                <w:tcPr>
                  <w:tcW w:w="1698" w:type="dxa"/>
                  <w:tcBorders>
                    <w:tl2br w:val="nil"/>
                    <w:tr2bl w:val="nil"/>
                  </w:tcBorders>
                  <w:shd w:val="clear" w:color="auto" w:fill="auto"/>
                  <w:vAlign w:val="center"/>
                </w:tcPr>
                <w:p w14:paraId="572FEA6C">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袋式除尘、湿式除尘</w:t>
                  </w:r>
                </w:p>
              </w:tc>
              <w:tc>
                <w:tcPr>
                  <w:tcW w:w="1356" w:type="dxa"/>
                  <w:vMerge w:val="restart"/>
                  <w:tcBorders>
                    <w:tl2br w:val="nil"/>
                    <w:tr2bl w:val="nil"/>
                  </w:tcBorders>
                  <w:shd w:val="clear" w:color="auto" w:fill="auto"/>
                  <w:vAlign w:val="center"/>
                </w:tcPr>
                <w:p w14:paraId="5CEA5589">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《排污许可证申请与核发技术规范</w:t>
                  </w:r>
                  <w:r>
                    <w:rPr>
                      <w:rFonts w:hint="default" w:ascii="Times New Roman" w:hAnsi="Times New Roman" w:eastAsia="宋体"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lang w:eastAsia="zh-CN"/>
                      <w14:textFill>
                        <w14:solidFill>
                          <w14:schemeClr w14:val="tx1"/>
                        </w14:solidFill>
                      </w14:textFill>
                    </w:rPr>
                    <w:t>铁路、船舶、航空航天和其他运输设备制造业》</w:t>
                  </w:r>
                  <w:r>
                    <w:rPr>
                      <w:rFonts w:hint="default" w:ascii="Times New Roman" w:hAnsi="Times New Roman" w:eastAsia="宋体" w:cs="Times New Roman"/>
                      <w:color w:val="000000" w:themeColor="text1"/>
                      <w14:textFill>
                        <w14:solidFill>
                          <w14:schemeClr w14:val="tx1"/>
                        </w14:solidFill>
                      </w14:textFill>
                    </w:rPr>
                    <w:t>（HJ 112</w:t>
                  </w:r>
                  <w:r>
                    <w:rPr>
                      <w:rFonts w:hint="default" w:ascii="Times New Roman" w:hAnsi="Times New Roman" w:eastAsia="宋体"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14:textFill>
                        <w14:solidFill>
                          <w14:schemeClr w14:val="tx1"/>
                        </w14:solidFill>
                      </w14:textFill>
                    </w:rPr>
                    <w:t>—2020）</w:t>
                  </w:r>
                  <w:r>
                    <w:rPr>
                      <w:rFonts w:hint="default" w:ascii="Times New Roman" w:hAnsi="Times New Roman" w:eastAsia="宋体" w:cs="Times New Roman"/>
                      <w:color w:val="000000" w:themeColor="text1"/>
                      <w:lang w:val="en-US" w:eastAsia="zh-CN"/>
                      <w14:textFill>
                        <w14:solidFill>
                          <w14:schemeClr w14:val="tx1"/>
                        </w14:solidFill>
                      </w14:textFill>
                    </w:rPr>
                    <w:t>附录A表A.6</w:t>
                  </w:r>
                </w:p>
              </w:tc>
              <w:tc>
                <w:tcPr>
                  <w:tcW w:w="1500" w:type="dxa"/>
                  <w:tcBorders>
                    <w:tl2br w:val="nil"/>
                    <w:tr2bl w:val="nil"/>
                  </w:tcBorders>
                  <w:shd w:val="clear" w:color="auto" w:fill="auto"/>
                  <w:vAlign w:val="center"/>
                </w:tcPr>
                <w:p w14:paraId="486D8A27">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脉冲滤筒除尘</w:t>
                  </w:r>
                </w:p>
              </w:tc>
              <w:tc>
                <w:tcPr>
                  <w:tcW w:w="1422" w:type="dxa"/>
                  <w:vMerge w:val="continue"/>
                  <w:tcBorders>
                    <w:tl2br w:val="nil"/>
                    <w:tr2bl w:val="nil"/>
                  </w:tcBorders>
                  <w:shd w:val="clear" w:color="auto" w:fill="auto"/>
                  <w:vAlign w:val="center"/>
                </w:tcPr>
                <w:p w14:paraId="4FF9F35C">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tc>
            </w:tr>
            <w:tr w14:paraId="45FD0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874" w:type="dxa"/>
                  <w:tcBorders>
                    <w:tl2br w:val="nil"/>
                    <w:tr2bl w:val="nil"/>
                  </w:tcBorders>
                  <w:shd w:val="clear" w:color="auto" w:fill="auto"/>
                  <w:vAlign w:val="center"/>
                </w:tcPr>
                <w:p w14:paraId="68C36AC5">
                  <w:pPr>
                    <w:pStyle w:val="20"/>
                    <w:keepNext w:val="0"/>
                    <w:keepLines w:val="0"/>
                    <w:pageBreakBefore w:val="0"/>
                    <w:widowControl w:val="0"/>
                    <w:kinsoku/>
                    <w:wordWrap w:val="0"/>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喷塑废气</w:t>
                  </w:r>
                </w:p>
              </w:tc>
              <w:tc>
                <w:tcPr>
                  <w:tcW w:w="1217" w:type="dxa"/>
                  <w:tcBorders>
                    <w:tl2br w:val="nil"/>
                    <w:tr2bl w:val="nil"/>
                  </w:tcBorders>
                  <w:shd w:val="clear" w:color="auto" w:fill="auto"/>
                  <w:vAlign w:val="center"/>
                </w:tcPr>
                <w:p w14:paraId="6F6B7C61">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颗粒物</w:t>
                  </w:r>
                </w:p>
              </w:tc>
              <w:tc>
                <w:tcPr>
                  <w:tcW w:w="1698" w:type="dxa"/>
                  <w:tcBorders>
                    <w:tl2br w:val="nil"/>
                    <w:tr2bl w:val="nil"/>
                  </w:tcBorders>
                  <w:shd w:val="clear" w:color="auto" w:fill="auto"/>
                  <w:vAlign w:val="center"/>
                </w:tcPr>
                <w:p w14:paraId="7BF53195">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袋式除尘</w:t>
                  </w:r>
                </w:p>
              </w:tc>
              <w:tc>
                <w:tcPr>
                  <w:tcW w:w="1356" w:type="dxa"/>
                  <w:vMerge w:val="continue"/>
                  <w:tcBorders>
                    <w:tl2br w:val="nil"/>
                    <w:tr2bl w:val="nil"/>
                  </w:tcBorders>
                  <w:shd w:val="clear" w:color="auto" w:fill="auto"/>
                  <w:vAlign w:val="center"/>
                </w:tcPr>
                <w:p w14:paraId="5CB95F3E">
                  <w:pPr>
                    <w:pStyle w:val="124"/>
                    <w:keepNext w:val="0"/>
                    <w:keepLines w:val="0"/>
                    <w:pageBreakBefore w:val="0"/>
                    <w:widowControl w:val="0"/>
                    <w:kinsoku/>
                    <w:wordWrap w:val="0"/>
                    <w:overflowPunct/>
                    <w:topLinePunct w:val="0"/>
                    <w:autoSpaceDE/>
                    <w:autoSpaceDN/>
                    <w:bidi w:val="0"/>
                    <w:ind w:firstLine="0" w:firstLineChars="0"/>
                    <w:textAlignment w:val="auto"/>
                    <w:rPr>
                      <w:rFonts w:hint="default" w:ascii="Times New Roman" w:hAnsi="Times New Roman" w:cs="Times New Roman"/>
                      <w:color w:val="000000" w:themeColor="text1"/>
                      <w14:textFill>
                        <w14:solidFill>
                          <w14:schemeClr w14:val="tx1"/>
                        </w14:solidFill>
                      </w14:textFill>
                    </w:rPr>
                  </w:pPr>
                </w:p>
              </w:tc>
              <w:tc>
                <w:tcPr>
                  <w:tcW w:w="1500" w:type="dxa"/>
                  <w:tcBorders>
                    <w:tl2br w:val="nil"/>
                    <w:tr2bl w:val="nil"/>
                  </w:tcBorders>
                  <w:shd w:val="clear" w:color="auto" w:fill="auto"/>
                  <w:vAlign w:val="center"/>
                </w:tcPr>
                <w:p w14:paraId="5E43CC94">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脉冲滤筒除尘</w:t>
                  </w:r>
                </w:p>
              </w:tc>
              <w:tc>
                <w:tcPr>
                  <w:tcW w:w="1422" w:type="dxa"/>
                  <w:vMerge w:val="continue"/>
                  <w:tcBorders>
                    <w:tl2br w:val="nil"/>
                    <w:tr2bl w:val="nil"/>
                  </w:tcBorders>
                  <w:shd w:val="clear" w:color="auto" w:fill="auto"/>
                  <w:vAlign w:val="center"/>
                </w:tcPr>
                <w:p w14:paraId="2E05C7AA">
                  <w:pPr>
                    <w:pStyle w:val="124"/>
                    <w:keepNext w:val="0"/>
                    <w:keepLines w:val="0"/>
                    <w:pageBreakBefore w:val="0"/>
                    <w:widowControl w:val="0"/>
                    <w:kinsoku/>
                    <w:wordWrap w:val="0"/>
                    <w:overflowPunct/>
                    <w:topLinePunct w:val="0"/>
                    <w:autoSpaceDE/>
                    <w:autoSpaceDN/>
                    <w:bidi w:val="0"/>
                    <w:ind w:firstLine="0" w:firstLineChars="0"/>
                    <w:textAlignment w:val="auto"/>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p>
              </w:tc>
            </w:tr>
            <w:tr w14:paraId="58B38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874" w:type="dxa"/>
                  <w:tcBorders>
                    <w:tl2br w:val="nil"/>
                    <w:tr2bl w:val="nil"/>
                  </w:tcBorders>
                  <w:shd w:val="clear" w:color="auto" w:fill="auto"/>
                  <w:vAlign w:val="center"/>
                </w:tcPr>
                <w:p w14:paraId="10C92F87">
                  <w:pPr>
                    <w:pStyle w:val="20"/>
                    <w:keepNext w:val="0"/>
                    <w:keepLines w:val="0"/>
                    <w:pageBreakBefore w:val="0"/>
                    <w:widowControl w:val="0"/>
                    <w:kinsoku/>
                    <w:wordWrap w:val="0"/>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烘干固化废气</w:t>
                  </w:r>
                </w:p>
              </w:tc>
              <w:tc>
                <w:tcPr>
                  <w:tcW w:w="1217" w:type="dxa"/>
                  <w:tcBorders>
                    <w:tl2br w:val="nil"/>
                    <w:tr2bl w:val="nil"/>
                  </w:tcBorders>
                  <w:shd w:val="clear" w:color="auto" w:fill="auto"/>
                  <w:vAlign w:val="center"/>
                </w:tcPr>
                <w:p w14:paraId="5414E020">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颗粒物</w:t>
                  </w:r>
                  <w:r>
                    <w:rPr>
                      <w:rFonts w:hint="default" w:ascii="Times New Roman" w:hAnsi="Times New Roman" w:cs="Times New Roman"/>
                      <w:color w:val="000000" w:themeColor="text1"/>
                      <w:lang w:eastAsia="zh-CN"/>
                      <w14:textFill>
                        <w14:solidFill>
                          <w14:schemeClr w14:val="tx1"/>
                        </w14:solidFill>
                      </w14:textFill>
                    </w:rPr>
                    <w:t>、二氧化硫、氮氧化物、非甲烷总烃</w:t>
                  </w:r>
                </w:p>
              </w:tc>
              <w:tc>
                <w:tcPr>
                  <w:tcW w:w="1698" w:type="dxa"/>
                  <w:tcBorders>
                    <w:tl2br w:val="nil"/>
                    <w:tr2bl w:val="nil"/>
                  </w:tcBorders>
                  <w:shd w:val="clear" w:color="auto" w:fill="auto"/>
                  <w:vAlign w:val="center"/>
                </w:tcPr>
                <w:p w14:paraId="2CBD9E6C">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热力焚烧/催化氧化、吸附/浓缩</w:t>
                  </w:r>
                </w:p>
                <w:p w14:paraId="47627D3D">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+热力焚烧/催化氧化、吸附+冷</w:t>
                  </w:r>
                </w:p>
                <w:p w14:paraId="10D621E6">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凝回收</w:t>
                  </w:r>
                </w:p>
              </w:tc>
              <w:tc>
                <w:tcPr>
                  <w:tcW w:w="1356" w:type="dxa"/>
                  <w:vMerge w:val="continue"/>
                  <w:tcBorders>
                    <w:tl2br w:val="nil"/>
                    <w:tr2bl w:val="nil"/>
                  </w:tcBorders>
                  <w:shd w:val="clear" w:color="auto" w:fill="auto"/>
                  <w:vAlign w:val="center"/>
                </w:tcPr>
                <w:p w14:paraId="1688F0B7">
                  <w:pPr>
                    <w:pStyle w:val="124"/>
                    <w:keepNext w:val="0"/>
                    <w:keepLines w:val="0"/>
                    <w:pageBreakBefore w:val="0"/>
                    <w:widowControl w:val="0"/>
                    <w:kinsoku/>
                    <w:wordWrap w:val="0"/>
                    <w:overflowPunct/>
                    <w:topLinePunct w:val="0"/>
                    <w:autoSpaceDE/>
                    <w:autoSpaceDN/>
                    <w:bidi w:val="0"/>
                    <w:ind w:firstLine="0" w:firstLineChars="0"/>
                    <w:textAlignment w:val="auto"/>
                    <w:rPr>
                      <w:rFonts w:hint="default" w:ascii="Times New Roman" w:hAnsi="Times New Roman" w:cs="Times New Roman"/>
                      <w:color w:val="000000" w:themeColor="text1"/>
                      <w14:textFill>
                        <w14:solidFill>
                          <w14:schemeClr w14:val="tx1"/>
                        </w14:solidFill>
                      </w14:textFill>
                    </w:rPr>
                  </w:pPr>
                </w:p>
              </w:tc>
              <w:tc>
                <w:tcPr>
                  <w:tcW w:w="1500" w:type="dxa"/>
                  <w:tcBorders>
                    <w:tl2br w:val="nil"/>
                    <w:tr2bl w:val="nil"/>
                  </w:tcBorders>
                  <w:shd w:val="clear" w:color="auto" w:fill="auto"/>
                  <w:vAlign w:val="center"/>
                </w:tcPr>
                <w:p w14:paraId="770A7665">
                  <w:pPr>
                    <w:pStyle w:val="124"/>
                    <w:keepNext w:val="0"/>
                    <w:keepLines w:val="0"/>
                    <w:pageBreakBefore w:val="0"/>
                    <w:widowControl w:val="0"/>
                    <w:kinsoku/>
                    <w:wordWrap w:val="0"/>
                    <w:overflowPunct/>
                    <w:topLinePunct w:val="0"/>
                    <w:autoSpaceDE/>
                    <w:autoSpaceDN/>
                    <w:bidi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热力焚烧</w:t>
                  </w:r>
                </w:p>
              </w:tc>
              <w:tc>
                <w:tcPr>
                  <w:tcW w:w="1422" w:type="dxa"/>
                  <w:vMerge w:val="continue"/>
                  <w:tcBorders>
                    <w:tl2br w:val="nil"/>
                    <w:tr2bl w:val="nil"/>
                  </w:tcBorders>
                  <w:shd w:val="clear" w:color="auto" w:fill="auto"/>
                  <w:vAlign w:val="center"/>
                </w:tcPr>
                <w:p w14:paraId="78FEC6E9">
                  <w:pPr>
                    <w:pStyle w:val="124"/>
                    <w:keepNext w:val="0"/>
                    <w:keepLines w:val="0"/>
                    <w:pageBreakBefore w:val="0"/>
                    <w:widowControl w:val="0"/>
                    <w:kinsoku/>
                    <w:wordWrap w:val="0"/>
                    <w:overflowPunct/>
                    <w:topLinePunct w:val="0"/>
                    <w:autoSpaceDE/>
                    <w:autoSpaceDN/>
                    <w:bidi w:val="0"/>
                    <w:ind w:firstLine="0" w:firstLineChars="0"/>
                    <w:textAlignment w:val="auto"/>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p>
              </w:tc>
            </w:tr>
          </w:tbl>
          <w:p w14:paraId="0A124B40">
            <w:pPr>
              <w:widowControl/>
              <w:spacing w:line="360" w:lineRule="auto"/>
              <w:ind w:firstLine="482" w:firstLineChars="200"/>
              <w:jc w:val="left"/>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lang w:val="en-US" w:eastAsia="zh-CN"/>
                <w14:textFill>
                  <w14:solidFill>
                    <w14:schemeClr w14:val="tx1"/>
                  </w14:solidFill>
                </w14:textFill>
              </w:rPr>
              <w:t>3</w:t>
            </w:r>
            <w:r>
              <w:rPr>
                <w:rFonts w:hint="default" w:ascii="Times New Roman" w:hAnsi="Times New Roman" w:cs="Times New Roman"/>
                <w:b/>
                <w:color w:val="000000" w:themeColor="text1"/>
                <w:sz w:val="24"/>
                <w:lang w:eastAsia="zh-CN"/>
                <w14:textFill>
                  <w14:solidFill>
                    <w14:schemeClr w14:val="tx1"/>
                  </w14:solidFill>
                </w14:textFill>
              </w:rPr>
              <w:t>）</w:t>
            </w:r>
            <w:r>
              <w:rPr>
                <w:rFonts w:hint="default" w:ascii="Times New Roman" w:hAnsi="Times New Roman" w:cs="Times New Roman"/>
                <w:b/>
                <w:color w:val="000000" w:themeColor="text1"/>
                <w:sz w:val="24"/>
                <w14:textFill>
                  <w14:solidFill>
                    <w14:schemeClr w14:val="tx1"/>
                  </w14:solidFill>
                </w14:textFill>
              </w:rPr>
              <w:t>无组织排放废气防治措施</w:t>
            </w:r>
          </w:p>
          <w:p w14:paraId="2CA0426E">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本项目无组织废气为</w:t>
            </w:r>
            <w:r>
              <w:rPr>
                <w:rFonts w:hint="default" w:ascii="Times New Roman" w:hAnsi="Times New Roman" w:cs="Times New Roman"/>
                <w:color w:val="000000" w:themeColor="text1"/>
                <w:sz w:val="24"/>
                <w:lang w:eastAsia="zh-CN"/>
                <w14:textFill>
                  <w14:solidFill>
                    <w14:schemeClr w14:val="tx1"/>
                  </w14:solidFill>
                </w14:textFill>
              </w:rPr>
              <w:t>非甲烷总烃</w:t>
            </w:r>
            <w:r>
              <w:rPr>
                <w:rFonts w:hint="default" w:ascii="Times New Roman" w:hAnsi="Times New Roman" w:cs="Times New Roman"/>
                <w:color w:val="000000" w:themeColor="text1"/>
                <w:sz w:val="24"/>
                <w14:textFill>
                  <w14:solidFill>
                    <w14:schemeClr w14:val="tx1"/>
                  </w14:solidFill>
                </w14:textFill>
              </w:rPr>
              <w:t>。为了进一步减少废气对生产车间环境空气的影响和保障工人健康，建议建设单位采取下列措施：</w:t>
            </w:r>
          </w:p>
          <w:p w14:paraId="18AF5297">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①加强生产车间内通风，并设置较强的排风系统；</w:t>
            </w:r>
          </w:p>
          <w:p w14:paraId="21294A1C">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②加强设备维护，防止不良工况下的废气产生；</w:t>
            </w:r>
          </w:p>
          <w:p w14:paraId="66A9D7ED">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③建议生产车间操作人员操作时佩戴口罩；</w:t>
            </w:r>
          </w:p>
          <w:p w14:paraId="18DF22D5">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④加强操作工的培训和管理，所有操作严格按照既定的规程进行，以减少人为造成的对环境的污染。</w:t>
            </w:r>
          </w:p>
          <w:p w14:paraId="3BEF6572">
            <w:pPr>
              <w:keepNext w:val="0"/>
              <w:keepLines/>
              <w:pageBreakBefore w:val="0"/>
              <w:tabs>
                <w:tab w:val="left" w:pos="4830"/>
              </w:tabs>
              <w:kinsoku/>
              <w:overflowPunct/>
              <w:bidi w:val="0"/>
              <w:adjustRightInd/>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w:t>
            </w:r>
            <w:r>
              <w:rPr>
                <w:rFonts w:hint="default" w:ascii="Times New Roman" w:hAnsi="Times New Roman" w:cs="Times New Roman"/>
                <w:b/>
                <w:bCs/>
                <w:color w:val="000000" w:themeColor="text1"/>
                <w:sz w:val="24"/>
                <w:lang w:val="en-US" w:eastAsia="zh-CN"/>
                <w14:textFill>
                  <w14:solidFill>
                    <w14:schemeClr w14:val="tx1"/>
                  </w14:solidFill>
                </w14:textFill>
              </w:rPr>
              <w:t>4</w:t>
            </w:r>
            <w:r>
              <w:rPr>
                <w:rFonts w:hint="default" w:ascii="Times New Roman" w:hAnsi="Times New Roman" w:cs="Times New Roman"/>
                <w:b/>
                <w:bCs/>
                <w:color w:val="000000" w:themeColor="text1"/>
                <w:sz w:val="24"/>
                <w14:textFill>
                  <w14:solidFill>
                    <w14:schemeClr w14:val="tx1"/>
                  </w14:solidFill>
                </w14:textFill>
              </w:rPr>
              <w:t>）自行监测一览表</w:t>
            </w:r>
          </w:p>
          <w:p w14:paraId="43508CB0">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根据《排污许可证申请与核发技术规范  </w:t>
            </w:r>
            <w:r>
              <w:rPr>
                <w:rFonts w:hint="default" w:ascii="Times New Roman" w:hAnsi="Times New Roman" w:eastAsia="宋体" w:cs="Times New Roman"/>
                <w:color w:val="000000" w:themeColor="text1"/>
                <w:sz w:val="24"/>
                <w:lang w:val="en-US" w:eastAsia="zh-CN"/>
                <w14:textFill>
                  <w14:solidFill>
                    <w14:schemeClr w14:val="tx1"/>
                  </w14:solidFill>
                </w14:textFill>
              </w:rPr>
              <w:t>工业炉窑</w:t>
            </w:r>
            <w:r>
              <w:rPr>
                <w:rFonts w:hint="default" w:ascii="Times New Roman" w:hAnsi="Times New Roman" w:eastAsia="宋体" w:cs="Times New Roman"/>
                <w:color w:val="000000" w:themeColor="text1"/>
                <w:sz w:val="24"/>
                <w14:textFill>
                  <w14:solidFill>
                    <w14:schemeClr w14:val="tx1"/>
                  </w14:solidFill>
                </w14:textFill>
              </w:rPr>
              <w:t>》（HJ 112</w:t>
            </w:r>
            <w:r>
              <w:rPr>
                <w:rFonts w:hint="default" w:ascii="Times New Roman" w:hAnsi="Times New Roman" w:eastAsia="宋体"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14:textFill>
                  <w14:solidFill>
                    <w14:schemeClr w14:val="tx1"/>
                  </w14:solidFill>
                </w14:textFill>
              </w:rPr>
              <w:t>—2020）</w:t>
            </w:r>
            <w:r>
              <w:rPr>
                <w:rFonts w:hint="default" w:ascii="Times New Roman" w:hAnsi="Times New Roman" w:eastAsia="宋体" w:cs="Times New Roman"/>
                <w:color w:val="000000" w:themeColor="text1"/>
                <w:sz w:val="24"/>
                <w:lang w:eastAsia="zh-CN"/>
                <w14:textFill>
                  <w14:solidFill>
                    <w14:schemeClr w14:val="tx1"/>
                  </w14:solidFill>
                </w14:textFill>
              </w:rPr>
              <w:t>，《排污许可证申请与核发技术规范</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lang w:eastAsia="zh-CN"/>
                <w14:textFill>
                  <w14:solidFill>
                    <w14:schemeClr w14:val="tx1"/>
                  </w14:solidFill>
                </w14:textFill>
              </w:rPr>
              <w:t>铁路、船舶、航空航天和其他运输设备制造业》</w:t>
            </w:r>
            <w:r>
              <w:rPr>
                <w:rFonts w:hint="default" w:ascii="Times New Roman" w:hAnsi="Times New Roman" w:eastAsia="宋体" w:cs="Times New Roman"/>
                <w:color w:val="000000" w:themeColor="text1"/>
                <w:sz w:val="24"/>
                <w14:textFill>
                  <w14:solidFill>
                    <w14:schemeClr w14:val="tx1"/>
                  </w14:solidFill>
                </w14:textFill>
              </w:rPr>
              <w:t>（HJ 112</w:t>
            </w:r>
            <w:r>
              <w:rPr>
                <w:rFonts w:hint="default" w:ascii="Times New Roman" w:hAnsi="Times New Roman" w:eastAsia="宋体"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14:textFill>
                  <w14:solidFill>
                    <w14:schemeClr w14:val="tx1"/>
                  </w14:solidFill>
                </w14:textFill>
              </w:rPr>
              <w:t>—2020）</w:t>
            </w:r>
            <w:r>
              <w:rPr>
                <w:rFonts w:hint="default" w:ascii="Times New Roman" w:hAnsi="Times New Roman" w:eastAsia="宋体" w:cs="Times New Roman"/>
                <w:color w:val="000000" w:themeColor="text1"/>
                <w:sz w:val="24"/>
                <w:lang w:eastAsia="zh-CN"/>
                <w14:textFill>
                  <w14:solidFill>
                    <w14:schemeClr w14:val="tx1"/>
                  </w14:solidFill>
                </w14:textFill>
              </w:rPr>
              <w:t>“附录</w:t>
            </w:r>
            <w:r>
              <w:rPr>
                <w:rFonts w:hint="default" w:ascii="Times New Roman" w:hAnsi="Times New Roman" w:eastAsia="宋体" w:cs="Times New Roman"/>
                <w:color w:val="000000" w:themeColor="text1"/>
                <w:sz w:val="24"/>
                <w:lang w:val="en-US" w:eastAsia="zh-CN"/>
                <w14:textFill>
                  <w14:solidFill>
                    <w14:schemeClr w14:val="tx1"/>
                  </w14:solidFill>
                </w14:textFill>
              </w:rPr>
              <w:t>A表面处理（涂装）排污单位</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中相关要求，本项目废气自行监测具体详见下表。</w:t>
            </w:r>
          </w:p>
          <w:p w14:paraId="2E06E4AB">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1B3D20FC">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表4-</w:t>
            </w:r>
            <w:r>
              <w:rPr>
                <w:rFonts w:hint="default" w:ascii="Times New Roman" w:hAnsi="Times New Roman" w:cs="Times New Roman"/>
                <w:b/>
                <w:color w:val="000000" w:themeColor="text1"/>
                <w:sz w:val="21"/>
                <w:szCs w:val="21"/>
                <w:lang w:val="en-US" w:eastAsia="zh-CN"/>
                <w14:textFill>
                  <w14:solidFill>
                    <w14:schemeClr w14:val="tx1"/>
                  </w14:solidFill>
                </w14:textFill>
              </w:rPr>
              <w:t>11</w:t>
            </w:r>
            <w:r>
              <w:rPr>
                <w:rFonts w:hint="default" w:ascii="Times New Roman" w:hAnsi="Times New Roman" w:eastAsia="宋体" w:cs="Times New Roman"/>
                <w:b/>
                <w:color w:val="000000" w:themeColor="text1"/>
                <w:sz w:val="21"/>
                <w:szCs w:val="21"/>
                <w14:textFill>
                  <w14:solidFill>
                    <w14:schemeClr w14:val="tx1"/>
                  </w14:solidFill>
                </w14:textFill>
              </w:rPr>
              <w:t xml:space="preserve"> 项目废气自行监测一览表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9"/>
              <w:gridCol w:w="2276"/>
              <w:gridCol w:w="2423"/>
              <w:gridCol w:w="1072"/>
            </w:tblGrid>
            <w:tr w14:paraId="1BC01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2" w:type="dxa"/>
                  <w:vAlign w:val="center"/>
                </w:tcPr>
                <w:p w14:paraId="55CD3D61">
                  <w:pPr>
                    <w:pStyle w:val="124"/>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排放方式</w:t>
                  </w:r>
                </w:p>
              </w:tc>
              <w:tc>
                <w:tcPr>
                  <w:tcW w:w="2332" w:type="dxa"/>
                  <w:vAlign w:val="center"/>
                </w:tcPr>
                <w:p w14:paraId="0DF1B7B8">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监测点位</w:t>
                  </w:r>
                </w:p>
              </w:tc>
              <w:tc>
                <w:tcPr>
                  <w:tcW w:w="2521" w:type="dxa"/>
                  <w:vAlign w:val="center"/>
                </w:tcPr>
                <w:p w14:paraId="28E7D20B">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监测项目</w:t>
                  </w:r>
                </w:p>
              </w:tc>
              <w:tc>
                <w:tcPr>
                  <w:tcW w:w="1107" w:type="dxa"/>
                  <w:vAlign w:val="center"/>
                </w:tcPr>
                <w:p w14:paraId="7E142F7B">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监测频次</w:t>
                  </w:r>
                </w:p>
              </w:tc>
            </w:tr>
            <w:tr w14:paraId="14797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2" w:type="dxa"/>
                  <w:vMerge w:val="restart"/>
                  <w:vAlign w:val="center"/>
                </w:tcPr>
                <w:p w14:paraId="1B85CC83">
                  <w:pPr>
                    <w:pStyle w:val="124"/>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有组织</w:t>
                  </w:r>
                </w:p>
              </w:tc>
              <w:tc>
                <w:tcPr>
                  <w:tcW w:w="2332" w:type="dxa"/>
                  <w:vAlign w:val="center"/>
                </w:tcPr>
                <w:p w14:paraId="1DC8F951">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排气口（DA001）</w:t>
                  </w:r>
                </w:p>
              </w:tc>
              <w:tc>
                <w:tcPr>
                  <w:tcW w:w="2521" w:type="dxa"/>
                  <w:vAlign w:val="center"/>
                </w:tcPr>
                <w:p w14:paraId="03F75A84">
                  <w:pPr>
                    <w:pStyle w:val="124"/>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颗粒物、二氧化硫、氮氧化物</w:t>
                  </w:r>
                  <w:r>
                    <w:rPr>
                      <w:rFonts w:hint="default" w:ascii="Times New Roman" w:hAnsi="Times New Roman" w:eastAsia="宋体" w:cs="Times New Roman"/>
                      <w:color w:val="000000" w:themeColor="text1"/>
                      <w:lang w:eastAsia="zh-CN"/>
                      <w14:textFill>
                        <w14:solidFill>
                          <w14:schemeClr w14:val="tx1"/>
                        </w14:solidFill>
                      </w14:textFill>
                    </w:rPr>
                    <w:t>、烟气黑度</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非甲烷总烃</w:t>
                  </w:r>
                </w:p>
              </w:tc>
              <w:tc>
                <w:tcPr>
                  <w:tcW w:w="1107" w:type="dxa"/>
                  <w:vAlign w:val="center"/>
                </w:tcPr>
                <w:p w14:paraId="564F7D0F">
                  <w:pPr>
                    <w:pStyle w:val="1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1次/年</w:t>
                  </w:r>
                </w:p>
              </w:tc>
            </w:tr>
            <w:tr w14:paraId="5F8E2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2" w:type="dxa"/>
                  <w:vMerge w:val="continue"/>
                  <w:vAlign w:val="center"/>
                </w:tcPr>
                <w:p w14:paraId="5D98C456">
                  <w:pPr>
                    <w:pStyle w:val="124"/>
                    <w:ind w:firstLine="0" w:firstLineChars="0"/>
                    <w:rPr>
                      <w:rFonts w:hint="default" w:ascii="Times New Roman" w:hAnsi="Times New Roman" w:cs="Times New Roman"/>
                      <w:color w:val="000000" w:themeColor="text1"/>
                      <w14:textFill>
                        <w14:solidFill>
                          <w14:schemeClr w14:val="tx1"/>
                        </w14:solidFill>
                      </w14:textFill>
                    </w:rPr>
                  </w:pPr>
                </w:p>
              </w:tc>
              <w:tc>
                <w:tcPr>
                  <w:tcW w:w="2332" w:type="dxa"/>
                  <w:vAlign w:val="center"/>
                </w:tcPr>
                <w:p w14:paraId="73247B6E">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排气口（DA00</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p>
              </w:tc>
              <w:tc>
                <w:tcPr>
                  <w:tcW w:w="2521" w:type="dxa"/>
                  <w:vAlign w:val="center"/>
                </w:tcPr>
                <w:p w14:paraId="4B5D03D5">
                  <w:pPr>
                    <w:pStyle w:val="124"/>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颗粒物</w:t>
                  </w:r>
                </w:p>
              </w:tc>
              <w:tc>
                <w:tcPr>
                  <w:tcW w:w="1107" w:type="dxa"/>
                  <w:vAlign w:val="center"/>
                </w:tcPr>
                <w:p w14:paraId="0EEF0FF6">
                  <w:pPr>
                    <w:pStyle w:val="12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1次/年</w:t>
                  </w:r>
                </w:p>
              </w:tc>
            </w:tr>
            <w:tr w14:paraId="4EC81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2402" w:type="dxa"/>
                  <w:vAlign w:val="center"/>
                </w:tcPr>
                <w:p w14:paraId="7F76DCE1">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厂界无组织</w:t>
                  </w:r>
                </w:p>
              </w:tc>
              <w:tc>
                <w:tcPr>
                  <w:tcW w:w="2332" w:type="dxa"/>
                  <w:vAlign w:val="center"/>
                </w:tcPr>
                <w:p w14:paraId="6D829C37">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厂址上风向设1个对照点、厂址下风向设3个监控点</w:t>
                  </w:r>
                </w:p>
              </w:tc>
              <w:tc>
                <w:tcPr>
                  <w:tcW w:w="2521" w:type="dxa"/>
                  <w:vAlign w:val="center"/>
                </w:tcPr>
                <w:p w14:paraId="51623A78">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非甲烷总烃</w:t>
                  </w:r>
                </w:p>
              </w:tc>
              <w:tc>
                <w:tcPr>
                  <w:tcW w:w="1107" w:type="dxa"/>
                  <w:vAlign w:val="center"/>
                </w:tcPr>
                <w:p w14:paraId="23DA0E26">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1次/年</w:t>
                  </w:r>
                </w:p>
              </w:tc>
            </w:tr>
            <w:tr w14:paraId="33CC8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2" w:type="dxa"/>
                  <w:vAlign w:val="center"/>
                </w:tcPr>
                <w:p w14:paraId="739F1336">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厂内无组织</w:t>
                  </w:r>
                </w:p>
              </w:tc>
              <w:tc>
                <w:tcPr>
                  <w:tcW w:w="2332" w:type="dxa"/>
                  <w:vAlign w:val="center"/>
                </w:tcPr>
                <w:p w14:paraId="6A872D1D">
                  <w:pPr>
                    <w:pStyle w:val="124"/>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车间门口</w:t>
                  </w:r>
                </w:p>
              </w:tc>
              <w:tc>
                <w:tcPr>
                  <w:tcW w:w="2521" w:type="dxa"/>
                  <w:vAlign w:val="center"/>
                </w:tcPr>
                <w:p w14:paraId="290FB92A">
                  <w:pPr>
                    <w:pStyle w:val="124"/>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非甲烷总烃</w:t>
                  </w:r>
                </w:p>
              </w:tc>
              <w:tc>
                <w:tcPr>
                  <w:tcW w:w="1107" w:type="dxa"/>
                  <w:vAlign w:val="center"/>
                </w:tcPr>
                <w:p w14:paraId="0CCFB3CB">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1次/年</w:t>
                  </w:r>
                </w:p>
              </w:tc>
            </w:tr>
          </w:tbl>
          <w:p w14:paraId="6F5E9984">
            <w:pPr>
              <w:keepNext w:val="0"/>
              <w:keepLines/>
              <w:pageBreakBefore w:val="0"/>
              <w:tabs>
                <w:tab w:val="left" w:pos="4830"/>
              </w:tabs>
              <w:kinsoku/>
              <w:overflowPunct/>
              <w:bidi w:val="0"/>
              <w:adjustRightInd/>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w:t>
            </w:r>
            <w:r>
              <w:rPr>
                <w:rFonts w:hint="default" w:ascii="Times New Roman" w:hAnsi="Times New Roman" w:cs="Times New Roman"/>
                <w:b/>
                <w:bCs/>
                <w:color w:val="000000" w:themeColor="text1"/>
                <w:sz w:val="24"/>
                <w:lang w:val="en-US" w:eastAsia="zh-CN"/>
                <w14:textFill>
                  <w14:solidFill>
                    <w14:schemeClr w14:val="tx1"/>
                  </w14:solidFill>
                </w14:textFill>
              </w:rPr>
              <w:t>5</w:t>
            </w:r>
            <w:r>
              <w:rPr>
                <w:rFonts w:hint="default" w:ascii="Times New Roman" w:hAnsi="Times New Roman" w:cs="Times New Roman"/>
                <w:b/>
                <w:bCs/>
                <w:color w:val="000000" w:themeColor="text1"/>
                <w:sz w:val="24"/>
                <w14:textFill>
                  <w14:solidFill>
                    <w14:schemeClr w14:val="tx1"/>
                  </w14:solidFill>
                </w14:textFill>
              </w:rPr>
              <w:t>）小结</w:t>
            </w:r>
          </w:p>
          <w:p w14:paraId="5DFB527F">
            <w:pPr>
              <w:keepNext w:val="0"/>
              <w:keepLines/>
              <w:pageBreakBefore w:val="0"/>
              <w:kinsoku/>
              <w:overflowPunct/>
              <w:bidi w:val="0"/>
              <w:adjustRightInd/>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项目运营期主要大气污染物均能达标排放，不会造成区域环境空气质量超标，对周围环境影响较小。因此，项目废气对大气环境的影响是可以接受的。</w:t>
            </w:r>
          </w:p>
          <w:p w14:paraId="1D176116">
            <w:pPr>
              <w:pStyle w:val="20"/>
              <w:pageBreakBefore w:val="0"/>
              <w:kinsoku/>
              <w:overflowPunct/>
              <w:topLinePunct w:val="0"/>
              <w:autoSpaceDE/>
              <w:autoSpaceDN/>
              <w:bidi w:val="0"/>
              <w:adjustRightInd/>
              <w:spacing w:line="360" w:lineRule="auto"/>
              <w:ind w:left="0" w:leftChars="0" w:right="0" w:rightChars="0" w:firstLine="482" w:firstLineChars="200"/>
              <w:rPr>
                <w:rFonts w:hint="default" w:ascii="Times New Roman" w:hAnsi="Times New Roman" w:cs="Times New Roman"/>
                <w:b/>
                <w:bCs/>
                <w:color w:val="000000" w:themeColor="text1"/>
                <w:kern w:val="24"/>
                <w:lang w:val="en-US" w:eastAsia="zh-CN"/>
                <w14:textFill>
                  <w14:solidFill>
                    <w14:schemeClr w14:val="tx1"/>
                  </w14:solidFill>
                </w14:textFill>
              </w:rPr>
            </w:pPr>
            <w:r>
              <w:rPr>
                <w:rFonts w:hint="default" w:ascii="Times New Roman" w:hAnsi="Times New Roman" w:cs="Times New Roman"/>
                <w:b/>
                <w:bCs/>
                <w:color w:val="000000" w:themeColor="text1"/>
                <w:kern w:val="24"/>
                <w:lang w:val="en-US" w:eastAsia="zh-CN"/>
                <w14:textFill>
                  <w14:solidFill>
                    <w14:schemeClr w14:val="tx1"/>
                  </w14:solidFill>
                </w14:textFill>
              </w:rPr>
              <w:t>2、废水</w:t>
            </w:r>
          </w:p>
          <w:p w14:paraId="399E966D">
            <w:pPr>
              <w:keepNext w:val="0"/>
              <w:keepLines/>
              <w:pageBreakBefore w:val="0"/>
              <w:tabs>
                <w:tab w:val="left" w:pos="4830"/>
              </w:tabs>
              <w:kinsoku/>
              <w:overflowPunct/>
              <w:bidi w:val="0"/>
              <w:adjustRightInd/>
              <w:snapToGrid/>
              <w:spacing w:line="360" w:lineRule="auto"/>
              <w:ind w:firstLine="482" w:firstLineChars="200"/>
              <w:jc w:val="left"/>
              <w:rPr>
                <w:rFonts w:hint="default" w:ascii="Times New Roman" w:hAnsi="Times New Roman" w:eastAsia="宋体" w:cs="Times New Roman"/>
                <w:b/>
                <w:color w:val="000000" w:themeColor="text1"/>
                <w:sz w:val="24"/>
                <w:lang w:eastAsia="zh-CN"/>
                <w14:textFill>
                  <w14:solidFill>
                    <w14:schemeClr w14:val="tx1"/>
                  </w14:solidFill>
                </w14:textFill>
              </w:rPr>
            </w:pPr>
            <w:r>
              <w:rPr>
                <w:rFonts w:hint="default" w:ascii="Times New Roman" w:hAnsi="Times New Roman" w:eastAsia="宋体" w:cs="Times New Roman"/>
                <w:b/>
                <w:color w:val="000000" w:themeColor="text1"/>
                <w:sz w:val="24"/>
                <w:lang w:eastAsia="zh-CN"/>
                <w14:textFill>
                  <w14:solidFill>
                    <w14:schemeClr w14:val="tx1"/>
                  </w14:solidFill>
                </w14:textFill>
              </w:rPr>
              <w:t>（1）废水产排情况</w:t>
            </w:r>
          </w:p>
          <w:p w14:paraId="1BB8CC20">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项目采取雨污分流制。项目采取雨污分流制，项目区初期雨水经依托现有雨水收集池收集沉淀后回用于浩峰公司塑料项目生产环节。</w:t>
            </w:r>
          </w:p>
          <w:p w14:paraId="722C8CCE">
            <w:pPr>
              <w:keepNext w:val="0"/>
              <w:keepLines/>
              <w:pageBreakBefore w:val="0"/>
              <w:kinsoku/>
              <w:overflowPunct/>
              <w:bidi w:val="0"/>
              <w:adjustRightInd/>
              <w:spacing w:line="360" w:lineRule="auto"/>
              <w:ind w:firstLine="482"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废水：</w:t>
            </w:r>
            <w:r>
              <w:rPr>
                <w:rFonts w:hint="default" w:ascii="Times New Roman" w:hAnsi="Times New Roman" w:eastAsia="宋体" w:cs="Times New Roman"/>
                <w:color w:val="000000" w:themeColor="text1"/>
                <w:sz w:val="24"/>
                <w:lang w:val="en-US" w:eastAsia="zh-CN"/>
                <w14:textFill>
                  <w14:solidFill>
                    <w14:schemeClr w14:val="tx1"/>
                  </w14:solidFill>
                </w14:textFill>
              </w:rPr>
              <w:t>本项目生产过程中</w:t>
            </w:r>
            <w:r>
              <w:rPr>
                <w:rFonts w:hint="default" w:ascii="Times New Roman" w:hAnsi="Times New Roman" w:cs="Times New Roman"/>
                <w:color w:val="000000" w:themeColor="text1"/>
                <w:sz w:val="24"/>
                <w:lang w:val="en-US" w:eastAsia="zh-CN"/>
                <w14:textFill>
                  <w14:solidFill>
                    <w14:schemeClr w14:val="tx1"/>
                  </w14:solidFill>
                </w14:textFill>
              </w:rPr>
              <w:t>水压试验、气密试验用水</w:t>
            </w:r>
            <w:r>
              <w:rPr>
                <w:rFonts w:hint="default" w:ascii="Times New Roman" w:hAnsi="Times New Roman" w:eastAsia="宋体" w:cs="Times New Roman"/>
                <w:color w:val="000000" w:themeColor="text1"/>
                <w:sz w:val="24"/>
                <w:lang w:val="en-US" w:eastAsia="zh-CN"/>
                <w14:textFill>
                  <w14:solidFill>
                    <w14:schemeClr w14:val="tx1"/>
                  </w14:solidFill>
                </w14:textFill>
              </w:rPr>
              <w:t>循环使用，不外排。</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喷淋塔定期补充新鲜水，循环使用，废液每年更换一次，废液经收集后暂存于危废暂存间，定期交由有危废资质的单位进行处置。</w:t>
            </w:r>
            <w:r>
              <w:rPr>
                <w:rStyle w:val="112"/>
                <w:rFonts w:hint="default" w:ascii="Times New Roman" w:hAnsi="Times New Roman" w:cs="Times New Roman"/>
                <w:color w:val="000000" w:themeColor="text1"/>
                <w:sz w:val="24"/>
                <w:szCs w:val="24"/>
                <w:lang w:val="en-US" w:eastAsia="zh-CN"/>
                <w14:textFill>
                  <w14:solidFill>
                    <w14:schemeClr w14:val="tx1"/>
                  </w14:solidFill>
                </w14:textFill>
              </w:rPr>
              <w:t>本项目生活污水经化粪池收集后进入一体化生活污水处理设施，经处理</w:t>
            </w:r>
            <w:r>
              <w:rPr>
                <w:rStyle w:val="112"/>
                <w:rFonts w:hint="eastAsia" w:cs="Times New Roman"/>
                <w:color w:val="000000" w:themeColor="text1"/>
                <w:sz w:val="24"/>
                <w:szCs w:val="24"/>
                <w:lang w:val="en-US" w:eastAsia="zh-CN"/>
                <w14:textFill>
                  <w14:solidFill>
                    <w14:schemeClr w14:val="tx1"/>
                  </w14:solidFill>
                </w14:textFill>
              </w:rPr>
              <w:t>达标后</w:t>
            </w:r>
            <w:r>
              <w:rPr>
                <w:rStyle w:val="112"/>
                <w:rFonts w:hint="default" w:ascii="Times New Roman" w:hAnsi="Times New Roman" w:cs="Times New Roman"/>
                <w:color w:val="000000" w:themeColor="text1"/>
                <w:sz w:val="24"/>
                <w:szCs w:val="24"/>
                <w:lang w:val="en-US" w:eastAsia="zh-CN"/>
                <w14:textFill>
                  <w14:solidFill>
                    <w14:schemeClr w14:val="tx1"/>
                  </w14:solidFill>
                </w14:textFill>
              </w:rPr>
              <w:t>进入收集池，回用于绿化，不外排</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771CE00D">
            <w:pPr>
              <w:pStyle w:val="20"/>
              <w:pageBreakBefore w:val="0"/>
              <w:kinsoku/>
              <w:overflowPunct/>
              <w:topLinePunct w:val="0"/>
              <w:autoSpaceDE/>
              <w:autoSpaceDN/>
              <w:bidi w:val="0"/>
              <w:adjustRightInd/>
              <w:spacing w:line="360" w:lineRule="auto"/>
              <w:ind w:left="0" w:leftChars="0" w:right="0" w:firstLine="482" w:firstLineChars="200"/>
              <w:rPr>
                <w:rFonts w:hint="default" w:ascii="Times New Roman" w:hAnsi="Times New Roman" w:cs="Times New Roman"/>
                <w:b/>
                <w:bCs/>
                <w:color w:val="000000" w:themeColor="text1"/>
                <w:kern w:val="24"/>
                <w:lang w:val="en-US" w:eastAsia="zh-CN"/>
                <w14:textFill>
                  <w14:solidFill>
                    <w14:schemeClr w14:val="tx1"/>
                  </w14:solidFill>
                </w14:textFill>
              </w:rPr>
            </w:pPr>
            <w:r>
              <w:rPr>
                <w:rFonts w:hint="default" w:ascii="Times New Roman" w:hAnsi="Times New Roman" w:cs="Times New Roman"/>
                <w:b/>
                <w:bCs/>
                <w:color w:val="000000" w:themeColor="text1"/>
                <w:kern w:val="24"/>
                <w:lang w:val="en-US" w:eastAsia="zh-CN"/>
                <w14:textFill>
                  <w14:solidFill>
                    <w14:schemeClr w14:val="tx1"/>
                  </w14:solidFill>
                </w14:textFill>
              </w:rPr>
              <w:t>1）生活污水</w:t>
            </w:r>
          </w:p>
          <w:p w14:paraId="67338814">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项目</w:t>
            </w:r>
            <w:r>
              <w:rPr>
                <w:rFonts w:hint="default" w:ascii="Times New Roman" w:hAnsi="Times New Roman" w:cs="Times New Roman"/>
                <w:color w:val="000000" w:themeColor="text1"/>
                <w:sz w:val="24"/>
                <w:lang w:val="en-US" w:eastAsia="zh-CN"/>
                <w14:textFill>
                  <w14:solidFill>
                    <w14:schemeClr w14:val="tx1"/>
                  </w14:solidFill>
                </w14:textFill>
              </w:rPr>
              <w:t>预计</w:t>
            </w:r>
            <w:r>
              <w:rPr>
                <w:rFonts w:hint="default" w:ascii="Times New Roman" w:hAnsi="Times New Roman" w:eastAsia="宋体" w:cs="Times New Roman"/>
                <w:color w:val="000000" w:themeColor="text1"/>
                <w:sz w:val="24"/>
                <w:lang w:val="en-US" w:eastAsia="zh-CN"/>
                <w14:textFill>
                  <w14:solidFill>
                    <w14:schemeClr w14:val="tx1"/>
                  </w14:solidFill>
                </w14:textFill>
              </w:rPr>
              <w:t>员工为10人，员工为多为周边村庄人员，不在厂区内食宿，参照《云南省地方用水定额标准》（DB53/T168-2019），结合项目情况，员工生活用水按40L/人·d计，项目年工作300天，则用水量为0.4m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/d，120m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/a；污水量按用水量80%计，则本项目生活污水产生量为0.32m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/d，96m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w:t>
            </w:r>
          </w:p>
          <w:p w14:paraId="466A2BC9">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Style w:val="112"/>
                <w:rFonts w:hint="default" w:ascii="Times New Roman" w:hAnsi="Times New Roman" w:cs="Times New Roman"/>
                <w:color w:val="000000" w:themeColor="text1"/>
                <w:sz w:val="24"/>
                <w:szCs w:val="24"/>
                <w:lang w:val="en-US" w:eastAsia="zh-CN"/>
                <w14:textFill>
                  <w14:solidFill>
                    <w14:schemeClr w14:val="tx1"/>
                  </w14:solidFill>
                </w14:textFill>
              </w:rPr>
              <w:t>本项目生活污水经化粪池收集后进入一体化生活污水处理设施，经处理</w:t>
            </w:r>
            <w:r>
              <w:rPr>
                <w:rStyle w:val="112"/>
                <w:rFonts w:hint="eastAsia" w:cs="Times New Roman"/>
                <w:color w:val="000000" w:themeColor="text1"/>
                <w:sz w:val="24"/>
                <w:szCs w:val="24"/>
                <w:lang w:val="en-US" w:eastAsia="zh-CN"/>
                <w14:textFill>
                  <w14:solidFill>
                    <w14:schemeClr w14:val="tx1"/>
                  </w14:solidFill>
                </w14:textFill>
              </w:rPr>
              <w:t>达标后</w:t>
            </w:r>
            <w:r>
              <w:rPr>
                <w:rStyle w:val="112"/>
                <w:rFonts w:hint="default" w:ascii="Times New Roman" w:hAnsi="Times New Roman" w:cs="Times New Roman"/>
                <w:color w:val="000000" w:themeColor="text1"/>
                <w:sz w:val="24"/>
                <w:szCs w:val="24"/>
                <w:lang w:val="en-US" w:eastAsia="zh-CN"/>
                <w14:textFill>
                  <w14:solidFill>
                    <w14:schemeClr w14:val="tx1"/>
                  </w14:solidFill>
                </w14:textFill>
              </w:rPr>
              <w:t>进入收集池，回用于绿化，不外排</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0CC0E162">
            <w:pPr>
              <w:pStyle w:val="20"/>
              <w:pageBreakBefore w:val="0"/>
              <w:kinsoku/>
              <w:overflowPunct/>
              <w:topLinePunct w:val="0"/>
              <w:autoSpaceDE/>
              <w:autoSpaceDN/>
              <w:bidi w:val="0"/>
              <w:adjustRightInd/>
              <w:spacing w:line="360" w:lineRule="auto"/>
              <w:ind w:left="0" w:leftChars="0" w:right="0" w:rightChars="0" w:firstLine="482"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kern w:val="24"/>
                <w:lang w:val="en-US" w:eastAsia="zh-CN"/>
                <w14:textFill>
                  <w14:solidFill>
                    <w14:schemeClr w14:val="tx1"/>
                  </w14:solidFill>
                </w14:textFill>
              </w:rPr>
              <w:t>2）生产废水</w:t>
            </w:r>
          </w:p>
          <w:p w14:paraId="42F275C6">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①水压试验</w:t>
            </w:r>
            <w:r>
              <w:rPr>
                <w:rFonts w:hint="default" w:ascii="Times New Roman" w:hAnsi="Times New Roman" w:cs="Times New Roman"/>
                <w:color w:val="000000" w:themeColor="text1"/>
                <w:sz w:val="24"/>
                <w:lang w:val="en-US" w:eastAsia="zh-CN"/>
                <w14:textFill>
                  <w14:solidFill>
                    <w14:schemeClr w14:val="tx1"/>
                  </w14:solidFill>
                </w14:textFill>
              </w:rPr>
              <w:t>、气密试验</w:t>
            </w:r>
            <w:r>
              <w:rPr>
                <w:rFonts w:hint="default" w:ascii="Times New Roman" w:hAnsi="Times New Roman" w:eastAsia="宋体" w:cs="Times New Roman"/>
                <w:color w:val="000000" w:themeColor="text1"/>
                <w:sz w:val="24"/>
                <w:lang w:val="en-US" w:eastAsia="zh-CN"/>
                <w14:textFill>
                  <w14:solidFill>
                    <w14:schemeClr w14:val="tx1"/>
                  </w14:solidFill>
                </w14:textFill>
              </w:rPr>
              <w:t>用水</w:t>
            </w:r>
          </w:p>
          <w:p w14:paraId="48849E16">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根据企业提供资料，本项目水压试验设备</w:t>
            </w:r>
            <w:r>
              <w:rPr>
                <w:rFonts w:hint="default" w:ascii="Times New Roman" w:hAnsi="Times New Roman" w:cs="Times New Roman"/>
                <w:color w:val="000000" w:themeColor="text1"/>
                <w:sz w:val="24"/>
                <w:lang w:val="en-US" w:eastAsia="zh-CN"/>
                <w14:textFill>
                  <w14:solidFill>
                    <w14:schemeClr w14:val="tx1"/>
                  </w14:solidFill>
                </w14:textFill>
              </w:rPr>
              <w:t>、气密试验设备</w:t>
            </w:r>
            <w:r>
              <w:rPr>
                <w:rFonts w:hint="default" w:ascii="Times New Roman" w:hAnsi="Times New Roman" w:eastAsia="宋体" w:cs="Times New Roman"/>
                <w:color w:val="000000" w:themeColor="text1"/>
                <w:sz w:val="24"/>
                <w:lang w:val="en-US" w:eastAsia="zh-CN"/>
                <w14:textFill>
                  <w14:solidFill>
                    <w14:schemeClr w14:val="tx1"/>
                  </w14:solidFill>
                </w14:textFill>
              </w:rPr>
              <w:t>自带循环水箱，循环水箱有效容积约</w:t>
            </w:r>
            <w:r>
              <w:rPr>
                <w:rFonts w:hint="default" w:ascii="Times New Roman" w:hAnsi="Times New Roman" w:cs="Times New Roman"/>
                <w:color w:val="000000" w:themeColor="text1"/>
                <w:sz w:val="24"/>
                <w:lang w:val="en-US" w:eastAsia="zh-CN"/>
                <w14:textFill>
                  <w14:solidFill>
                    <w14:schemeClr w14:val="tx1"/>
                  </w14:solidFill>
                </w14:textFill>
              </w:rPr>
              <w:t>均为</w:t>
            </w:r>
            <w:r>
              <w:rPr>
                <w:rFonts w:hint="default" w:ascii="Times New Roman" w:hAnsi="Times New Roman" w:eastAsia="宋体" w:cs="Times New Roman"/>
                <w:color w:val="000000" w:themeColor="text1"/>
                <w:sz w:val="24"/>
                <w:lang w:val="en-US" w:eastAsia="zh-CN"/>
                <w14:textFill>
                  <w14:solidFill>
                    <w14:schemeClr w14:val="tx1"/>
                  </w14:solidFill>
                </w14:textFill>
              </w:rPr>
              <w:t>1m*2m*0.8m（1.6m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）。循环水损失主要为部分水分蒸发和</w:t>
            </w:r>
            <w:r>
              <w:rPr>
                <w:rFonts w:hint="eastAsia" w:ascii="Times New Roman" w:hAnsi="Times New Roman" w:cs="Times New Roman"/>
                <w:color w:val="000000" w:themeColor="text1"/>
                <w:sz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lang w:val="en-US" w:eastAsia="zh-CN"/>
                <w14:textFill>
                  <w14:solidFill>
                    <w14:schemeClr w14:val="tx1"/>
                  </w14:solidFill>
                </w14:textFill>
              </w:rPr>
              <w:t>带走，根据运行经验，损耗按照10%计算，</w:t>
            </w:r>
            <w:r>
              <w:rPr>
                <w:rFonts w:hint="default" w:ascii="Times New Roman" w:hAnsi="Times New Roman" w:cs="Times New Roman"/>
                <w:color w:val="000000" w:themeColor="text1"/>
                <w:sz w:val="24"/>
                <w:lang w:val="en-US" w:eastAsia="zh-CN"/>
                <w14:textFill>
                  <w14:solidFill>
                    <w14:schemeClr w14:val="tx1"/>
                  </w14:solidFill>
                </w14:textFill>
              </w:rPr>
              <w:t>水压试验、气密试验用水</w:t>
            </w:r>
            <w:r>
              <w:rPr>
                <w:rFonts w:hint="default" w:ascii="Times New Roman" w:hAnsi="Times New Roman" w:eastAsia="宋体" w:cs="Times New Roman"/>
                <w:color w:val="000000" w:themeColor="text1"/>
                <w:sz w:val="24"/>
                <w:lang w:val="en-US" w:eastAsia="zh-CN"/>
                <w14:textFill>
                  <w14:solidFill>
                    <w14:schemeClr w14:val="tx1"/>
                  </w14:solidFill>
                </w14:textFill>
              </w:rPr>
              <w:t>为循环使用，定期补充新鲜水，补充水量为0.</w:t>
            </w:r>
            <w:r>
              <w:rPr>
                <w:rFonts w:hint="default" w:ascii="Times New Roman" w:hAnsi="Times New Roman" w:cs="Times New Roman"/>
                <w:color w:val="000000" w:themeColor="text1"/>
                <w:sz w:val="24"/>
                <w:lang w:val="en-US" w:eastAsia="zh-CN"/>
                <w14:textFill>
                  <w14:solidFill>
                    <w14:schemeClr w14:val="tx1"/>
                  </w14:solidFill>
                </w14:textFill>
              </w:rPr>
              <w:t>32</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 /d（</w:t>
            </w:r>
            <w:r>
              <w:rPr>
                <w:rFonts w:hint="default" w:ascii="Times New Roman" w:hAnsi="Times New Roman" w:cs="Times New Roman"/>
                <w:color w:val="000000" w:themeColor="text1"/>
                <w:sz w:val="24"/>
                <w:lang w:val="en-US" w:eastAsia="zh-CN"/>
                <w14:textFill>
                  <w14:solidFill>
                    <w14:schemeClr w14:val="tx1"/>
                  </w14:solidFill>
                </w14:textFill>
              </w:rPr>
              <w:t>96</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/a），不外排。</w:t>
            </w:r>
          </w:p>
          <w:p w14:paraId="4D7573B2">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②喷淋塔用水</w:t>
            </w:r>
          </w:p>
          <w:p w14:paraId="1090A37B">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本项目焚烧炉尾气采用“</w:t>
            </w:r>
            <w:r>
              <w:rPr>
                <w:rFonts w:hint="default" w:ascii="Times New Roman" w:hAnsi="Times New Roman" w:cs="Times New Roman"/>
                <w:color w:val="000000" w:themeColor="text1"/>
                <w:sz w:val="24"/>
                <w:lang w:val="en-US" w:eastAsia="zh-CN"/>
                <w14:textFill>
                  <w14:solidFill>
                    <w14:schemeClr w14:val="tx1"/>
                  </w14:solidFill>
                </w14:textFill>
              </w:rPr>
              <w:t>旋风+布袋+喷淋</w:t>
            </w:r>
            <w:r>
              <w:rPr>
                <w:rFonts w:hint="default" w:ascii="Times New Roman" w:hAnsi="Times New Roman" w:eastAsia="宋体" w:cs="Times New Roman"/>
                <w:color w:val="000000" w:themeColor="text1"/>
                <w:sz w:val="24"/>
                <w:lang w:val="en-US" w:eastAsia="zh-CN"/>
                <w14:textFill>
                  <w14:solidFill>
                    <w14:schemeClr w14:val="tx1"/>
                  </w14:solidFill>
                </w14:textFill>
              </w:rPr>
              <w:t>”装置处理达标后引至 15m高排气筒排放。根据建设单位提供资料，喷淋塔的液气比为1.0L/m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，喷淋塔的设计风量为</w:t>
            </w:r>
            <w:r>
              <w:rPr>
                <w:rFonts w:hint="default"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lang w:val="en-US" w:eastAsia="zh-CN"/>
                <w14:textFill>
                  <w14:solidFill>
                    <w14:schemeClr w14:val="tx1"/>
                  </w14:solidFill>
                </w14:textFill>
              </w:rPr>
              <w:t>000m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/h，设计流量为</w:t>
            </w:r>
            <w:r>
              <w:rPr>
                <w:rFonts w:hint="default"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/h，储水池容积约为2m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。根据《工业循环冷却水处理设计规范》（GB/T50050-2017），闭式系统的补充水系统设计流量宜为循环水量的0.5%~1.0%。本项目取中间值0.8%计算，喷淋塔每天作业8小时，年工作300天，则循环水量为</w:t>
            </w:r>
            <w:r>
              <w:rPr>
                <w:rFonts w:hint="default" w:ascii="Times New Roman" w:hAnsi="Times New Roman" w:cs="Times New Roman"/>
                <w:color w:val="000000" w:themeColor="text1"/>
                <w:sz w:val="24"/>
                <w:lang w:val="en-US" w:eastAsia="zh-CN"/>
                <w14:textFill>
                  <w14:solidFill>
                    <w14:schemeClr w14:val="tx1"/>
                  </w14:solidFill>
                </w14:textFill>
              </w:rPr>
              <w:t>32</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/d。则需补充因蒸发损失的水量为0.</w:t>
            </w:r>
            <w:r>
              <w:rPr>
                <w:rFonts w:hint="default" w:ascii="Times New Roman" w:hAnsi="Times New Roman" w:cs="Times New Roman"/>
                <w:color w:val="000000" w:themeColor="text1"/>
                <w:sz w:val="24"/>
                <w:lang w:val="en-US" w:eastAsia="zh-CN"/>
                <w14:textFill>
                  <w14:solidFill>
                    <w14:schemeClr w14:val="tx1"/>
                  </w14:solidFill>
                </w14:textFill>
              </w:rPr>
              <w:t>256</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/d（</w:t>
            </w:r>
            <w:r>
              <w:rPr>
                <w:rFonts w:hint="default" w:ascii="Times New Roman" w:hAnsi="Times New Roman" w:cs="Times New Roman"/>
                <w:color w:val="000000" w:themeColor="text1"/>
                <w:sz w:val="24"/>
                <w:lang w:val="en-US" w:eastAsia="zh-CN"/>
                <w14:textFill>
                  <w14:solidFill>
                    <w14:schemeClr w14:val="tx1"/>
                  </w14:solidFill>
                </w14:textFill>
              </w:rPr>
              <w:t>76.8</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/a）。碱液喷淋塔定期补充新鲜水，循环使用，碱液喷淋塔废水每年更换一次，更换废水量为2m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w:t>
            </w:r>
          </w:p>
          <w:p w14:paraId="281DE3E5">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根据《国家危险废物名录》（2025年版）（2025年1月1日施行），其属于国家危险废物HW49其他废物，废物代码900-047-49，废液经收集后暂存于危废暂存间，定期交由有危废资质的单位进行安全处置</w:t>
            </w:r>
            <w:r>
              <w:rPr>
                <w:rFonts w:hint="eastAsia" w:cs="Times New Roman"/>
                <w:color w:val="000000" w:themeColor="text1"/>
                <w:sz w:val="24"/>
                <w:lang w:val="en-US" w:eastAsia="zh-CN"/>
                <w14:textFill>
                  <w14:solidFill>
                    <w14:schemeClr w14:val="tx1"/>
                  </w14:solidFill>
                </w14:textFill>
              </w:rPr>
              <w:t>。</w:t>
            </w:r>
          </w:p>
          <w:p w14:paraId="5AED5FB8">
            <w:pPr>
              <w:pStyle w:val="20"/>
              <w:pageBreakBefore w:val="0"/>
              <w:kinsoku/>
              <w:overflowPunct/>
              <w:topLinePunct w:val="0"/>
              <w:autoSpaceDE/>
              <w:autoSpaceDN/>
              <w:bidi w:val="0"/>
              <w:adjustRightInd/>
              <w:spacing w:line="360" w:lineRule="auto"/>
              <w:ind w:left="0" w:leftChars="0" w:right="0" w:rightChars="0" w:firstLine="482" w:firstLineChars="200"/>
              <w:rPr>
                <w:rFonts w:hint="default" w:ascii="Times New Roman" w:hAnsi="Times New Roman" w:cs="Times New Roman"/>
                <w:b/>
                <w:bCs/>
                <w:color w:val="000000" w:themeColor="text1"/>
                <w:kern w:val="24"/>
                <w:lang w:val="en-US" w:eastAsia="zh-CN"/>
                <w14:textFill>
                  <w14:solidFill>
                    <w14:schemeClr w14:val="tx1"/>
                  </w14:solidFill>
                </w14:textFill>
              </w:rPr>
            </w:pPr>
            <w:r>
              <w:rPr>
                <w:rFonts w:hint="default" w:ascii="Times New Roman" w:hAnsi="Times New Roman" w:cs="Times New Roman"/>
                <w:b/>
                <w:bCs/>
                <w:color w:val="000000" w:themeColor="text1"/>
                <w:kern w:val="24"/>
                <w:lang w:val="en-US" w:eastAsia="zh-CN"/>
                <w14:textFill>
                  <w14:solidFill>
                    <w14:schemeClr w14:val="tx1"/>
                  </w14:solidFill>
                </w14:textFill>
              </w:rPr>
              <w:t>3）初期雨水</w:t>
            </w:r>
          </w:p>
          <w:p w14:paraId="3064BDA0">
            <w:pPr>
              <w:keepLines/>
              <w:tabs>
                <w:tab w:val="left" w:pos="4830"/>
              </w:tabs>
              <w:spacing w:line="360" w:lineRule="auto"/>
              <w:ind w:firstLine="480" w:firstLineChars="200"/>
              <w:jc w:val="left"/>
              <w:rPr>
                <w:rFonts w:hint="default" w:ascii="Times New Roman" w:hAnsi="Times New Roman" w:cs="Times New Roman"/>
                <w:b w:val="0"/>
                <w:bCs/>
                <w:color w:val="000000" w:themeColor="text1"/>
                <w:sz w:val="24"/>
                <w:lang w:eastAsia="zh-CN"/>
                <w14:textFill>
                  <w14:solidFill>
                    <w14:schemeClr w14:val="tx1"/>
                  </w14:solidFill>
                </w14:textFill>
              </w:rPr>
            </w:pPr>
            <w:r>
              <w:rPr>
                <w:rFonts w:hint="default" w:ascii="Times New Roman" w:hAnsi="Times New Roman" w:cs="Times New Roman"/>
                <w:b w:val="0"/>
                <w:bCs/>
                <w:color w:val="000000" w:themeColor="text1"/>
                <w:sz w:val="24"/>
                <w:lang w:eastAsia="zh-CN"/>
                <w14:textFill>
                  <w14:solidFill>
                    <w14:schemeClr w14:val="tx1"/>
                  </w14:solidFill>
                </w14:textFill>
              </w:rPr>
              <w:t>本项目租用“</w:t>
            </w:r>
            <w:r>
              <w:rPr>
                <w:rFonts w:hint="default" w:ascii="Times New Roman" w:hAnsi="Times New Roman" w:cs="Times New Roman"/>
                <w:color w:val="000000" w:themeColor="text1"/>
                <w:sz w:val="24"/>
                <w:lang w:val="en-US" w:eastAsia="zh-CN"/>
                <w14:textFill>
                  <w14:solidFill>
                    <w14:schemeClr w14:val="tx1"/>
                  </w14:solidFill>
                </w14:textFill>
              </w:rPr>
              <w:t>浩峰公司塑料项目</w:t>
            </w:r>
            <w:r>
              <w:rPr>
                <w:rFonts w:hint="default" w:ascii="Times New Roman" w:hAnsi="Times New Roman" w:cs="Times New Roman"/>
                <w:b w:val="0"/>
                <w:bCs/>
                <w:color w:val="000000" w:themeColor="text1"/>
                <w:sz w:val="24"/>
                <w:lang w:eastAsia="zh-CN"/>
                <w14:textFill>
                  <w14:solidFill>
                    <w14:schemeClr w14:val="tx1"/>
                  </w14:solidFill>
                </w14:textFill>
              </w:rPr>
              <w:t>”闲置厂房进行建设，根据调查，其《</w:t>
            </w:r>
            <w:r>
              <w:rPr>
                <w:rFonts w:hint="default" w:ascii="Times New Roman" w:hAnsi="Times New Roman" w:cs="Times New Roman"/>
                <w:color w:val="000000" w:themeColor="text1"/>
                <w:sz w:val="24"/>
                <w:lang w:val="en-US" w:eastAsia="zh-CN"/>
                <w14:textFill>
                  <w14:solidFill>
                    <w14:schemeClr w14:val="tx1"/>
                  </w14:solidFill>
                </w14:textFill>
              </w:rPr>
              <w:t>玉溪浩峰再生资源有限公司年产1.2万吨废塑料颗粒项目环境影响评价报告表</w:t>
            </w:r>
            <w:r>
              <w:rPr>
                <w:rFonts w:hint="default" w:ascii="Times New Roman" w:hAnsi="Times New Roman" w:cs="Times New Roman"/>
                <w:b w:val="0"/>
                <w:bCs/>
                <w:color w:val="000000" w:themeColor="text1"/>
                <w:sz w:val="24"/>
                <w:lang w:eastAsia="zh-CN"/>
                <w14:textFill>
                  <w14:solidFill>
                    <w14:schemeClr w14:val="tx1"/>
                  </w14:solidFill>
                </w14:textFill>
              </w:rPr>
              <w:t>》中已核算过全厂初期雨水</w:t>
            </w:r>
            <w:r>
              <w:rPr>
                <w:rFonts w:hint="default" w:ascii="Times New Roman" w:hAnsi="Times New Roman" w:eastAsia="宋体" w:cs="Times New Roman"/>
                <w:b w:val="0"/>
                <w:bCs/>
                <w:color w:val="000000" w:themeColor="text1"/>
                <w:sz w:val="24"/>
                <w:lang w:eastAsia="zh-CN"/>
                <w14:textFill>
                  <w14:solidFill>
                    <w14:schemeClr w14:val="tx1"/>
                  </w14:solidFill>
                </w14:textFill>
              </w:rPr>
              <w:t>“汇水区初期雨水流量</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13.01</w:t>
            </w:r>
            <w:r>
              <w:rPr>
                <w:rFonts w:hint="default" w:ascii="Times New Roman" w:hAnsi="Times New Roman" w:eastAsia="宋体" w:cs="Times New Roman"/>
                <w:b w:val="0"/>
                <w:bCs/>
                <w:color w:val="000000" w:themeColor="text1"/>
                <w:sz w:val="24"/>
                <w:lang w:eastAsia="zh-CN"/>
                <w14:textFill>
                  <w14:solidFill>
                    <w14:schemeClr w14:val="tx1"/>
                  </w14:solidFill>
                </w14:textFill>
              </w:rPr>
              <w:t>L/s，收集前15min的雨水，即初期雨水为</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11.709</w:t>
            </w:r>
            <w:r>
              <w:rPr>
                <w:rFonts w:hint="default" w:ascii="Times New Roman" w:hAnsi="Times New Roman" w:eastAsia="宋体" w:cs="Times New Roman"/>
                <w:b w:val="0"/>
                <w:bCs/>
                <w:color w:val="000000" w:themeColor="text1"/>
                <w:sz w:val="24"/>
                <w:lang w:eastAsia="zh-CN"/>
                <w14:textFill>
                  <w14:solidFill>
                    <w14:schemeClr w14:val="tx1"/>
                  </w14:solidFill>
                </w14:textFill>
              </w:rPr>
              <w:t>m</w:t>
            </w:r>
            <w:r>
              <w:rPr>
                <w:rFonts w:hint="default" w:ascii="Times New Roman" w:hAnsi="Times New Roman" w:eastAsia="宋体" w:cs="Times New Roman"/>
                <w:b w:val="0"/>
                <w:bCs/>
                <w:color w:val="000000" w:themeColor="text1"/>
                <w:sz w:val="24"/>
                <w:vertAlign w:val="superscript"/>
                <w:lang w:eastAsia="zh-CN"/>
                <w14:textFill>
                  <w14:solidFill>
                    <w14:schemeClr w14:val="tx1"/>
                  </w14:solidFill>
                </w14:textFill>
              </w:rPr>
              <w:t>3</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/次、1170.9</w:t>
            </w:r>
            <w:r>
              <w:rPr>
                <w:rFonts w:hint="default" w:ascii="Times New Roman" w:hAnsi="Times New Roman" w:eastAsia="宋体" w:cs="Times New Roman"/>
                <w:b w:val="0"/>
                <w:bCs/>
                <w:color w:val="000000" w:themeColor="text1"/>
                <w:sz w:val="24"/>
                <w:lang w:eastAsia="zh-CN"/>
                <w14:textFill>
                  <w14:solidFill>
                    <w14:schemeClr w14:val="tx1"/>
                  </w14:solidFill>
                </w14:textFill>
              </w:rPr>
              <w:t>m</w:t>
            </w:r>
            <w:r>
              <w:rPr>
                <w:rFonts w:hint="default" w:ascii="Times New Roman" w:hAnsi="Times New Roman" w:eastAsia="宋体" w:cs="Times New Roman"/>
                <w:b w:val="0"/>
                <w:bCs/>
                <w:color w:val="000000" w:themeColor="text1"/>
                <w:sz w:val="24"/>
                <w:vertAlign w:val="superscript"/>
                <w:lang w:eastAsia="zh-CN"/>
                <w14:textFill>
                  <w14:solidFill>
                    <w14:schemeClr w14:val="tx1"/>
                  </w14:solidFill>
                </w14:textFill>
              </w:rPr>
              <w:t>3</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/a（</w:t>
            </w:r>
            <w:r>
              <w:rPr>
                <w:rFonts w:hint="default" w:ascii="Times New Roman" w:hAnsi="Times New Roman" w:eastAsia="宋体" w:cs="Times New Roman"/>
                <w:b w:val="0"/>
                <w:bCs/>
                <w:color w:val="000000" w:themeColor="text1"/>
                <w:sz w:val="24"/>
                <w:lang w:eastAsia="zh-CN"/>
                <w14:textFill>
                  <w14:solidFill>
                    <w14:schemeClr w14:val="tx1"/>
                  </w14:solidFill>
                </w14:textFill>
              </w:rPr>
              <w:t>雨天按</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100</w:t>
            </w:r>
            <w:r>
              <w:rPr>
                <w:rFonts w:hint="default" w:ascii="Times New Roman" w:hAnsi="Times New Roman" w:eastAsia="宋体" w:cs="Times New Roman"/>
                <w:b w:val="0"/>
                <w:bCs/>
                <w:color w:val="000000" w:themeColor="text1"/>
                <w:sz w:val="24"/>
                <w:lang w:eastAsia="zh-CN"/>
                <w14:textFill>
                  <w14:solidFill>
                    <w14:schemeClr w14:val="tx1"/>
                  </w14:solidFill>
                </w14:textFill>
              </w:rPr>
              <w:t>天计算</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lang w:eastAsia="zh-CN"/>
                <w14:textFill>
                  <w14:solidFill>
                    <w14:schemeClr w14:val="tx1"/>
                  </w14:solidFill>
                </w14:textFill>
              </w:rPr>
              <w:t>”，其</w:t>
            </w:r>
            <w:r>
              <w:rPr>
                <w:rFonts w:hint="default" w:ascii="Times New Roman" w:hAnsi="Times New Roman" w:cs="Times New Roman"/>
                <w:b w:val="0"/>
                <w:bCs/>
                <w:color w:val="000000" w:themeColor="text1"/>
                <w:sz w:val="24"/>
                <w:lang w:eastAsia="zh-CN"/>
                <w14:textFill>
                  <w14:solidFill>
                    <w14:schemeClr w14:val="tx1"/>
                  </w14:solidFill>
                </w14:textFill>
              </w:rPr>
              <w:t>雨水截留范围为浩峰公司全厂，</w:t>
            </w:r>
            <w:r>
              <w:rPr>
                <w:rFonts w:hint="default" w:ascii="Times New Roman" w:hAnsi="Times New Roman" w:eastAsia="宋体" w:cs="Times New Roman"/>
                <w:b w:val="0"/>
                <w:bCs/>
                <w:color w:val="000000" w:themeColor="text1"/>
                <w:sz w:val="24"/>
                <w:lang w:eastAsia="zh-CN"/>
                <w14:textFill>
                  <w14:solidFill>
                    <w14:schemeClr w14:val="tx1"/>
                  </w14:solidFill>
                </w14:textFill>
              </w:rPr>
              <w:t>本项目位于</w:t>
            </w:r>
            <w:r>
              <w:rPr>
                <w:rFonts w:hint="default" w:ascii="Times New Roman" w:hAnsi="Times New Roman" w:cs="Times New Roman"/>
                <w:b w:val="0"/>
                <w:bCs/>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浩峰公司</w:t>
            </w:r>
            <w:r>
              <w:rPr>
                <w:rFonts w:hint="default" w:ascii="Times New Roman" w:hAnsi="Times New Roman" w:cs="Times New Roman"/>
                <w:b w:val="0"/>
                <w:bCs/>
                <w:color w:val="000000" w:themeColor="text1"/>
                <w:sz w:val="24"/>
                <w:lang w:eastAsia="zh-CN"/>
                <w14:textFill>
                  <w14:solidFill>
                    <w14:schemeClr w14:val="tx1"/>
                  </w14:solidFill>
                </w14:textFill>
              </w:rPr>
              <w:t>”现有空置厂房内，其雨水范围已包含本项目区，本项目涉及初期雨水已纳入“</w:t>
            </w:r>
            <w:r>
              <w:rPr>
                <w:rFonts w:hint="default" w:ascii="Times New Roman" w:hAnsi="Times New Roman" w:cs="Times New Roman"/>
                <w:color w:val="000000" w:themeColor="text1"/>
                <w:sz w:val="24"/>
                <w:lang w:val="en-US" w:eastAsia="zh-CN"/>
                <w14:textFill>
                  <w14:solidFill>
                    <w14:schemeClr w14:val="tx1"/>
                  </w14:solidFill>
                </w14:textFill>
              </w:rPr>
              <w:t>浩峰公司塑料项目</w:t>
            </w:r>
            <w:r>
              <w:rPr>
                <w:rFonts w:hint="default" w:ascii="Times New Roman" w:hAnsi="Times New Roman" w:cs="Times New Roman"/>
                <w:b w:val="0"/>
                <w:bCs/>
                <w:color w:val="000000" w:themeColor="text1"/>
                <w:sz w:val="24"/>
                <w:lang w:eastAsia="zh-CN"/>
                <w14:textFill>
                  <w14:solidFill>
                    <w14:schemeClr w14:val="tx1"/>
                  </w14:solidFill>
                </w14:textFill>
              </w:rPr>
              <w:t>”初期雨水进行核算，本次不再重复核算。</w:t>
            </w:r>
          </w:p>
          <w:p w14:paraId="39CDBAC4">
            <w:pPr>
              <w:keepLines/>
              <w:tabs>
                <w:tab w:val="left" w:pos="4830"/>
              </w:tabs>
              <w:spacing w:line="360" w:lineRule="auto"/>
              <w:ind w:firstLine="480" w:firstLineChars="200"/>
              <w:jc w:val="left"/>
              <w:rPr>
                <w:rFonts w:hint="default" w:ascii="Times New Roman" w:hAnsi="Times New Roman" w:cs="Times New Roman"/>
                <w:b w:val="0"/>
                <w:bCs/>
                <w:color w:val="000000" w:themeColor="text1"/>
                <w:sz w:val="24"/>
                <w:lang w:val="en-US" w:eastAsia="zh-CN"/>
                <w14:textFill>
                  <w14:solidFill>
                    <w14:schemeClr w14:val="tx1"/>
                  </w14:solidFill>
                </w14:textFill>
              </w:rPr>
            </w:pPr>
            <w:r>
              <w:rPr>
                <w:rFonts w:hint="default" w:ascii="Times New Roman" w:hAnsi="Times New Roman" w:cs="Times New Roman"/>
                <w:b w:val="0"/>
                <w:bCs/>
                <w:color w:val="000000" w:themeColor="text1"/>
                <w:sz w:val="24"/>
                <w:lang w:eastAsia="zh-CN"/>
                <w14:textFill>
                  <w14:solidFill>
                    <w14:schemeClr w14:val="tx1"/>
                  </w14:solidFill>
                </w14:textFill>
              </w:rPr>
              <w:t>根据调查，“</w:t>
            </w:r>
            <w:r>
              <w:rPr>
                <w:rFonts w:hint="default" w:ascii="Times New Roman" w:hAnsi="Times New Roman" w:cs="Times New Roman"/>
                <w:color w:val="000000" w:themeColor="text1"/>
                <w:sz w:val="24"/>
                <w:lang w:val="en-US" w:eastAsia="zh-CN"/>
                <w14:textFill>
                  <w14:solidFill>
                    <w14:schemeClr w14:val="tx1"/>
                  </w14:solidFill>
                </w14:textFill>
              </w:rPr>
              <w:t>浩峰公司塑料项目</w:t>
            </w:r>
            <w:r>
              <w:rPr>
                <w:rFonts w:hint="default" w:ascii="Times New Roman" w:hAnsi="Times New Roman" w:cs="Times New Roman"/>
                <w:b w:val="0"/>
                <w:bCs/>
                <w:color w:val="000000" w:themeColor="text1"/>
                <w:sz w:val="24"/>
                <w:lang w:eastAsia="zh-CN"/>
                <w14:textFill>
                  <w14:solidFill>
                    <w14:schemeClr w14:val="tx1"/>
                  </w14:solidFill>
                </w14:textFill>
              </w:rPr>
              <w:t>”建设过程中配套建设了雨水收集管、雨水收集设施等相关环保设施，现有</w:t>
            </w:r>
            <w:r>
              <w:rPr>
                <w:rFonts w:hint="default" w:ascii="Times New Roman" w:hAnsi="Times New Roman" w:cs="Times New Roman"/>
                <w:b w:val="0"/>
                <w:bCs/>
                <w:color w:val="000000" w:themeColor="text1"/>
                <w:sz w:val="24"/>
                <w:lang w:val="en-US" w:eastAsia="zh-CN"/>
                <w14:textFill>
                  <w14:solidFill>
                    <w14:schemeClr w14:val="tx1"/>
                  </w14:solidFill>
                </w14:textFill>
              </w:rPr>
              <w:t>初期</w:t>
            </w:r>
            <w:r>
              <w:rPr>
                <w:rFonts w:hint="default" w:ascii="Times New Roman" w:hAnsi="Times New Roman" w:cs="Times New Roman"/>
                <w:b w:val="0"/>
                <w:bCs/>
                <w:color w:val="000000" w:themeColor="text1"/>
                <w:sz w:val="24"/>
                <w:lang w:eastAsia="zh-CN"/>
                <w14:textFill>
                  <w14:solidFill>
                    <w14:schemeClr w14:val="tx1"/>
                  </w14:solidFill>
                </w14:textFill>
              </w:rPr>
              <w:t>雨水收集池容积为</w:t>
            </w:r>
            <w:r>
              <w:rPr>
                <w:rFonts w:hint="default" w:ascii="Times New Roman" w:hAnsi="Times New Roman" w:cs="Times New Roman"/>
                <w:b w:val="0"/>
                <w:bCs/>
                <w:color w:val="000000" w:themeColor="text1"/>
                <w:sz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4"/>
                <w:lang w:val="en-US" w:eastAsia="zh-CN"/>
                <w14:textFill>
                  <w14:solidFill>
                    <w14:schemeClr w14:val="tx1"/>
                  </w14:solidFill>
                </w14:textFill>
              </w:rPr>
              <w:t>，初期雨水经收集后用于“</w:t>
            </w:r>
            <w:r>
              <w:rPr>
                <w:rFonts w:hint="default" w:ascii="Times New Roman" w:hAnsi="Times New Roman" w:cs="Times New Roman"/>
                <w:color w:val="000000" w:themeColor="text1"/>
                <w:sz w:val="24"/>
                <w:lang w:val="en-US" w:eastAsia="zh-CN"/>
                <w14:textFill>
                  <w14:solidFill>
                    <w14:schemeClr w14:val="tx1"/>
                  </w14:solidFill>
                </w14:textFill>
              </w:rPr>
              <w:t>浩峰公司塑料项目</w:t>
            </w:r>
            <w:r>
              <w:rPr>
                <w:rFonts w:hint="default" w:ascii="Times New Roman" w:hAnsi="Times New Roman" w:cs="Times New Roman"/>
                <w:b w:val="0"/>
                <w:bCs/>
                <w:color w:val="000000" w:themeColor="text1"/>
                <w:sz w:val="24"/>
                <w:lang w:val="en-US" w:eastAsia="zh-CN"/>
                <w14:textFill>
                  <w14:solidFill>
                    <w14:schemeClr w14:val="tx1"/>
                  </w14:solidFill>
                </w14:textFill>
              </w:rPr>
              <w:t>”生产环节使用。</w:t>
            </w:r>
            <w:r>
              <w:rPr>
                <w:rFonts w:hint="eastAsia" w:cs="Times New Roman"/>
                <w:b w:val="0"/>
                <w:bCs/>
                <w:color w:val="000000" w:themeColor="text1"/>
                <w:sz w:val="24"/>
                <w:lang w:val="en-US" w:eastAsia="zh-CN"/>
                <w14:textFill>
                  <w14:solidFill>
                    <w14:schemeClr w14:val="tx1"/>
                  </w14:solidFill>
                </w14:textFill>
              </w:rPr>
              <w:t>初期雨水量为3.903m</w:t>
            </w:r>
            <w:r>
              <w:rPr>
                <w:rFonts w:hint="eastAsia" w:cs="Times New Roman"/>
                <w:b w:val="0"/>
                <w:bCs/>
                <w:color w:val="000000" w:themeColor="text1"/>
                <w:sz w:val="24"/>
                <w:vertAlign w:val="superscript"/>
                <w:lang w:val="en-US" w:eastAsia="zh-CN"/>
                <w14:textFill>
                  <w14:solidFill>
                    <w14:schemeClr w14:val="tx1"/>
                  </w14:solidFill>
                </w14:textFill>
              </w:rPr>
              <w:t>3</w:t>
            </w:r>
            <w:r>
              <w:rPr>
                <w:rFonts w:hint="eastAsia" w:cs="Times New Roman"/>
                <w:b w:val="0"/>
                <w:bCs/>
                <w:color w:val="000000" w:themeColor="text1"/>
                <w:sz w:val="24"/>
                <w:lang w:val="en-US" w:eastAsia="zh-CN"/>
                <w14:textFill>
                  <w14:solidFill>
                    <w14:schemeClr w14:val="tx1"/>
                  </w14:solidFill>
                </w14:textFill>
              </w:rPr>
              <w:t>/d，根据调查，</w:t>
            </w:r>
            <w:r>
              <w:rPr>
                <w:rFonts w:hint="default" w:ascii="Times New Roman" w:hAnsi="Times New Roman" w:cs="Times New Roman"/>
                <w:b w:val="0"/>
                <w:bCs/>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浩峰公司塑料项目</w:t>
            </w:r>
            <w:r>
              <w:rPr>
                <w:rFonts w:hint="default" w:ascii="Times New Roman" w:hAnsi="Times New Roman" w:cs="Times New Roman"/>
                <w:b w:val="0"/>
                <w:bCs/>
                <w:color w:val="000000" w:themeColor="text1"/>
                <w:sz w:val="24"/>
                <w:lang w:val="en-US" w:eastAsia="zh-CN"/>
                <w14:textFill>
                  <w14:solidFill>
                    <w14:schemeClr w14:val="tx1"/>
                  </w14:solidFill>
                </w14:textFill>
              </w:rPr>
              <w:t>”</w:t>
            </w:r>
            <w:r>
              <w:rPr>
                <w:rFonts w:hint="eastAsia" w:ascii="Times New Roman" w:hAnsi="Times New Roman" w:cs="Times New Roman"/>
                <w:b w:val="0"/>
                <w:bCs/>
                <w:color w:val="000000" w:themeColor="text1"/>
                <w:sz w:val="24"/>
                <w:lang w:val="en-US" w:eastAsia="zh-CN"/>
                <w14:textFill>
                  <w14:solidFill>
                    <w14:schemeClr w14:val="tx1"/>
                  </w14:solidFill>
                </w14:textFill>
              </w:rPr>
              <w:t>湿法破碎环节用水量约3.5</w:t>
            </w:r>
            <w:r>
              <w:rPr>
                <w:rFonts w:hint="eastAsia" w:cs="Times New Roman"/>
                <w:b w:val="0"/>
                <w:bCs/>
                <w:color w:val="000000" w:themeColor="text1"/>
                <w:sz w:val="24"/>
                <w:lang w:val="en-US" w:eastAsia="zh-CN"/>
                <w14:textFill>
                  <w14:solidFill>
                    <w14:schemeClr w14:val="tx1"/>
                  </w14:solidFill>
                </w14:textFill>
              </w:rPr>
              <w:t>m</w:t>
            </w:r>
            <w:r>
              <w:rPr>
                <w:rFonts w:hint="eastAsia" w:cs="Times New Roman"/>
                <w:b w:val="0"/>
                <w:bCs/>
                <w:color w:val="000000" w:themeColor="text1"/>
                <w:sz w:val="24"/>
                <w:vertAlign w:val="superscript"/>
                <w:lang w:val="en-US" w:eastAsia="zh-CN"/>
                <w14:textFill>
                  <w14:solidFill>
                    <w14:schemeClr w14:val="tx1"/>
                  </w14:solidFill>
                </w14:textFill>
              </w:rPr>
              <w:t>3</w:t>
            </w:r>
            <w:r>
              <w:rPr>
                <w:rFonts w:hint="eastAsia" w:cs="Times New Roman"/>
                <w:b w:val="0"/>
                <w:bCs/>
                <w:color w:val="000000" w:themeColor="text1"/>
                <w:sz w:val="24"/>
                <w:lang w:val="en-US" w:eastAsia="zh-CN"/>
                <w14:textFill>
                  <w14:solidFill>
                    <w14:schemeClr w14:val="tx1"/>
                  </w14:solidFill>
                </w14:textFill>
              </w:rPr>
              <w:t>/d，冷却用水环节用量约0.75m</w:t>
            </w:r>
            <w:r>
              <w:rPr>
                <w:rFonts w:hint="eastAsia" w:cs="Times New Roman"/>
                <w:b w:val="0"/>
                <w:bCs/>
                <w:color w:val="000000" w:themeColor="text1"/>
                <w:sz w:val="24"/>
                <w:vertAlign w:val="superscript"/>
                <w:lang w:val="en-US" w:eastAsia="zh-CN"/>
                <w14:textFill>
                  <w14:solidFill>
                    <w14:schemeClr w14:val="tx1"/>
                  </w14:solidFill>
                </w14:textFill>
              </w:rPr>
              <w:t>3</w:t>
            </w:r>
            <w:r>
              <w:rPr>
                <w:rFonts w:hint="eastAsia" w:cs="Times New Roman"/>
                <w:b w:val="0"/>
                <w:bCs/>
                <w:color w:val="000000" w:themeColor="text1"/>
                <w:sz w:val="24"/>
                <w:lang w:val="en-US" w:eastAsia="zh-CN"/>
                <w14:textFill>
                  <w14:solidFill>
                    <w14:schemeClr w14:val="tx1"/>
                  </w14:solidFill>
                </w14:textFill>
              </w:rPr>
              <w:t>/d，初期雨水能够全部回用。</w:t>
            </w:r>
          </w:p>
          <w:p w14:paraId="6CD1B1D6">
            <w:pPr>
              <w:keepLines/>
              <w:tabs>
                <w:tab w:val="left" w:pos="4830"/>
              </w:tabs>
              <w:spacing w:line="360" w:lineRule="auto"/>
              <w:ind w:firstLine="482" w:firstLineChars="200"/>
              <w:jc w:val="left"/>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cs="Times New Roman"/>
                <w:b/>
                <w:color w:val="000000" w:themeColor="text1"/>
                <w:sz w:val="24"/>
                <w:lang w:val="en-US" w:eastAsia="zh-CN"/>
                <w14:textFill>
                  <w14:solidFill>
                    <w14:schemeClr w14:val="tx1"/>
                  </w14:solidFill>
                </w14:textFill>
              </w:rPr>
              <w:t>4）绿化用水</w:t>
            </w:r>
          </w:p>
          <w:p w14:paraId="7CD8D139">
            <w:pPr>
              <w:spacing w:line="360" w:lineRule="auto"/>
              <w:ind w:firstLine="480" w:firstLineChars="200"/>
              <w:rPr>
                <w:rFonts w:hint="default" w:ascii="Times New Roman" w:hAnsi="Times New Roman" w:cs="Times New Roman"/>
                <w:b w:val="0"/>
                <w:bCs/>
                <w:color w:val="000000" w:themeColor="text1"/>
                <w:sz w:val="24"/>
                <w:lang w:bidi="en-US"/>
                <w14:textFill>
                  <w14:solidFill>
                    <w14:schemeClr w14:val="tx1"/>
                  </w14:solidFill>
                </w14:textFill>
              </w:rPr>
            </w:pPr>
            <w:r>
              <w:rPr>
                <w:rFonts w:hint="default" w:ascii="Times New Roman" w:hAnsi="Times New Roman" w:cs="Times New Roman"/>
                <w:b w:val="0"/>
                <w:bCs/>
                <w:color w:val="000000" w:themeColor="text1"/>
                <w:sz w:val="24"/>
                <w:lang w:eastAsia="zh-CN"/>
                <w14:textFill>
                  <w14:solidFill>
                    <w14:schemeClr w14:val="tx1"/>
                  </w14:solidFill>
                </w14:textFill>
              </w:rPr>
              <w:t>租用场地内现有绿化约</w:t>
            </w:r>
            <w:r>
              <w:rPr>
                <w:rFonts w:hint="default" w:ascii="Times New Roman" w:hAnsi="Times New Roman" w:cs="Times New Roman"/>
                <w:b w:val="0"/>
                <w:bCs/>
                <w:color w:val="000000" w:themeColor="text1"/>
                <w:sz w:val="24"/>
                <w:lang w:val="en-US" w:eastAsia="zh-CN"/>
                <w14:textFill>
                  <w14:solidFill>
                    <w14:schemeClr w14:val="tx1"/>
                  </w14:solidFill>
                </w14:textFill>
              </w:rPr>
              <w:t>200m</w:t>
            </w:r>
            <w:r>
              <w:rPr>
                <w:rFonts w:hint="default" w:ascii="Times New Roman" w:hAnsi="Times New Roman" w:cs="Times New Roman"/>
                <w:b w:val="0"/>
                <w:bCs/>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4"/>
                <w:lang w:val="en-US" w:eastAsia="zh-CN"/>
                <w14:textFill>
                  <w14:solidFill>
                    <w14:schemeClr w14:val="tx1"/>
                  </w14:solidFill>
                </w14:textFill>
              </w:rPr>
              <w:t>，</w:t>
            </w:r>
            <w:r>
              <w:rPr>
                <w:rFonts w:hint="default" w:ascii="Times New Roman" w:hAnsi="Times New Roman" w:cs="Times New Roman"/>
                <w:b w:val="0"/>
                <w:bCs/>
                <w:color w:val="000000" w:themeColor="text1"/>
                <w:sz w:val="24"/>
                <w:lang w:bidi="en-US"/>
                <w14:textFill>
                  <w14:solidFill>
                    <w14:schemeClr w14:val="tx1"/>
                  </w14:solidFill>
                </w14:textFill>
              </w:rPr>
              <w:t>绿化用水量以</w:t>
            </w:r>
            <w:r>
              <w:rPr>
                <w:rFonts w:hint="default" w:ascii="Times New Roman" w:hAnsi="Times New Roman" w:cs="Times New Roman"/>
                <w:b w:val="0"/>
                <w:bCs/>
                <w:color w:val="000000" w:themeColor="text1"/>
                <w:sz w:val="24"/>
                <w:lang w:val="en-US" w:eastAsia="zh-CN" w:bidi="en-US"/>
                <w14:textFill>
                  <w14:solidFill>
                    <w14:schemeClr w14:val="tx1"/>
                  </w14:solidFill>
                </w14:textFill>
              </w:rPr>
              <w:t>3</w:t>
            </w:r>
            <w:r>
              <w:rPr>
                <w:rFonts w:hint="default" w:ascii="Times New Roman" w:hAnsi="Times New Roman" w:cs="Times New Roman"/>
                <w:b w:val="0"/>
                <w:bCs/>
                <w:color w:val="000000" w:themeColor="text1"/>
                <w:sz w:val="24"/>
                <w:lang w:bidi="en-US"/>
                <w14:textFill>
                  <w14:solidFill>
                    <w14:schemeClr w14:val="tx1"/>
                  </w14:solidFill>
                </w14:textFill>
              </w:rPr>
              <w:t>L/m</w:t>
            </w:r>
            <w:r>
              <w:rPr>
                <w:rFonts w:hint="default" w:ascii="Times New Roman" w:hAnsi="Times New Roman" w:cs="Times New Roman"/>
                <w:b w:val="0"/>
                <w:bCs/>
                <w:color w:val="000000" w:themeColor="text1"/>
                <w:sz w:val="24"/>
                <w:vertAlign w:val="superscript"/>
                <w:lang w:bidi="en-US"/>
                <w14:textFill>
                  <w14:solidFill>
                    <w14:schemeClr w14:val="tx1"/>
                  </w14:solidFill>
                </w14:textFill>
              </w:rPr>
              <w:t>2</w:t>
            </w:r>
            <w:r>
              <w:rPr>
                <w:rFonts w:hint="default" w:ascii="Times New Roman" w:hAnsi="Times New Roman" w:cs="Times New Roman"/>
                <w:b w:val="0"/>
                <w:bCs/>
                <w:color w:val="000000" w:themeColor="text1"/>
                <w:sz w:val="24"/>
                <w:lang w:bidi="en-US"/>
                <w14:textFill>
                  <w14:solidFill>
                    <w14:schemeClr w14:val="tx1"/>
                  </w14:solidFill>
                </w14:textFill>
              </w:rPr>
              <w:t>*d计算，当地旱季天数以200天计，则绿化用水量约为0.</w:t>
            </w:r>
            <w:r>
              <w:rPr>
                <w:rFonts w:hint="default" w:ascii="Times New Roman" w:hAnsi="Times New Roman" w:cs="Times New Roman"/>
                <w:b w:val="0"/>
                <w:bCs/>
                <w:color w:val="000000" w:themeColor="text1"/>
                <w:sz w:val="24"/>
                <w:lang w:val="en-US" w:eastAsia="zh-CN" w:bidi="en-US"/>
                <w14:textFill>
                  <w14:solidFill>
                    <w14:schemeClr w14:val="tx1"/>
                  </w14:solidFill>
                </w14:textFill>
              </w:rPr>
              <w:t>6</w:t>
            </w:r>
            <w:r>
              <w:rPr>
                <w:rFonts w:hint="default" w:ascii="Times New Roman" w:hAnsi="Times New Roman" w:cs="Times New Roman"/>
                <w:b w:val="0"/>
                <w:bCs/>
                <w:color w:val="000000" w:themeColor="text1"/>
                <w:sz w:val="24"/>
                <w:lang w:bidi="en-US"/>
                <w14:textFill>
                  <w14:solidFill>
                    <w14:schemeClr w14:val="tx1"/>
                  </w14:solidFill>
                </w14:textFill>
              </w:rPr>
              <w:t>m</w:t>
            </w:r>
            <w:r>
              <w:rPr>
                <w:rFonts w:hint="default" w:ascii="Times New Roman" w:hAnsi="Times New Roman" w:cs="Times New Roman"/>
                <w:b w:val="0"/>
                <w:bCs/>
                <w:color w:val="000000" w:themeColor="text1"/>
                <w:sz w:val="24"/>
                <w:vertAlign w:val="superscript"/>
                <w:lang w:bidi="en-US"/>
                <w14:textFill>
                  <w14:solidFill>
                    <w14:schemeClr w14:val="tx1"/>
                  </w14:solidFill>
                </w14:textFill>
              </w:rPr>
              <w:t>3</w:t>
            </w:r>
            <w:r>
              <w:rPr>
                <w:rFonts w:hint="default" w:ascii="Times New Roman" w:hAnsi="Times New Roman" w:cs="Times New Roman"/>
                <w:b w:val="0"/>
                <w:bCs/>
                <w:color w:val="000000" w:themeColor="text1"/>
                <w:sz w:val="24"/>
                <w:lang w:bidi="en-US"/>
                <w14:textFill>
                  <w14:solidFill>
                    <w14:schemeClr w14:val="tx1"/>
                  </w14:solidFill>
                </w14:textFill>
              </w:rPr>
              <w:t>/d，</w:t>
            </w:r>
            <w:r>
              <w:rPr>
                <w:rFonts w:hint="default" w:ascii="Times New Roman" w:hAnsi="Times New Roman" w:cs="Times New Roman"/>
                <w:b w:val="0"/>
                <w:bCs/>
                <w:color w:val="000000" w:themeColor="text1"/>
                <w:sz w:val="24"/>
                <w:lang w:val="en-US" w:eastAsia="zh-CN" w:bidi="en-US"/>
                <w14:textFill>
                  <w14:solidFill>
                    <w14:schemeClr w14:val="tx1"/>
                  </w14:solidFill>
                </w14:textFill>
              </w:rPr>
              <w:t>120</w:t>
            </w:r>
            <w:r>
              <w:rPr>
                <w:rFonts w:hint="default" w:ascii="Times New Roman" w:hAnsi="Times New Roman" w:cs="Times New Roman"/>
                <w:b w:val="0"/>
                <w:bCs/>
                <w:color w:val="000000" w:themeColor="text1"/>
                <w:sz w:val="24"/>
                <w:lang w:bidi="en-US"/>
                <w14:textFill>
                  <w14:solidFill>
                    <w14:schemeClr w14:val="tx1"/>
                  </w14:solidFill>
                </w14:textFill>
              </w:rPr>
              <w:t>m</w:t>
            </w:r>
            <w:r>
              <w:rPr>
                <w:rFonts w:hint="default" w:ascii="Times New Roman" w:hAnsi="Times New Roman" w:cs="Times New Roman"/>
                <w:b w:val="0"/>
                <w:bCs/>
                <w:color w:val="000000" w:themeColor="text1"/>
                <w:sz w:val="24"/>
                <w:vertAlign w:val="superscript"/>
                <w:lang w:bidi="en-US"/>
                <w14:textFill>
                  <w14:solidFill>
                    <w14:schemeClr w14:val="tx1"/>
                  </w14:solidFill>
                </w14:textFill>
              </w:rPr>
              <w:t>3</w:t>
            </w:r>
            <w:r>
              <w:rPr>
                <w:rFonts w:hint="default" w:ascii="Times New Roman" w:hAnsi="Times New Roman" w:cs="Times New Roman"/>
                <w:b w:val="0"/>
                <w:bCs/>
                <w:color w:val="000000" w:themeColor="text1"/>
                <w:sz w:val="24"/>
                <w:lang w:bidi="en-US"/>
                <w14:textFill>
                  <w14:solidFill>
                    <w14:schemeClr w14:val="tx1"/>
                  </w14:solidFill>
                </w14:textFill>
              </w:rPr>
              <w:t>/a，用水来自自来水。</w:t>
            </w:r>
          </w:p>
          <w:p w14:paraId="0ABA4F4F">
            <w:pPr>
              <w:keepLines/>
              <w:tabs>
                <w:tab w:val="left" w:pos="4830"/>
              </w:tabs>
              <w:spacing w:line="360" w:lineRule="auto"/>
              <w:ind w:firstLine="482" w:firstLineChars="200"/>
              <w:jc w:val="left"/>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（2）废水处置可行性分析</w:t>
            </w:r>
          </w:p>
          <w:p w14:paraId="3E23223E">
            <w:pPr>
              <w:pStyle w:val="44"/>
              <w:ind w:firstLine="48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1）生活污水</w:t>
            </w:r>
          </w:p>
          <w:p w14:paraId="375F3C59">
            <w:pPr>
              <w:pStyle w:val="44"/>
              <w:ind w:firstLine="48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①生活污水处理措施可行性</w:t>
            </w:r>
          </w:p>
          <w:p w14:paraId="12C1215C">
            <w:pPr>
              <w:pStyle w:val="20"/>
              <w:pageBreakBefore w:val="0"/>
              <w:kinsoku/>
              <w:overflowPunct/>
              <w:topLinePunct w:val="0"/>
              <w:autoSpaceDE/>
              <w:autoSpaceDN/>
              <w:bidi w:val="0"/>
              <w:adjustRightInd/>
              <w:spacing w:line="360" w:lineRule="auto"/>
              <w:ind w:left="0" w:leftChars="0" w:right="0" w:righ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根据上文分析，本项目生活污水产生量为</w:t>
            </w:r>
            <w:r>
              <w:rPr>
                <w:rFonts w:hint="default" w:ascii="Times New Roman" w:hAnsi="Times New Roman" w:eastAsia="宋体" w:cs="Times New Roman"/>
                <w:color w:val="000000" w:themeColor="text1"/>
                <w:sz w:val="24"/>
                <w:lang w:val="en-US" w:eastAsia="zh-CN"/>
                <w14:textFill>
                  <w14:solidFill>
                    <w14:schemeClr w14:val="tx1"/>
                  </w14:solidFill>
                </w14:textFill>
              </w:rPr>
              <w:t>0.32m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/d，96m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/a。本项目设置1个1m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化粪池，</w:t>
            </w:r>
            <w:r>
              <w:rPr>
                <w:rFonts w:hint="default" w:ascii="Times New Roman" w:hAnsi="Times New Roman" w:cs="Times New Roman"/>
                <w:color w:val="000000" w:themeColor="text1"/>
                <w:sz w:val="24"/>
                <w:lang w:val="en-US" w:eastAsia="zh-CN"/>
                <w14:textFill>
                  <w14:solidFill>
                    <w14:schemeClr w14:val="tx1"/>
                  </w14:solidFill>
                </w14:textFill>
              </w:rPr>
              <w:t>1个1m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收集池</w:t>
            </w:r>
            <w:r>
              <w:rPr>
                <w:rFonts w:hint="default" w:ascii="Times New Roman" w:hAnsi="Times New Roman" w:eastAsia="宋体" w:cs="Times New Roman"/>
                <w:color w:val="000000" w:themeColor="text1"/>
                <w:sz w:val="24"/>
                <w:lang w:val="en-US" w:eastAsia="zh-CN"/>
                <w14:textFill>
                  <w14:solidFill>
                    <w14:schemeClr w14:val="tx1"/>
                  </w14:solidFill>
                </w14:textFill>
              </w:rPr>
              <w:t>，1个处理能力为1m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/d的一体化生活污水处理设施</w:t>
            </w:r>
            <w:r>
              <w:rPr>
                <w:rFonts w:hint="default" w:ascii="Times New Roman" w:hAnsi="Times New Roman" w:cs="Times New Roman"/>
                <w:color w:val="000000" w:themeColor="text1"/>
                <w:sz w:val="24"/>
                <w:lang w:val="en-US" w:eastAsia="zh-CN"/>
                <w14:textFill>
                  <w14:solidFill>
                    <w14:schemeClr w14:val="tx1"/>
                  </w14:solidFill>
                </w14:textFill>
              </w:rPr>
              <w:t>。</w:t>
            </w:r>
          </w:p>
          <w:p w14:paraId="5D023027">
            <w:pPr>
              <w:pStyle w:val="44"/>
              <w:ind w:firstLine="48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根据《建筑给水排水设计规范》（GB50015-2003）要求：化粪池有效停留时间取12</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24h。</w:t>
            </w:r>
            <w:r>
              <w:rPr>
                <w:rFonts w:hint="default" w:ascii="Times New Roman" w:hAnsi="Times New Roman" w:cs="Times New Roman"/>
                <w:color w:val="000000" w:themeColor="text1"/>
                <w:sz w:val="24"/>
                <w:lang w:val="en-US" w:eastAsia="zh-CN"/>
                <w14:textFill>
                  <w14:solidFill>
                    <w14:schemeClr w14:val="tx1"/>
                  </w14:solidFill>
                </w14:textFill>
              </w:rPr>
              <w:t>本项目</w:t>
            </w:r>
            <w:r>
              <w:rPr>
                <w:rFonts w:hint="default" w:ascii="Times New Roman" w:hAnsi="Times New Roman" w:cs="Times New Roman"/>
                <w:color w:val="000000" w:themeColor="text1"/>
                <w:sz w:val="24"/>
                <w14:textFill>
                  <w14:solidFill>
                    <w14:schemeClr w14:val="tx1"/>
                  </w14:solidFill>
                </w14:textFill>
              </w:rPr>
              <w:t>化粪池能够满足《建筑给水排水设计规范》（GB50015-2003）24h有效停留时间相关要求。</w:t>
            </w:r>
          </w:p>
          <w:p w14:paraId="5EB8C02E">
            <w:pPr>
              <w:pStyle w:val="44"/>
              <w:ind w:firstLine="48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cs="Times New Roman"/>
                <w:b w:val="0"/>
                <w:bCs w:val="0"/>
                <w:color w:val="000000" w:themeColor="text1"/>
                <w:lang w:eastAsia="zh-CN"/>
                <w14:textFill>
                  <w14:solidFill>
                    <w14:schemeClr w14:val="tx1"/>
                  </w14:solidFill>
                </w14:textFill>
              </w:rPr>
              <w:t>本项目生活污水产生量为</w:t>
            </w:r>
            <w:r>
              <w:rPr>
                <w:rFonts w:hint="default" w:ascii="Times New Roman" w:hAnsi="Times New Roman" w:eastAsia="宋体" w:cs="Times New Roman"/>
                <w:color w:val="000000" w:themeColor="text1"/>
                <w:sz w:val="24"/>
                <w:lang w:val="en-US" w:eastAsia="zh-CN"/>
                <w14:textFill>
                  <w14:solidFill>
                    <w14:schemeClr w14:val="tx1"/>
                  </w14:solidFill>
                </w14:textFill>
              </w:rPr>
              <w:t>0.32m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/d</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96m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w:t>
            </w:r>
            <w:r>
              <w:rPr>
                <w:rFonts w:hint="default" w:ascii="Times New Roman" w:hAnsi="Times New Roman" w:cs="Times New Roman"/>
                <w:b w:val="0"/>
                <w:bCs/>
                <w:color w:val="000000" w:themeColor="text1"/>
                <w:sz w:val="24"/>
                <w:lang w:bidi="en-US"/>
                <w14:textFill>
                  <w14:solidFill>
                    <w14:schemeClr w14:val="tx1"/>
                  </w14:solidFill>
                </w14:textFill>
              </w:rPr>
              <w:t>绿化用水量约为0.</w:t>
            </w:r>
            <w:r>
              <w:rPr>
                <w:rFonts w:hint="default" w:ascii="Times New Roman" w:hAnsi="Times New Roman" w:cs="Times New Roman"/>
                <w:b w:val="0"/>
                <w:bCs/>
                <w:color w:val="000000" w:themeColor="text1"/>
                <w:sz w:val="24"/>
                <w:lang w:val="en-US" w:eastAsia="zh-CN" w:bidi="en-US"/>
                <w14:textFill>
                  <w14:solidFill>
                    <w14:schemeClr w14:val="tx1"/>
                  </w14:solidFill>
                </w14:textFill>
              </w:rPr>
              <w:t>6</w:t>
            </w:r>
            <w:r>
              <w:rPr>
                <w:rFonts w:hint="default" w:ascii="Times New Roman" w:hAnsi="Times New Roman" w:cs="Times New Roman"/>
                <w:b w:val="0"/>
                <w:bCs/>
                <w:color w:val="000000" w:themeColor="text1"/>
                <w:sz w:val="24"/>
                <w:lang w:bidi="en-US"/>
                <w14:textFill>
                  <w14:solidFill>
                    <w14:schemeClr w14:val="tx1"/>
                  </w14:solidFill>
                </w14:textFill>
              </w:rPr>
              <w:t>m</w:t>
            </w:r>
            <w:r>
              <w:rPr>
                <w:rFonts w:hint="default" w:ascii="Times New Roman" w:hAnsi="Times New Roman" w:cs="Times New Roman"/>
                <w:b w:val="0"/>
                <w:bCs/>
                <w:color w:val="000000" w:themeColor="text1"/>
                <w:sz w:val="24"/>
                <w:vertAlign w:val="superscript"/>
                <w:lang w:bidi="en-US"/>
                <w14:textFill>
                  <w14:solidFill>
                    <w14:schemeClr w14:val="tx1"/>
                  </w14:solidFill>
                </w14:textFill>
              </w:rPr>
              <w:t>3</w:t>
            </w:r>
            <w:r>
              <w:rPr>
                <w:rFonts w:hint="default" w:ascii="Times New Roman" w:hAnsi="Times New Roman" w:cs="Times New Roman"/>
                <w:b w:val="0"/>
                <w:bCs/>
                <w:color w:val="000000" w:themeColor="text1"/>
                <w:sz w:val="24"/>
                <w:lang w:bidi="en-US"/>
                <w14:textFill>
                  <w14:solidFill>
                    <w14:schemeClr w14:val="tx1"/>
                  </w14:solidFill>
                </w14:textFill>
              </w:rPr>
              <w:t>/d，</w:t>
            </w:r>
            <w:r>
              <w:rPr>
                <w:rFonts w:hint="default" w:ascii="Times New Roman" w:hAnsi="Times New Roman" w:cs="Times New Roman"/>
                <w:b w:val="0"/>
                <w:bCs/>
                <w:color w:val="000000" w:themeColor="text1"/>
                <w:sz w:val="24"/>
                <w:lang w:val="en-US" w:eastAsia="zh-CN" w:bidi="en-US"/>
                <w14:textFill>
                  <w14:solidFill>
                    <w14:schemeClr w14:val="tx1"/>
                  </w14:solidFill>
                </w14:textFill>
              </w:rPr>
              <w:t>120</w:t>
            </w:r>
            <w:r>
              <w:rPr>
                <w:rFonts w:hint="default" w:ascii="Times New Roman" w:hAnsi="Times New Roman" w:cs="Times New Roman"/>
                <w:b w:val="0"/>
                <w:bCs/>
                <w:color w:val="000000" w:themeColor="text1"/>
                <w:sz w:val="24"/>
                <w:lang w:bidi="en-US"/>
                <w14:textFill>
                  <w14:solidFill>
                    <w14:schemeClr w14:val="tx1"/>
                  </w14:solidFill>
                </w14:textFill>
              </w:rPr>
              <w:t>m</w:t>
            </w:r>
            <w:r>
              <w:rPr>
                <w:rFonts w:hint="default" w:ascii="Times New Roman" w:hAnsi="Times New Roman" w:cs="Times New Roman"/>
                <w:b w:val="0"/>
                <w:bCs/>
                <w:color w:val="000000" w:themeColor="text1"/>
                <w:sz w:val="24"/>
                <w:vertAlign w:val="superscript"/>
                <w:lang w:bidi="en-US"/>
                <w14:textFill>
                  <w14:solidFill>
                    <w14:schemeClr w14:val="tx1"/>
                  </w14:solidFill>
                </w14:textFill>
              </w:rPr>
              <w:t>3</w:t>
            </w:r>
            <w:r>
              <w:rPr>
                <w:rFonts w:hint="default" w:ascii="Times New Roman" w:hAnsi="Times New Roman" w:cs="Times New Roman"/>
                <w:b w:val="0"/>
                <w:bCs/>
                <w:color w:val="000000" w:themeColor="text1"/>
                <w:sz w:val="24"/>
                <w:lang w:bidi="en-US"/>
                <w14:textFill>
                  <w14:solidFill>
                    <w14:schemeClr w14:val="tx1"/>
                  </w14:solidFill>
                </w14:textFill>
              </w:rPr>
              <w:t>/a</w:t>
            </w:r>
            <w:r>
              <w:rPr>
                <w:rFonts w:hint="default" w:ascii="Times New Roman" w:hAnsi="Times New Roman" w:cs="Times New Roman"/>
                <w:b w:val="0"/>
                <w:bCs/>
                <w:color w:val="000000" w:themeColor="text1"/>
                <w:sz w:val="24"/>
                <w:lang w:eastAsia="zh-CN" w:bidi="en-US"/>
                <w14:textFill>
                  <w14:solidFill>
                    <w14:schemeClr w14:val="tx1"/>
                  </w14:solidFill>
                </w14:textFill>
              </w:rPr>
              <w:t>。绿化用水能够容纳本项目产生的生活污水。</w:t>
            </w:r>
            <w:r>
              <w:rPr>
                <w:rFonts w:hint="eastAsia" w:cs="Times New Roman"/>
                <w:b w:val="0"/>
                <w:bCs/>
                <w:color w:val="000000" w:themeColor="text1"/>
                <w:sz w:val="24"/>
                <w:lang w:eastAsia="zh-CN" w:bidi="en-US"/>
                <w14:textFill>
                  <w14:solidFill>
                    <w14:schemeClr w14:val="tx1"/>
                  </w14:solidFill>
                </w14:textFill>
              </w:rPr>
              <w:t>本项目设置有</w:t>
            </w:r>
            <w:r>
              <w:rPr>
                <w:rFonts w:hint="default" w:ascii="Times New Roman" w:hAnsi="Times New Roman" w:cs="Times New Roman"/>
                <w:color w:val="000000" w:themeColor="text1"/>
                <w:sz w:val="24"/>
                <w:lang w:val="en-US" w:eastAsia="zh-CN"/>
                <w14:textFill>
                  <w14:solidFill>
                    <w14:schemeClr w14:val="tx1"/>
                  </w14:solidFill>
                </w14:textFill>
              </w:rPr>
              <w:t>1个1m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收集池</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雨季最大能够容纳约3天的生活污水，生活污水不外排。</w:t>
            </w:r>
          </w:p>
          <w:p w14:paraId="6F8D79A2">
            <w:pPr>
              <w:pStyle w:val="44"/>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val="0"/>
                <w:bCs w:val="0"/>
                <w:color w:val="000000" w:themeColor="text1"/>
                <w:lang w:eastAsia="zh-CN"/>
                <w14:textFill>
                  <w14:solidFill>
                    <w14:schemeClr w14:val="tx1"/>
                  </w14:solidFill>
                </w14:textFill>
              </w:rPr>
              <w:t>本环评推荐</w:t>
            </w:r>
            <w:r>
              <w:rPr>
                <w:rFonts w:hint="default" w:ascii="Times New Roman" w:hAnsi="Times New Roman" w:cs="Times New Roman"/>
                <w:b w:val="0"/>
                <w:bCs w:val="0"/>
                <w:color w:val="000000" w:themeColor="text1"/>
                <w14:textFill>
                  <w14:solidFill>
                    <w14:schemeClr w14:val="tx1"/>
                  </w14:solidFill>
                </w14:textFill>
              </w:rPr>
              <w:t>一体化污水处理设</w:t>
            </w:r>
            <w:r>
              <w:rPr>
                <w:rFonts w:hint="default" w:ascii="Times New Roman" w:hAnsi="Times New Roman" w:cs="Times New Roman"/>
                <w:color w:val="000000" w:themeColor="text1"/>
                <w14:textFill>
                  <w14:solidFill>
                    <w14:schemeClr w14:val="tx1"/>
                  </w14:solidFill>
                </w14:textFill>
              </w:rPr>
              <w:t>备采用“A</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/O”处理工艺，</w:t>
            </w:r>
            <w:r>
              <w:rPr>
                <w:rFonts w:hint="default" w:ascii="Times New Roman" w:hAnsi="Times New Roman" w:cs="Times New Roman"/>
                <w:color w:val="000000" w:themeColor="text1"/>
                <w:lang w:eastAsia="zh-CN"/>
                <w14:textFill>
                  <w14:solidFill>
                    <w14:schemeClr w14:val="tx1"/>
                  </w14:solidFill>
                </w14:textFill>
              </w:rPr>
              <w:t>该工艺为国内稳定成熟工艺，</w:t>
            </w:r>
            <w:r>
              <w:rPr>
                <w:rFonts w:hint="default" w:ascii="Times New Roman" w:hAnsi="Times New Roman" w:cs="Times New Roman"/>
                <w:color w:val="000000" w:themeColor="text1"/>
                <w14:textFill>
                  <w14:solidFill>
                    <w14:schemeClr w14:val="tx1"/>
                  </w14:solidFill>
                </w14:textFill>
              </w:rPr>
              <w:t>项目污水经格栅，汇集进入调节池，调节池内调匀水质、调节水量（调节池内装有毛发聚集器），调节池出水进入生物接触氧化池，池内装有生物组合填料，在沉水式曝气机曝气供氧的状态下，池内生物组合填料上吸附的微生物通过好氧作用将水中污染物质分解消化，使水质得到净化。该设备投资和运行费用低廉；系统控制自动化程度高，操作简单，出水水质高且水质稳定。工艺流程见图</w:t>
            </w:r>
            <w:r>
              <w:rPr>
                <w:rFonts w:hint="default" w:ascii="Times New Roman" w:hAnsi="Times New Roman" w:cs="Times New Roman"/>
                <w:color w:val="000000" w:themeColor="text1"/>
                <w:lang w:val="en-US" w:eastAsia="zh-CN"/>
                <w14:textFill>
                  <w14:solidFill>
                    <w14:schemeClr w14:val="tx1"/>
                  </w14:solidFill>
                </w14:textFill>
              </w:rPr>
              <w:t>4-1</w:t>
            </w:r>
            <w:r>
              <w:rPr>
                <w:rFonts w:hint="default" w:ascii="Times New Roman" w:hAnsi="Times New Roman" w:cs="Times New Roman"/>
                <w:color w:val="000000" w:themeColor="text1"/>
                <w14:textFill>
                  <w14:solidFill>
                    <w14:schemeClr w14:val="tx1"/>
                  </w14:solidFill>
                </w14:textFill>
              </w:rPr>
              <w:t>。</w:t>
            </w:r>
          </w:p>
          <w:p w14:paraId="2B10EC06">
            <w:pPr>
              <w:pStyle w:val="44"/>
              <w:ind w:firstLine="0" w:firstLineChars="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2764155" cy="3552825"/>
                  <wp:effectExtent l="0" t="0" r="17145" b="9525"/>
                  <wp:docPr id="14"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
                          <pic:cNvPicPr>
                            <a:picLocks noChangeAspect="1"/>
                          </pic:cNvPicPr>
                        </pic:nvPicPr>
                        <pic:blipFill>
                          <a:blip r:embed="rId24"/>
                          <a:stretch>
                            <a:fillRect/>
                          </a:stretch>
                        </pic:blipFill>
                        <pic:spPr>
                          <a:xfrm>
                            <a:off x="0" y="0"/>
                            <a:ext cx="2764155" cy="3552825"/>
                          </a:xfrm>
                          <a:prstGeom prst="rect">
                            <a:avLst/>
                          </a:prstGeom>
                        </pic:spPr>
                      </pic:pic>
                    </a:graphicData>
                  </a:graphic>
                </wp:inline>
              </w:drawing>
            </w:r>
          </w:p>
          <w:p w14:paraId="11FFC0AA">
            <w:pPr>
              <w:pStyle w:val="128"/>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图4-</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 xml:space="preserve">  一体化污水处理设备工艺流程图</w:t>
            </w:r>
          </w:p>
          <w:p w14:paraId="566E0D9A">
            <w:pPr>
              <w:pStyle w:val="44"/>
              <w:ind w:firstLine="48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经过上述工艺处理后的生活污水出水水质可满足</w:t>
            </w:r>
            <w:r>
              <w:rPr>
                <w:rFonts w:hint="default" w:ascii="Times New Roman" w:hAnsi="Times New Roman" w:cs="Times New Roman"/>
                <w:bCs/>
                <w:color w:val="000000" w:themeColor="text1"/>
                <w:sz w:val="24"/>
                <w14:textFill>
                  <w14:solidFill>
                    <w14:schemeClr w14:val="tx1"/>
                  </w14:solidFill>
                </w14:textFill>
              </w:rPr>
              <w:t>《城市污水再生利用 城市杂用水水质》（GB/T18920-2020）</w:t>
            </w:r>
            <w:r>
              <w:rPr>
                <w:rFonts w:hint="default" w:ascii="Times New Roman" w:hAnsi="Times New Roman" w:cs="Times New Roman"/>
                <w:bCs/>
                <w:color w:val="000000" w:themeColor="text1"/>
                <w:sz w:val="24"/>
                <w:lang w:eastAsia="zh-CN"/>
                <w14:textFill>
                  <w14:solidFill>
                    <w14:schemeClr w14:val="tx1"/>
                  </w14:solidFill>
                </w14:textFill>
              </w:rPr>
              <w:t>绿化标准</w:t>
            </w:r>
            <w:r>
              <w:rPr>
                <w:rFonts w:hint="default" w:ascii="Times New Roman" w:hAnsi="Times New Roman" w:cs="Times New Roman"/>
                <w:color w:val="000000" w:themeColor="text1"/>
                <w14:textFill>
                  <w14:solidFill>
                    <w14:schemeClr w14:val="tx1"/>
                  </w14:solidFill>
                </w14:textFill>
              </w:rPr>
              <w:t>要求，</w:t>
            </w:r>
            <w:r>
              <w:rPr>
                <w:rFonts w:hint="default" w:ascii="Times New Roman" w:hAnsi="Times New Roman" w:cs="Times New Roman"/>
                <w:bCs/>
                <w:color w:val="000000" w:themeColor="text1"/>
                <w:sz w:val="24"/>
                <w14:textFill>
                  <w14:solidFill>
                    <w14:schemeClr w14:val="tx1"/>
                  </w14:solidFill>
                </w14:textFill>
              </w:rPr>
              <w:t>故生活污水处理措施有可行性。</w:t>
            </w:r>
          </w:p>
          <w:p w14:paraId="408C6D33">
            <w:pPr>
              <w:keepNext w:val="0"/>
              <w:keepLines/>
              <w:pageBreakBefore w:val="0"/>
              <w:kinsoku/>
              <w:wordWrap/>
              <w:overflowPunct/>
              <w:topLinePunct w:val="0"/>
              <w:autoSpaceDE/>
              <w:autoSpaceDN/>
              <w:bidi w:val="0"/>
              <w:adjustRightInd/>
              <w:snapToGrid/>
              <w:spacing w:line="360" w:lineRule="auto"/>
              <w:ind w:right="0" w:firstLine="482" w:firstLineChars="200"/>
              <w:jc w:val="left"/>
              <w:textAlignment w:val="auto"/>
              <w:rPr>
                <w:rFonts w:hint="default" w:ascii="Times New Roman" w:hAnsi="Times New Roman" w:cs="Times New Roman"/>
                <w:b/>
                <w:bCs w:val="0"/>
                <w:color w:val="000000" w:themeColor="text1"/>
                <w:sz w:val="24"/>
                <w:lang w:val="en-US" w:eastAsia="zh-CN"/>
                <w14:textFill>
                  <w14:solidFill>
                    <w14:schemeClr w14:val="tx1"/>
                  </w14:solidFill>
                </w14:textFill>
              </w:rPr>
            </w:pPr>
            <w:r>
              <w:rPr>
                <w:rFonts w:hint="default" w:ascii="Times New Roman" w:hAnsi="Times New Roman" w:cs="Times New Roman"/>
                <w:b/>
                <w:bCs w:val="0"/>
                <w:color w:val="000000" w:themeColor="text1"/>
                <w:sz w:val="24"/>
                <w:lang w:val="en-US" w:eastAsia="zh-CN"/>
                <w14:textFill>
                  <w14:solidFill>
                    <w14:schemeClr w14:val="tx1"/>
                  </w14:solidFill>
                </w14:textFill>
              </w:rPr>
              <w:t>2）水压试验、气密试验用水</w:t>
            </w:r>
          </w:p>
          <w:p w14:paraId="0BF503F0">
            <w:pPr>
              <w:keepNext w:val="0"/>
              <w:keepLines/>
              <w:pageBreakBefore w:val="0"/>
              <w:kinsoku/>
              <w:wordWrap/>
              <w:overflowPunct/>
              <w:topLinePunct w:val="0"/>
              <w:autoSpaceDE/>
              <w:autoSpaceDN/>
              <w:bidi w:val="0"/>
              <w:adjustRightInd/>
              <w:snapToGrid/>
              <w:spacing w:line="360" w:lineRule="auto"/>
              <w:ind w:right="0"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根据前文分析可知，本项目</w:t>
            </w:r>
            <w:r>
              <w:rPr>
                <w:rFonts w:hint="default" w:ascii="Times New Roman" w:hAnsi="Times New Roman" w:cs="Times New Roman"/>
                <w:color w:val="000000" w:themeColor="text1"/>
                <w:sz w:val="24"/>
                <w:lang w:val="en-US" w:eastAsia="zh-CN"/>
                <w14:textFill>
                  <w14:solidFill>
                    <w14:schemeClr w14:val="tx1"/>
                  </w14:solidFill>
                </w14:textFill>
              </w:rPr>
              <w:t>水压试验、气密试验用水</w:t>
            </w:r>
            <w:r>
              <w:rPr>
                <w:rFonts w:hint="default" w:ascii="Times New Roman" w:hAnsi="Times New Roman" w:eastAsia="宋体" w:cs="Times New Roman"/>
                <w:color w:val="000000" w:themeColor="text1"/>
                <w:sz w:val="24"/>
                <w:lang w:val="en-US" w:eastAsia="zh-CN"/>
                <w14:textFill>
                  <w14:solidFill>
                    <w14:schemeClr w14:val="tx1"/>
                  </w14:solidFill>
                </w14:textFill>
              </w:rPr>
              <w:t>为循环使用，定期补充新鲜水，</w:t>
            </w:r>
            <w:r>
              <w:rPr>
                <w:rFonts w:hint="default" w:ascii="Times New Roman" w:hAnsi="Times New Roman" w:cs="Times New Roman"/>
                <w:b w:val="0"/>
                <w:bCs/>
                <w:color w:val="000000" w:themeColor="text1"/>
                <w:sz w:val="24"/>
                <w:lang w:val="en-US" w:eastAsia="zh-CN"/>
                <w14:textFill>
                  <w14:solidFill>
                    <w14:schemeClr w14:val="tx1"/>
                  </w14:solidFill>
                </w14:textFill>
              </w:rPr>
              <w:t>水压试验、气密试验用水</w:t>
            </w:r>
            <w:r>
              <w:rPr>
                <w:rFonts w:hint="default" w:ascii="Times New Roman" w:hAnsi="Times New Roman" w:eastAsia="宋体" w:cs="Times New Roman"/>
                <w:color w:val="000000" w:themeColor="text1"/>
                <w:sz w:val="24"/>
                <w:lang w:val="en-US" w:eastAsia="zh-CN"/>
                <w14:textFill>
                  <w14:solidFill>
                    <w14:schemeClr w14:val="tx1"/>
                  </w14:solidFill>
                </w14:textFill>
              </w:rPr>
              <w:t>量为</w:t>
            </w:r>
            <w:r>
              <w:rPr>
                <w:rFonts w:hint="default" w:ascii="Times New Roman" w:hAnsi="Times New Roman" w:cs="Times New Roman"/>
                <w:color w:val="000000" w:themeColor="text1"/>
                <w:sz w:val="24"/>
                <w:lang w:val="en-US" w:eastAsia="zh-CN"/>
                <w14:textFill>
                  <w14:solidFill>
                    <w14:schemeClr w14:val="tx1"/>
                  </w14:solidFill>
                </w14:textFill>
              </w:rPr>
              <w:t>96</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/a，0.</w:t>
            </w:r>
            <w:r>
              <w:rPr>
                <w:rFonts w:hint="default" w:ascii="Times New Roman" w:hAnsi="Times New Roman" w:cs="Times New Roman"/>
                <w:color w:val="000000" w:themeColor="text1"/>
                <w:sz w:val="24"/>
                <w:lang w:val="en-US" w:eastAsia="zh-CN"/>
                <w14:textFill>
                  <w14:solidFill>
                    <w14:schemeClr w14:val="tx1"/>
                  </w14:solidFill>
                </w14:textFill>
              </w:rPr>
              <w:t>32</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/d。</w:t>
            </w:r>
          </w:p>
          <w:p w14:paraId="035FA6D7">
            <w:pPr>
              <w:keepNext w:val="0"/>
              <w:keepLines/>
              <w:pageBreakBefore w:val="0"/>
              <w:kinsoku/>
              <w:wordWrap/>
              <w:overflowPunct/>
              <w:topLinePunct w:val="0"/>
              <w:autoSpaceDE/>
              <w:autoSpaceDN/>
              <w:bidi w:val="0"/>
              <w:adjustRightInd/>
              <w:snapToGrid/>
              <w:spacing w:line="360" w:lineRule="auto"/>
              <w:ind w:right="0"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水压试验和工序前端已经对</w:t>
            </w:r>
            <w:r>
              <w:rPr>
                <w:rFonts w:hint="eastAsia" w:ascii="Times New Roman" w:hAnsi="Times New Roman" w:cs="Times New Roman"/>
                <w:color w:val="000000" w:themeColor="text1"/>
                <w:sz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lang w:val="en-US" w:eastAsia="zh-CN"/>
                <w14:textFill>
                  <w14:solidFill>
                    <w14:schemeClr w14:val="tx1"/>
                  </w14:solidFill>
                </w14:textFill>
              </w:rPr>
              <w:t>进行了表面处理（焚烧处理、抛丸除锈）和高温固化处理，</w:t>
            </w:r>
            <w:r>
              <w:rPr>
                <w:rFonts w:hint="eastAsia" w:ascii="Times New Roman" w:hAnsi="Times New Roman" w:cs="Times New Roman"/>
                <w:color w:val="000000" w:themeColor="text1"/>
                <w:sz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lang w:val="en-US" w:eastAsia="zh-CN"/>
                <w14:textFill>
                  <w14:solidFill>
                    <w14:schemeClr w14:val="tx1"/>
                  </w14:solidFill>
                </w14:textFill>
              </w:rPr>
              <w:t>内残留物均已在热处理工序处理干净，不会对</w:t>
            </w:r>
            <w:r>
              <w:rPr>
                <w:rFonts w:hint="default" w:ascii="Times New Roman" w:hAnsi="Times New Roman" w:cs="Times New Roman"/>
                <w:color w:val="000000" w:themeColor="text1"/>
                <w:sz w:val="24"/>
                <w:lang w:val="en-US" w:eastAsia="zh-CN"/>
                <w14:textFill>
                  <w14:solidFill>
                    <w14:schemeClr w14:val="tx1"/>
                  </w14:solidFill>
                </w14:textFill>
              </w:rPr>
              <w:t>水压试验、气密试验用水</w:t>
            </w:r>
            <w:r>
              <w:rPr>
                <w:rFonts w:hint="default" w:ascii="Times New Roman" w:hAnsi="Times New Roman" w:eastAsia="宋体" w:cs="Times New Roman"/>
                <w:color w:val="000000" w:themeColor="text1"/>
                <w:sz w:val="24"/>
                <w:lang w:val="en-US" w:eastAsia="zh-CN"/>
                <w14:textFill>
                  <w14:solidFill>
                    <w14:schemeClr w14:val="tx1"/>
                  </w14:solidFill>
                </w14:textFill>
              </w:rPr>
              <w:t>造成明显污染，项目所用的试验用水均不加入任何试剂，且检验用水对水质没有要求。因此定期补充自来水循环使用即可满足生产需求。</w:t>
            </w:r>
          </w:p>
          <w:p w14:paraId="2EF272B1">
            <w:pPr>
              <w:keepNext w:val="0"/>
              <w:keepLines/>
              <w:pageBreakBefore w:val="0"/>
              <w:kinsoku/>
              <w:wordWrap/>
              <w:overflowPunct/>
              <w:topLinePunct w:val="0"/>
              <w:autoSpaceDE/>
              <w:autoSpaceDN/>
              <w:bidi w:val="0"/>
              <w:adjustRightInd/>
              <w:snapToGrid/>
              <w:spacing w:line="360" w:lineRule="auto"/>
              <w:ind w:right="0" w:firstLine="482" w:firstLineChars="200"/>
              <w:jc w:val="left"/>
              <w:textAlignment w:val="auto"/>
              <w:rPr>
                <w:rFonts w:hint="default" w:ascii="Times New Roman" w:hAnsi="Times New Roman" w:cs="Times New Roman"/>
                <w:b/>
                <w:bCs w:val="0"/>
                <w:color w:val="000000" w:themeColor="text1"/>
                <w:sz w:val="24"/>
                <w:lang w:val="en-US" w:eastAsia="zh-CN"/>
                <w14:textFill>
                  <w14:solidFill>
                    <w14:schemeClr w14:val="tx1"/>
                  </w14:solidFill>
                </w14:textFill>
              </w:rPr>
            </w:pPr>
            <w:r>
              <w:rPr>
                <w:rFonts w:hint="default" w:ascii="Times New Roman" w:hAnsi="Times New Roman" w:cs="Times New Roman"/>
                <w:b/>
                <w:bCs w:val="0"/>
                <w:color w:val="000000" w:themeColor="text1"/>
                <w:sz w:val="24"/>
                <w:lang w:val="en-US" w:eastAsia="zh-CN"/>
                <w14:textFill>
                  <w14:solidFill>
                    <w14:schemeClr w14:val="tx1"/>
                  </w14:solidFill>
                </w14:textFill>
              </w:rPr>
              <w:t>3）喷淋废水</w:t>
            </w:r>
          </w:p>
          <w:p w14:paraId="1D73533A">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本项目焚烧炉尾气采用“</w:t>
            </w:r>
            <w:r>
              <w:rPr>
                <w:rFonts w:hint="default" w:ascii="Times New Roman" w:hAnsi="Times New Roman" w:cs="Times New Roman"/>
                <w:color w:val="000000" w:themeColor="text1"/>
                <w:sz w:val="24"/>
                <w:lang w:val="en-US" w:eastAsia="zh-CN"/>
                <w14:textFill>
                  <w14:solidFill>
                    <w14:schemeClr w14:val="tx1"/>
                  </w14:solidFill>
                </w14:textFill>
              </w:rPr>
              <w:t>旋风+布袋+喷淋</w:t>
            </w:r>
            <w:r>
              <w:rPr>
                <w:rFonts w:hint="default" w:ascii="Times New Roman" w:hAnsi="Times New Roman" w:eastAsia="宋体" w:cs="Times New Roman"/>
                <w:color w:val="000000" w:themeColor="text1"/>
                <w:sz w:val="24"/>
                <w:lang w:val="en-US" w:eastAsia="zh-CN"/>
                <w14:textFill>
                  <w14:solidFill>
                    <w14:schemeClr w14:val="tx1"/>
                  </w14:solidFill>
                </w14:textFill>
              </w:rPr>
              <w:t>”装置处理达标后引至 15m高排气筒排放。喷淋设施定期补充因蒸发损失的水量为</w:t>
            </w:r>
            <w:r>
              <w:rPr>
                <w:rFonts w:hint="eastAsia" w:cs="Times New Roman"/>
                <w:color w:val="000000" w:themeColor="text1"/>
                <w:sz w:val="24"/>
                <w:lang w:val="en-US" w:eastAsia="zh-CN"/>
                <w14:textFill>
                  <w14:solidFill>
                    <w14:schemeClr w14:val="tx1"/>
                  </w14:solidFill>
                </w14:textFill>
              </w:rPr>
              <w:t>0.256</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/d（</w:t>
            </w:r>
            <w:r>
              <w:rPr>
                <w:rFonts w:hint="eastAsia" w:cs="Times New Roman"/>
                <w:color w:val="000000" w:themeColor="text1"/>
                <w:sz w:val="24"/>
                <w:lang w:val="en-US" w:eastAsia="zh-CN"/>
                <w14:textFill>
                  <w14:solidFill>
                    <w14:schemeClr w14:val="tx1"/>
                  </w14:solidFill>
                </w14:textFill>
              </w:rPr>
              <w:t>76.8</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/a）。碱液喷淋塔定期补充新鲜水，循环使用，喷淋塔废水每年更换一次，更换废水量为2m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w:t>
            </w:r>
          </w:p>
          <w:p w14:paraId="198EE3BD">
            <w:pPr>
              <w:pageBreakBefore w:val="0"/>
              <w:kinsoku/>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本项目设置1个5m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危废暂存间，更换废液经收集后进入危废暂存间，定期交由有危废资质的单位进行处置。本环评要求</w:t>
            </w:r>
            <w:r>
              <w:rPr>
                <w:rFonts w:hint="default" w:ascii="Times New Roman" w:hAnsi="Times New Roman" w:cs="Times New Roman"/>
                <w:color w:val="000000" w:themeColor="text1"/>
                <w:kern w:val="0"/>
                <w:sz w:val="24"/>
                <w:lang w:bidi="ar"/>
                <w14:textFill>
                  <w14:solidFill>
                    <w14:schemeClr w14:val="tx1"/>
                  </w14:solidFill>
                </w14:textFill>
              </w:rPr>
              <w:t>危废暂存间设置密闭收集容器，</w:t>
            </w:r>
            <w:r>
              <w:rPr>
                <w:rFonts w:hint="default" w:ascii="Times New Roman" w:hAnsi="Times New Roman" w:cs="Times New Roman"/>
                <w:color w:val="000000" w:themeColor="text1"/>
                <w:sz w:val="24"/>
                <w14:textFill>
                  <w14:solidFill>
                    <w14:schemeClr w14:val="tx1"/>
                  </w14:solidFill>
                </w14:textFill>
              </w:rPr>
              <w:t>并采取必要的</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三防</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等措施，并按《危险废物贮存污染控制标准》（GB18597-2023）的相关要求建设</w:t>
            </w:r>
            <w:r>
              <w:rPr>
                <w:rFonts w:hint="default" w:ascii="Times New Roman" w:hAnsi="Times New Roman" w:cs="Times New Roman"/>
                <w:color w:val="000000" w:themeColor="text1"/>
                <w:sz w:val="24"/>
                <w:lang w:eastAsia="zh-CN"/>
                <w14:textFill>
                  <w14:solidFill>
                    <w14:schemeClr w14:val="tx1"/>
                  </w14:solidFill>
                </w14:textFill>
              </w:rPr>
              <w:t>。</w:t>
            </w:r>
          </w:p>
          <w:p w14:paraId="5A869ECC">
            <w:pPr>
              <w:keepNext w:val="0"/>
              <w:keepLines/>
              <w:pageBreakBefore w:val="0"/>
              <w:tabs>
                <w:tab w:val="left" w:pos="4830"/>
              </w:tabs>
              <w:kinsoku/>
              <w:overflowPunct/>
              <w:bidi w:val="0"/>
              <w:adjustRightInd/>
              <w:snapToGrid/>
              <w:spacing w:line="360" w:lineRule="auto"/>
              <w:ind w:firstLine="482" w:firstLineChars="200"/>
              <w:jc w:val="left"/>
              <w:rPr>
                <w:rFonts w:hint="default" w:ascii="Times New Roman" w:hAnsi="Times New Roman" w:eastAsia="宋体" w:cs="Times New Roman"/>
                <w:b/>
                <w:color w:val="000000" w:themeColor="text1"/>
                <w:sz w:val="24"/>
                <w:lang w:eastAsia="zh-CN"/>
                <w14:textFill>
                  <w14:solidFill>
                    <w14:schemeClr w14:val="tx1"/>
                  </w14:solidFill>
                </w14:textFill>
              </w:rPr>
            </w:pPr>
            <w:r>
              <w:rPr>
                <w:rFonts w:hint="default" w:ascii="Times New Roman" w:hAnsi="Times New Roman" w:eastAsia="宋体" w:cs="Times New Roman"/>
                <w:b/>
                <w:color w:val="000000" w:themeColor="text1"/>
                <w:sz w:val="24"/>
                <w:lang w:eastAsia="zh-CN"/>
                <w14:textFill>
                  <w14:solidFill>
                    <w14:schemeClr w14:val="tx1"/>
                  </w14:solidFill>
                </w14:textFill>
              </w:rPr>
              <w:t>（</w:t>
            </w:r>
            <w:r>
              <w:rPr>
                <w:rFonts w:hint="default" w:ascii="Times New Roman" w:hAnsi="Times New Roman" w:eastAsia="宋体" w:cs="Times New Roman"/>
                <w:b/>
                <w:color w:val="000000" w:themeColor="text1"/>
                <w:sz w:val="24"/>
                <w:lang w:val="en-US" w:eastAsia="zh-CN"/>
                <w14:textFill>
                  <w14:solidFill>
                    <w14:schemeClr w14:val="tx1"/>
                  </w14:solidFill>
                </w14:textFill>
              </w:rPr>
              <w:t>3</w:t>
            </w:r>
            <w:r>
              <w:rPr>
                <w:rFonts w:hint="default" w:ascii="Times New Roman" w:hAnsi="Times New Roman" w:eastAsia="宋体" w:cs="Times New Roman"/>
                <w:b/>
                <w:color w:val="000000" w:themeColor="text1"/>
                <w:sz w:val="24"/>
                <w:lang w:eastAsia="zh-CN"/>
                <w14:textFill>
                  <w14:solidFill>
                    <w14:schemeClr w14:val="tx1"/>
                  </w14:solidFill>
                </w14:textFill>
              </w:rPr>
              <w:t>）废水自行监测一览表</w:t>
            </w:r>
          </w:p>
          <w:p w14:paraId="37DE949B">
            <w:pPr>
              <w:pStyle w:val="44"/>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w:t>
            </w:r>
            <w:r>
              <w:rPr>
                <w:rFonts w:hint="default" w:ascii="Times New Roman" w:hAnsi="Times New Roman" w:cs="Times New Roman"/>
                <w:color w:val="000000" w:themeColor="text1"/>
                <w:lang w:val="en-US" w:eastAsia="zh-CN"/>
                <w14:textFill>
                  <w14:solidFill>
                    <w14:schemeClr w14:val="tx1"/>
                  </w14:solidFill>
                </w14:textFill>
              </w:rPr>
              <w:t>水压试验、气密试验用水循环使用，不外排。喷淋废液经收集后暂存于危废暂存间定期委托有资质单位处置。</w:t>
            </w:r>
            <w:r>
              <w:rPr>
                <w:rFonts w:hint="default" w:ascii="Times New Roman" w:hAnsi="Times New Roman" w:eastAsia="宋体" w:cs="Times New Roman"/>
                <w:color w:val="000000" w:themeColor="text1"/>
                <w:lang w:val="en-US" w:eastAsia="zh-CN"/>
                <w14:textFill>
                  <w14:solidFill>
                    <w14:schemeClr w14:val="tx1"/>
                  </w14:solidFill>
                </w14:textFill>
              </w:rPr>
              <w:t>故生产废水无需设置</w:t>
            </w:r>
            <w:r>
              <w:rPr>
                <w:rFonts w:hint="default" w:ascii="Times New Roman" w:hAnsi="Times New Roman" w:cs="Times New Roman"/>
                <w:color w:val="000000" w:themeColor="text1"/>
                <w:kern w:val="24"/>
                <w:lang w:val="en-US" w:eastAsia="zh-CN"/>
                <w14:textFill>
                  <w14:solidFill>
                    <w14:schemeClr w14:val="tx1"/>
                  </w14:solidFill>
                </w14:textFill>
              </w:rPr>
              <w:t>自行监测</w:t>
            </w:r>
            <w:r>
              <w:rPr>
                <w:rFonts w:hint="default" w:ascii="Times New Roman" w:hAnsi="Times New Roman" w:eastAsia="宋体" w:cs="Times New Roman"/>
                <w:color w:val="000000" w:themeColor="text1"/>
                <w:lang w:val="en-US" w:eastAsia="zh-CN"/>
                <w14:textFill>
                  <w14:solidFill>
                    <w14:schemeClr w14:val="tx1"/>
                  </w14:solidFill>
                </w14:textFill>
              </w:rPr>
              <w:t>。</w:t>
            </w:r>
          </w:p>
          <w:p w14:paraId="0D5E56E8">
            <w:pPr>
              <w:pStyle w:val="44"/>
              <w:ind w:firstLine="480"/>
              <w:rPr>
                <w:rFonts w:hint="default" w:ascii="Times New Roman" w:hAnsi="Times New Roman" w:cs="Times New Roman"/>
                <w:color w:val="000000" w:themeColor="text1"/>
                <w:kern w:val="24"/>
                <w:lang w:val="en-US" w:eastAsia="zh-CN"/>
                <w14:textFill>
                  <w14:solidFill>
                    <w14:schemeClr w14:val="tx1"/>
                  </w14:solidFill>
                </w14:textFill>
              </w:rPr>
            </w:pPr>
            <w:r>
              <w:rPr>
                <w:rStyle w:val="112"/>
                <w:rFonts w:hint="default" w:ascii="Times New Roman" w:hAnsi="Times New Roman" w:cs="Times New Roman"/>
                <w:color w:val="000000" w:themeColor="text1"/>
                <w:sz w:val="24"/>
                <w:szCs w:val="24"/>
                <w:lang w:val="en-US" w:eastAsia="zh-CN"/>
                <w14:textFill>
                  <w14:solidFill>
                    <w14:schemeClr w14:val="tx1"/>
                  </w14:solidFill>
                </w14:textFill>
              </w:rPr>
              <w:t>本项目生活污水经化粪池收集后进入一体化生活污水处理设施，经处理</w:t>
            </w:r>
            <w:r>
              <w:rPr>
                <w:rStyle w:val="112"/>
                <w:rFonts w:hint="eastAsia" w:cs="Times New Roman"/>
                <w:color w:val="000000" w:themeColor="text1"/>
                <w:sz w:val="24"/>
                <w:szCs w:val="24"/>
                <w:lang w:val="en-US" w:eastAsia="zh-CN"/>
                <w14:textFill>
                  <w14:solidFill>
                    <w14:schemeClr w14:val="tx1"/>
                  </w14:solidFill>
                </w14:textFill>
              </w:rPr>
              <w:t>达标后</w:t>
            </w:r>
            <w:r>
              <w:rPr>
                <w:rStyle w:val="112"/>
                <w:rFonts w:hint="default" w:ascii="Times New Roman" w:hAnsi="Times New Roman" w:cs="Times New Roman"/>
                <w:color w:val="000000" w:themeColor="text1"/>
                <w:sz w:val="24"/>
                <w:szCs w:val="24"/>
                <w:lang w:val="en-US" w:eastAsia="zh-CN"/>
                <w14:textFill>
                  <w14:solidFill>
                    <w14:schemeClr w14:val="tx1"/>
                  </w14:solidFill>
                </w14:textFill>
              </w:rPr>
              <w:t>进入收集池，回用于绿化，不外排。</w:t>
            </w:r>
            <w:r>
              <w:rPr>
                <w:rFonts w:hint="default" w:ascii="Times New Roman" w:hAnsi="Times New Roman" w:cs="Times New Roman"/>
                <w:color w:val="000000" w:themeColor="text1"/>
                <w:kern w:val="24"/>
                <w:lang w:val="en-US" w:eastAsia="zh-CN"/>
                <w14:textFill>
                  <w14:solidFill>
                    <w14:schemeClr w14:val="tx1"/>
                  </w14:solidFill>
                </w14:textFill>
              </w:rPr>
              <w:t>故本项目</w:t>
            </w:r>
            <w:r>
              <w:rPr>
                <w:rFonts w:hint="default" w:ascii="Times New Roman" w:hAnsi="Times New Roman" w:eastAsia="宋体" w:cs="Times New Roman"/>
                <w:color w:val="000000" w:themeColor="text1"/>
                <w:lang w:val="en-US" w:eastAsia="zh-CN"/>
                <w14:textFill>
                  <w14:solidFill>
                    <w14:schemeClr w14:val="tx1"/>
                  </w14:solidFill>
                </w14:textFill>
              </w:rPr>
              <w:t>生活污水无需设置监测</w:t>
            </w:r>
            <w:r>
              <w:rPr>
                <w:rFonts w:hint="default" w:ascii="Times New Roman" w:hAnsi="Times New Roman" w:cs="Times New Roman"/>
                <w:color w:val="000000" w:themeColor="text1"/>
                <w:kern w:val="24"/>
                <w:lang w:val="en-US" w:eastAsia="zh-CN"/>
                <w14:textFill>
                  <w14:solidFill>
                    <w14:schemeClr w14:val="tx1"/>
                  </w14:solidFill>
                </w14:textFill>
              </w:rPr>
              <w:t>自行监测。</w:t>
            </w:r>
          </w:p>
          <w:p w14:paraId="34CA29F5">
            <w:pPr>
              <w:keepLines/>
              <w:spacing w:line="360" w:lineRule="auto"/>
              <w:ind w:firstLine="482" w:firstLineChars="200"/>
              <w:jc w:val="left"/>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w:t>
            </w:r>
            <w:r>
              <w:rPr>
                <w:rFonts w:hint="default" w:ascii="Times New Roman" w:hAnsi="Times New Roman" w:cs="Times New Roman"/>
                <w:b/>
                <w:bCs/>
                <w:color w:val="000000" w:themeColor="text1"/>
                <w:sz w:val="24"/>
                <w:lang w:val="en-US" w:eastAsia="zh-CN"/>
                <w14:textFill>
                  <w14:solidFill>
                    <w14:schemeClr w14:val="tx1"/>
                  </w14:solidFill>
                </w14:textFill>
              </w:rPr>
              <w:t>4</w:t>
            </w:r>
            <w:r>
              <w:rPr>
                <w:rFonts w:hint="default" w:ascii="Times New Roman" w:hAnsi="Times New Roman" w:cs="Times New Roman"/>
                <w:b/>
                <w:bCs/>
                <w:color w:val="000000" w:themeColor="text1"/>
                <w:sz w:val="24"/>
                <w14:textFill>
                  <w14:solidFill>
                    <w14:schemeClr w14:val="tx1"/>
                  </w14:solidFill>
                </w14:textFill>
              </w:rPr>
              <w:t>）结论</w:t>
            </w:r>
          </w:p>
          <w:p w14:paraId="621C09DA">
            <w:pPr>
              <w:keepLines/>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综上分析，项目</w:t>
            </w:r>
            <w:r>
              <w:rPr>
                <w:rFonts w:hint="default" w:ascii="Times New Roman" w:hAnsi="Times New Roman" w:cs="Times New Roman"/>
                <w:color w:val="000000" w:themeColor="text1"/>
                <w:sz w:val="24"/>
                <w:lang w:eastAsia="zh-CN"/>
                <w14:textFill>
                  <w14:solidFill>
                    <w14:schemeClr w14:val="tx1"/>
                  </w14:solidFill>
                </w14:textFill>
              </w:rPr>
              <w:t>废水</w:t>
            </w:r>
            <w:r>
              <w:rPr>
                <w:rFonts w:hint="default" w:ascii="Times New Roman" w:hAnsi="Times New Roman" w:cs="Times New Roman"/>
                <w:color w:val="000000" w:themeColor="text1"/>
                <w:sz w:val="24"/>
                <w14:textFill>
                  <w14:solidFill>
                    <w14:schemeClr w14:val="tx1"/>
                  </w14:solidFill>
                </w14:textFill>
              </w:rPr>
              <w:t>处理方式从环境保护角度分析可行，对周边的水环境影响不大。</w:t>
            </w:r>
          </w:p>
          <w:p w14:paraId="0CC9397B">
            <w:pPr>
              <w:pStyle w:val="32"/>
              <w:keepLines/>
              <w:spacing w:line="360" w:lineRule="auto"/>
              <w:ind w:firstLine="482"/>
              <w:jc w:val="left"/>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3、声环境影响和保护措施</w:t>
            </w:r>
          </w:p>
          <w:p w14:paraId="4CC820BF">
            <w:pPr>
              <w:pStyle w:val="32"/>
              <w:keepLines/>
              <w:spacing w:line="360" w:lineRule="auto"/>
              <w:ind w:firstLine="482"/>
              <w:jc w:val="left"/>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（1）噪声源强分析</w:t>
            </w:r>
          </w:p>
          <w:p w14:paraId="34FF5615">
            <w:pPr>
              <w:pStyle w:val="32"/>
              <w:keepLines/>
              <w:spacing w:line="360" w:lineRule="auto"/>
              <w:ind w:firstLine="480"/>
              <w:jc w:val="left"/>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本项目噪声源主要为</w:t>
            </w:r>
            <w:r>
              <w:rPr>
                <w:rFonts w:hint="default" w:ascii="Times New Roman" w:hAnsi="Times New Roman" w:cs="Times New Roman"/>
                <w:bCs/>
                <w:color w:val="000000" w:themeColor="text1"/>
                <w:sz w:val="24"/>
                <w:szCs w:val="24"/>
                <w:lang w:val="en-US" w:eastAsia="zh-CN"/>
                <w14:textFill>
                  <w14:solidFill>
                    <w14:schemeClr w14:val="tx1"/>
                  </w14:solidFill>
                </w14:textFill>
              </w:rPr>
              <w:t>残液回收装置、瓶阀装卸机、焚烧炉、水压测试机等</w:t>
            </w:r>
          </w:p>
          <w:p w14:paraId="04C4FC99">
            <w:pPr>
              <w:pStyle w:val="32"/>
              <w:keepLines/>
              <w:spacing w:line="360" w:lineRule="auto"/>
              <w:ind w:left="0" w:leftChars="0" w:firstLine="0" w:firstLineChars="0"/>
              <w:jc w:val="left"/>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设备运行时产生的机械噪声</w:t>
            </w:r>
            <w:r>
              <w:rPr>
                <w:rFonts w:hint="default" w:ascii="Times New Roman" w:hAnsi="Times New Roman" w:cs="Times New Roman"/>
                <w:color w:val="000000" w:themeColor="text1"/>
                <w:kern w:val="0"/>
                <w:sz w:val="24"/>
                <w14:textFill>
                  <w14:solidFill>
                    <w14:schemeClr w14:val="tx1"/>
                  </w14:solidFill>
                </w14:textFill>
              </w:rPr>
              <w:t>，其噪声值约为</w:t>
            </w:r>
            <w:r>
              <w:rPr>
                <w:rFonts w:hint="default" w:ascii="Times New Roman" w:hAnsi="Times New Roman" w:cs="Times New Roman"/>
                <w:color w:val="000000" w:themeColor="text1"/>
                <w:kern w:val="0"/>
                <w:sz w:val="24"/>
                <w:lang w:val="en-US" w:eastAsia="zh-CN"/>
                <w14:textFill>
                  <w14:solidFill>
                    <w14:schemeClr w14:val="tx1"/>
                  </w14:solidFill>
                </w14:textFill>
              </w:rPr>
              <w:t>70</w:t>
            </w:r>
            <w:r>
              <w:rPr>
                <w:rFonts w:hint="default" w:ascii="Times New Roman" w:hAnsi="Times New Roman" w:cs="Times New Roman"/>
                <w:color w:val="000000" w:themeColor="text1"/>
                <w:kern w:val="0"/>
                <w:sz w:val="24"/>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90</w:t>
            </w:r>
            <w:r>
              <w:rPr>
                <w:rFonts w:hint="default" w:ascii="Times New Roman" w:hAnsi="Times New Roman" w:cs="Times New Roman"/>
                <w:color w:val="000000" w:themeColor="text1"/>
                <w:kern w:val="0"/>
                <w:sz w:val="24"/>
                <w14:textFill>
                  <w14:solidFill>
                    <w14:schemeClr w14:val="tx1"/>
                  </w14:solidFill>
                </w14:textFill>
              </w:rPr>
              <w:t>dB（A）。</w:t>
            </w:r>
          </w:p>
          <w:p w14:paraId="16186D79">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表4-</w:t>
            </w:r>
            <w:r>
              <w:rPr>
                <w:rFonts w:hint="default" w:ascii="Times New Roman" w:hAnsi="Times New Roman" w:cs="Times New Roman"/>
                <w:b/>
                <w:color w:val="000000" w:themeColor="text1"/>
                <w:sz w:val="21"/>
                <w:szCs w:val="21"/>
                <w:lang w:val="en-US" w:eastAsia="zh-CN"/>
                <w14:textFill>
                  <w14:solidFill>
                    <w14:schemeClr w14:val="tx1"/>
                  </w14:solidFill>
                </w14:textFill>
              </w:rPr>
              <w:t>12</w:t>
            </w:r>
            <w:r>
              <w:rPr>
                <w:rFonts w:hint="default" w:ascii="Times New Roman" w:hAnsi="Times New Roman" w:eastAsia="宋体" w:cs="Times New Roman"/>
                <w:b/>
                <w:color w:val="000000" w:themeColor="text1"/>
                <w:sz w:val="21"/>
                <w:szCs w:val="21"/>
                <w14:textFill>
                  <w14:solidFill>
                    <w14:schemeClr w14:val="tx1"/>
                  </w14:solidFill>
                </w14:textFill>
              </w:rPr>
              <w:t xml:space="preserve"> 噪声源强调查清单（室内声源）</w:t>
            </w:r>
          </w:p>
          <w:tbl>
            <w:tblPr>
              <w:tblStyle w:val="33"/>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426"/>
              <w:gridCol w:w="636"/>
              <w:gridCol w:w="1371"/>
              <w:gridCol w:w="788"/>
              <w:gridCol w:w="636"/>
              <w:gridCol w:w="438"/>
              <w:gridCol w:w="788"/>
              <w:gridCol w:w="636"/>
              <w:gridCol w:w="706"/>
              <w:gridCol w:w="788"/>
              <w:gridCol w:w="426"/>
            </w:tblGrid>
            <w:tr w14:paraId="14BE6C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262" w:type="pct"/>
                  <w:vMerge w:val="restart"/>
                  <w:vAlign w:val="center"/>
                </w:tcPr>
                <w:p w14:paraId="20C679D7">
                  <w:pPr>
                    <w:keepLines/>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序号</w:t>
                  </w:r>
                </w:p>
              </w:tc>
              <w:tc>
                <w:tcPr>
                  <w:tcW w:w="262" w:type="pct"/>
                  <w:vMerge w:val="restart"/>
                  <w:vAlign w:val="center"/>
                </w:tcPr>
                <w:p w14:paraId="42BA763A">
                  <w:pPr>
                    <w:keepLines/>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建筑物名称</w:t>
                  </w:r>
                </w:p>
              </w:tc>
              <w:tc>
                <w:tcPr>
                  <w:tcW w:w="394" w:type="pct"/>
                  <w:vMerge w:val="restart"/>
                  <w:vAlign w:val="center"/>
                </w:tcPr>
                <w:p w14:paraId="73803F71">
                  <w:pPr>
                    <w:keepLines/>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声源名称</w:t>
                  </w:r>
                </w:p>
              </w:tc>
              <w:tc>
                <w:tcPr>
                  <w:tcW w:w="850" w:type="pct"/>
                  <w:vAlign w:val="center"/>
                </w:tcPr>
                <w:p w14:paraId="54580AA4">
                  <w:pPr>
                    <w:keepLines/>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空间相对位置/m</w:t>
                  </w:r>
                </w:p>
              </w:tc>
              <w:tc>
                <w:tcPr>
                  <w:tcW w:w="488" w:type="pct"/>
                  <w:vAlign w:val="center"/>
                </w:tcPr>
                <w:p w14:paraId="71124B24">
                  <w:pPr>
                    <w:keepLines/>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声源源强</w:t>
                  </w:r>
                </w:p>
              </w:tc>
              <w:tc>
                <w:tcPr>
                  <w:tcW w:w="394" w:type="pct"/>
                  <w:vMerge w:val="restart"/>
                  <w:vAlign w:val="center"/>
                </w:tcPr>
                <w:p w14:paraId="7D9FA7FE">
                  <w:pPr>
                    <w:keepLines/>
                    <w:jc w:val="center"/>
                    <w:rPr>
                      <w:rFonts w:hint="default" w:ascii="Times New Roman" w:hAnsi="Times New Roman" w:cs="Times New Roman"/>
                      <w:color w:val="000000" w:themeColor="text1"/>
                      <w:sz w:val="21"/>
                      <w:szCs w:val="21"/>
                      <w:lang w:eastAsia="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声源控制措施</w:t>
                  </w:r>
                </w:p>
              </w:tc>
              <w:tc>
                <w:tcPr>
                  <w:tcW w:w="271" w:type="pct"/>
                  <w:vMerge w:val="restart"/>
                  <w:vAlign w:val="center"/>
                </w:tcPr>
                <w:p w14:paraId="3C1BC223">
                  <w:pPr>
                    <w:keepLines/>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en-US"/>
                      <w14:textFill>
                        <w14:solidFill>
                          <w14:schemeClr w14:val="tx1"/>
                        </w14:solidFill>
                      </w14:textFill>
                    </w:rPr>
                    <w:t>距室内边界距离/m</w:t>
                  </w:r>
                </w:p>
              </w:tc>
              <w:tc>
                <w:tcPr>
                  <w:tcW w:w="488" w:type="pct"/>
                  <w:vMerge w:val="restart"/>
                  <w:vAlign w:val="center"/>
                </w:tcPr>
                <w:p w14:paraId="25C82DE6">
                  <w:pPr>
                    <w:keepLines/>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室内边界声级/dB（A）</w:t>
                  </w:r>
                </w:p>
              </w:tc>
              <w:tc>
                <w:tcPr>
                  <w:tcW w:w="394" w:type="pct"/>
                  <w:vMerge w:val="restart"/>
                  <w:vAlign w:val="center"/>
                </w:tcPr>
                <w:p w14:paraId="733A433F">
                  <w:pPr>
                    <w:keepLines/>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运行时段h/a</w:t>
                  </w:r>
                </w:p>
              </w:tc>
              <w:tc>
                <w:tcPr>
                  <w:tcW w:w="437" w:type="pct"/>
                  <w:vMerge w:val="restart"/>
                  <w:vAlign w:val="center"/>
                </w:tcPr>
                <w:p w14:paraId="55D16DC7">
                  <w:pPr>
                    <w:keepLines/>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建筑物插入损失/dB（A）</w:t>
                  </w:r>
                </w:p>
              </w:tc>
              <w:tc>
                <w:tcPr>
                  <w:tcW w:w="754" w:type="pct"/>
                  <w:gridSpan w:val="2"/>
                  <w:vAlign w:val="center"/>
                </w:tcPr>
                <w:p w14:paraId="225506DB">
                  <w:pPr>
                    <w:keepLines/>
                    <w:jc w:val="center"/>
                    <w:rPr>
                      <w:rFonts w:hint="default" w:ascii="Times New Roman" w:hAnsi="Times New Roman" w:cs="Times New Roman"/>
                      <w:color w:val="000000" w:themeColor="text1"/>
                      <w:sz w:val="21"/>
                      <w:szCs w:val="21"/>
                      <w:lang w:eastAsia="en-US"/>
                      <w14:textFill>
                        <w14:solidFill>
                          <w14:schemeClr w14:val="tx1"/>
                        </w14:solidFill>
                      </w14:textFill>
                    </w:rPr>
                  </w:pPr>
                  <w:r>
                    <w:rPr>
                      <w:rFonts w:hint="default" w:ascii="Times New Roman" w:hAnsi="Times New Roman" w:cs="Times New Roman"/>
                      <w:color w:val="000000" w:themeColor="text1"/>
                      <w:sz w:val="21"/>
                      <w:szCs w:val="21"/>
                      <w:lang w:eastAsia="en-US"/>
                      <w14:textFill>
                        <w14:solidFill>
                          <w14:schemeClr w14:val="tx1"/>
                        </w14:solidFill>
                      </w14:textFill>
                    </w:rPr>
                    <w:t>建筑物外噪声</w:t>
                  </w:r>
                </w:p>
              </w:tc>
            </w:tr>
            <w:tr w14:paraId="5538F2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62" w:type="pct"/>
                  <w:vMerge w:val="continue"/>
                  <w:vAlign w:val="center"/>
                </w:tcPr>
                <w:p w14:paraId="4C8EC3E8">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262" w:type="pct"/>
                  <w:vMerge w:val="continue"/>
                  <w:vAlign w:val="center"/>
                </w:tcPr>
                <w:p w14:paraId="740A1329">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394" w:type="pct"/>
                  <w:vMerge w:val="continue"/>
                  <w:vAlign w:val="center"/>
                </w:tcPr>
                <w:p w14:paraId="56B5F042">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850" w:type="pct"/>
                  <w:vAlign w:val="center"/>
                </w:tcPr>
                <w:p w14:paraId="5B9E7342">
                  <w:pPr>
                    <w:keepLines/>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X，Y，Z</w:t>
                  </w:r>
                </w:p>
              </w:tc>
              <w:tc>
                <w:tcPr>
                  <w:tcW w:w="488" w:type="pct"/>
                  <w:vAlign w:val="center"/>
                </w:tcPr>
                <w:p w14:paraId="076D8849">
                  <w:pPr>
                    <w:keepLines/>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en-US"/>
                      <w14:textFill>
                        <w14:solidFill>
                          <w14:schemeClr w14:val="tx1"/>
                        </w14:solidFill>
                      </w14:textFill>
                    </w:rPr>
                    <w:t>声功率级/dB</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eastAsia="en-US"/>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w:t>
                  </w:r>
                </w:p>
              </w:tc>
              <w:tc>
                <w:tcPr>
                  <w:tcW w:w="394" w:type="pct"/>
                  <w:vMerge w:val="continue"/>
                  <w:vAlign w:val="center"/>
                </w:tcPr>
                <w:p w14:paraId="25189D5C">
                  <w:pPr>
                    <w:keepLines/>
                    <w:jc w:val="center"/>
                    <w:rPr>
                      <w:rFonts w:hint="default" w:ascii="Times New Roman" w:hAnsi="Times New Roman" w:cs="Times New Roman"/>
                      <w:color w:val="000000" w:themeColor="text1"/>
                      <w:sz w:val="21"/>
                      <w:szCs w:val="21"/>
                      <w:lang w:eastAsia="en-US"/>
                      <w14:textFill>
                        <w14:solidFill>
                          <w14:schemeClr w14:val="tx1"/>
                        </w14:solidFill>
                      </w14:textFill>
                    </w:rPr>
                  </w:pPr>
                </w:p>
              </w:tc>
              <w:tc>
                <w:tcPr>
                  <w:tcW w:w="271" w:type="pct"/>
                  <w:vMerge w:val="continue"/>
                  <w:vAlign w:val="center"/>
                </w:tcPr>
                <w:p w14:paraId="2374B075">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488" w:type="pct"/>
                  <w:vMerge w:val="continue"/>
                  <w:vAlign w:val="center"/>
                </w:tcPr>
                <w:p w14:paraId="0C4EB18A">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394" w:type="pct"/>
                  <w:vMerge w:val="continue"/>
                  <w:vAlign w:val="center"/>
                </w:tcPr>
                <w:p w14:paraId="0088954C">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437" w:type="pct"/>
                  <w:vMerge w:val="continue"/>
                  <w:vAlign w:val="center"/>
                </w:tcPr>
                <w:p w14:paraId="2B6ECB55">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488" w:type="pct"/>
                  <w:vAlign w:val="center"/>
                </w:tcPr>
                <w:p w14:paraId="60754A28">
                  <w:pPr>
                    <w:keepLines/>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en-US"/>
                      <w14:textFill>
                        <w14:solidFill>
                          <w14:schemeClr w14:val="tx1"/>
                        </w14:solidFill>
                      </w14:textFill>
                    </w:rPr>
                    <w:t>声压级/dB</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eastAsia="en-US"/>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w:t>
                  </w:r>
                </w:p>
              </w:tc>
              <w:tc>
                <w:tcPr>
                  <w:tcW w:w="265" w:type="pct"/>
                  <w:vAlign w:val="center"/>
                </w:tcPr>
                <w:p w14:paraId="3C59E1A9">
                  <w:pPr>
                    <w:keepLines/>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en-US"/>
                      <w14:textFill>
                        <w14:solidFill>
                          <w14:schemeClr w14:val="tx1"/>
                        </w14:solidFill>
                      </w14:textFill>
                    </w:rPr>
                    <w:t>建筑物外</w:t>
                  </w:r>
                  <w:r>
                    <w:rPr>
                      <w:rFonts w:hint="default" w:ascii="Times New Roman" w:hAnsi="Times New Roman" w:cs="Times New Roman"/>
                      <w:color w:val="000000" w:themeColor="text1"/>
                      <w:sz w:val="21"/>
                      <w:szCs w:val="21"/>
                      <w14:textFill>
                        <w14:solidFill>
                          <w14:schemeClr w14:val="tx1"/>
                        </w14:solidFill>
                      </w14:textFill>
                    </w:rPr>
                    <w:t>距离</w:t>
                  </w:r>
                </w:p>
              </w:tc>
            </w:tr>
            <w:tr w14:paraId="2C5231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62" w:type="pct"/>
                  <w:vAlign w:val="center"/>
                </w:tcPr>
                <w:p w14:paraId="55772FBB">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62" w:type="pct"/>
                  <w:vMerge w:val="restart"/>
                  <w:vAlign w:val="center"/>
                </w:tcPr>
                <w:p w14:paraId="53AD421E">
                  <w:pPr>
                    <w:keepLines/>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生产车间</w:t>
                  </w:r>
                </w:p>
              </w:tc>
              <w:tc>
                <w:tcPr>
                  <w:tcW w:w="394" w:type="pct"/>
                  <w:vAlign w:val="center"/>
                </w:tcPr>
                <w:p w14:paraId="74590B11">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残液回收器</w:t>
                  </w:r>
                </w:p>
              </w:tc>
              <w:tc>
                <w:tcPr>
                  <w:tcW w:w="850" w:type="pct"/>
                  <w:vAlign w:val="center"/>
                </w:tcPr>
                <w:p w14:paraId="3DC326A4">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44.55,21.22,1</w:t>
                  </w:r>
                </w:p>
              </w:tc>
              <w:tc>
                <w:tcPr>
                  <w:tcW w:w="488" w:type="pct"/>
                  <w:vAlign w:val="center"/>
                </w:tcPr>
                <w:p w14:paraId="5A7A8845">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75</w:t>
                  </w:r>
                </w:p>
              </w:tc>
              <w:tc>
                <w:tcPr>
                  <w:tcW w:w="394" w:type="pct"/>
                  <w:vMerge w:val="restart"/>
                  <w:vAlign w:val="center"/>
                </w:tcPr>
                <w:p w14:paraId="20CE3DCA">
                  <w:pPr>
                    <w:keepLines/>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厂房隔声、减震、消声器</w:t>
                  </w:r>
                </w:p>
              </w:tc>
              <w:tc>
                <w:tcPr>
                  <w:tcW w:w="271" w:type="pct"/>
                  <w:vAlign w:val="center"/>
                </w:tcPr>
                <w:p w14:paraId="3C0D1326">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w:t>
                  </w:r>
                </w:p>
              </w:tc>
              <w:tc>
                <w:tcPr>
                  <w:tcW w:w="488" w:type="pct"/>
                  <w:vAlign w:val="center"/>
                </w:tcPr>
                <w:p w14:paraId="32724E6B">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57.55</w:t>
                  </w:r>
                </w:p>
              </w:tc>
              <w:tc>
                <w:tcPr>
                  <w:tcW w:w="394" w:type="pct"/>
                  <w:vMerge w:val="restart"/>
                  <w:vAlign w:val="center"/>
                </w:tcPr>
                <w:p w14:paraId="4A0D5A25">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2400</w:t>
                  </w:r>
                </w:p>
              </w:tc>
              <w:tc>
                <w:tcPr>
                  <w:tcW w:w="437" w:type="pct"/>
                  <w:vAlign w:val="center"/>
                </w:tcPr>
                <w:p w14:paraId="08E4E42D">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p>
              </w:tc>
              <w:tc>
                <w:tcPr>
                  <w:tcW w:w="488" w:type="pct"/>
                  <w:vAlign w:val="center"/>
                </w:tcPr>
                <w:p w14:paraId="5672CC16">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37.55</w:t>
                  </w:r>
                </w:p>
              </w:tc>
              <w:tc>
                <w:tcPr>
                  <w:tcW w:w="265" w:type="pct"/>
                  <w:vAlign w:val="center"/>
                </w:tcPr>
                <w:p w14:paraId="30460523">
                  <w:pPr>
                    <w:keepLines/>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12E3C2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62" w:type="pct"/>
                  <w:vAlign w:val="center"/>
                </w:tcPr>
                <w:p w14:paraId="1E8E0FD4">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262" w:type="pct"/>
                  <w:vMerge w:val="continue"/>
                  <w:vAlign w:val="center"/>
                </w:tcPr>
                <w:p w14:paraId="3DF7364D">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394" w:type="pct"/>
                  <w:vAlign w:val="center"/>
                </w:tcPr>
                <w:p w14:paraId="5390CF33">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瓶阀装卸机</w:t>
                  </w:r>
                </w:p>
              </w:tc>
              <w:tc>
                <w:tcPr>
                  <w:tcW w:w="850" w:type="pct"/>
                  <w:vAlign w:val="center"/>
                </w:tcPr>
                <w:p w14:paraId="47234D40">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42.62,21.53,1</w:t>
                  </w:r>
                </w:p>
              </w:tc>
              <w:tc>
                <w:tcPr>
                  <w:tcW w:w="488" w:type="pct"/>
                  <w:vAlign w:val="center"/>
                </w:tcPr>
                <w:p w14:paraId="659F57AA">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80</w:t>
                  </w:r>
                </w:p>
              </w:tc>
              <w:tc>
                <w:tcPr>
                  <w:tcW w:w="394" w:type="pct"/>
                  <w:vMerge w:val="continue"/>
                  <w:vAlign w:val="center"/>
                </w:tcPr>
                <w:p w14:paraId="4D291DD5">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271" w:type="pct"/>
                  <w:vAlign w:val="center"/>
                </w:tcPr>
                <w:p w14:paraId="19EE8431">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w:t>
                  </w:r>
                </w:p>
              </w:tc>
              <w:tc>
                <w:tcPr>
                  <w:tcW w:w="488" w:type="pct"/>
                  <w:vAlign w:val="center"/>
                </w:tcPr>
                <w:p w14:paraId="508906CC">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62.55</w:t>
                  </w:r>
                </w:p>
              </w:tc>
              <w:tc>
                <w:tcPr>
                  <w:tcW w:w="394" w:type="pct"/>
                  <w:vMerge w:val="continue"/>
                  <w:vAlign w:val="center"/>
                </w:tcPr>
                <w:p w14:paraId="1F562245">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437" w:type="pct"/>
                  <w:vAlign w:val="center"/>
                </w:tcPr>
                <w:p w14:paraId="657173FF">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p>
              </w:tc>
              <w:tc>
                <w:tcPr>
                  <w:tcW w:w="488" w:type="pct"/>
                  <w:vAlign w:val="center"/>
                </w:tcPr>
                <w:p w14:paraId="3E348A89">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42.55</w:t>
                  </w:r>
                </w:p>
              </w:tc>
              <w:tc>
                <w:tcPr>
                  <w:tcW w:w="265" w:type="pct"/>
                  <w:vAlign w:val="center"/>
                </w:tcPr>
                <w:p w14:paraId="488521B1">
                  <w:pPr>
                    <w:keepLines/>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1663D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62" w:type="pct"/>
                  <w:vAlign w:val="center"/>
                </w:tcPr>
                <w:p w14:paraId="3D7C78B8">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262" w:type="pct"/>
                  <w:vMerge w:val="continue"/>
                  <w:vAlign w:val="center"/>
                </w:tcPr>
                <w:p w14:paraId="45B9079C">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394" w:type="pct"/>
                  <w:vAlign w:val="center"/>
                </w:tcPr>
                <w:p w14:paraId="04628D07">
                  <w:pPr>
                    <w:pStyle w:val="123"/>
                    <w:pageBreakBefore w:val="0"/>
                    <w:kinsoku/>
                    <w:overflowPunct/>
                    <w:topLinePunct w:val="0"/>
                    <w:bidi w:val="0"/>
                    <w:spacing w:before="0" w:after="0"/>
                    <w:ind w:left="0" w:leftChars="0" w:right="0" w:rightChars="0"/>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lang w:val="en-US" w:eastAsia="zh-CN"/>
                      <w14:textFill>
                        <w14:solidFill>
                          <w14:schemeClr w14:val="tx1"/>
                        </w14:solidFill>
                      </w14:textFill>
                    </w:rPr>
                    <w:t>焚烧炉</w:t>
                  </w:r>
                </w:p>
              </w:tc>
              <w:tc>
                <w:tcPr>
                  <w:tcW w:w="850" w:type="pct"/>
                  <w:vAlign w:val="center"/>
                </w:tcPr>
                <w:p w14:paraId="26012701">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37.01,22.01,1</w:t>
                  </w:r>
                </w:p>
              </w:tc>
              <w:tc>
                <w:tcPr>
                  <w:tcW w:w="488" w:type="pct"/>
                  <w:vAlign w:val="center"/>
                </w:tcPr>
                <w:p w14:paraId="69E3E2E6">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80</w:t>
                  </w:r>
                </w:p>
              </w:tc>
              <w:tc>
                <w:tcPr>
                  <w:tcW w:w="394" w:type="pct"/>
                  <w:vMerge w:val="continue"/>
                  <w:vAlign w:val="center"/>
                </w:tcPr>
                <w:p w14:paraId="5EB6BCA6">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271" w:type="pct"/>
                  <w:vAlign w:val="center"/>
                </w:tcPr>
                <w:p w14:paraId="20386328">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w:t>
                  </w:r>
                </w:p>
              </w:tc>
              <w:tc>
                <w:tcPr>
                  <w:tcW w:w="488" w:type="pct"/>
                  <w:vAlign w:val="center"/>
                </w:tcPr>
                <w:p w14:paraId="450A27FF">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62.55</w:t>
                  </w:r>
                </w:p>
              </w:tc>
              <w:tc>
                <w:tcPr>
                  <w:tcW w:w="394" w:type="pct"/>
                  <w:vMerge w:val="continue"/>
                  <w:vAlign w:val="center"/>
                </w:tcPr>
                <w:p w14:paraId="3901D720">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437" w:type="pct"/>
                  <w:vAlign w:val="center"/>
                </w:tcPr>
                <w:p w14:paraId="2371C420">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p>
              </w:tc>
              <w:tc>
                <w:tcPr>
                  <w:tcW w:w="488" w:type="pct"/>
                  <w:vAlign w:val="center"/>
                </w:tcPr>
                <w:p w14:paraId="5C600126">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42.55</w:t>
                  </w:r>
                </w:p>
              </w:tc>
              <w:tc>
                <w:tcPr>
                  <w:tcW w:w="265" w:type="pct"/>
                  <w:vAlign w:val="center"/>
                </w:tcPr>
                <w:p w14:paraId="50A1F558">
                  <w:pPr>
                    <w:keepLines/>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4B581B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62" w:type="pct"/>
                  <w:vAlign w:val="center"/>
                </w:tcPr>
                <w:p w14:paraId="5474A604">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262" w:type="pct"/>
                  <w:vMerge w:val="continue"/>
                  <w:vAlign w:val="center"/>
                </w:tcPr>
                <w:p w14:paraId="13D14C1B">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394" w:type="pct"/>
                  <w:vAlign w:val="center"/>
                </w:tcPr>
                <w:p w14:paraId="0E6AFC65">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lang w:val="en-US" w:eastAsia="zh-CN"/>
                      <w14:textFill>
                        <w14:solidFill>
                          <w14:schemeClr w14:val="tx1"/>
                        </w14:solidFill>
                      </w14:textFill>
                    </w:rPr>
                    <w:t>水压测试机</w:t>
                  </w:r>
                </w:p>
              </w:tc>
              <w:tc>
                <w:tcPr>
                  <w:tcW w:w="850" w:type="pct"/>
                  <w:vAlign w:val="center"/>
                </w:tcPr>
                <w:p w14:paraId="2BFA02B3">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27.96,22.07,1</w:t>
                  </w:r>
                </w:p>
              </w:tc>
              <w:tc>
                <w:tcPr>
                  <w:tcW w:w="488" w:type="pct"/>
                  <w:vAlign w:val="center"/>
                </w:tcPr>
                <w:p w14:paraId="0B84983C">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75</w:t>
                  </w:r>
                </w:p>
              </w:tc>
              <w:tc>
                <w:tcPr>
                  <w:tcW w:w="394" w:type="pct"/>
                  <w:vMerge w:val="continue"/>
                  <w:vAlign w:val="center"/>
                </w:tcPr>
                <w:p w14:paraId="0BCC727A">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271" w:type="pct"/>
                  <w:vAlign w:val="center"/>
                </w:tcPr>
                <w:p w14:paraId="20D19026">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8</w:t>
                  </w:r>
                </w:p>
              </w:tc>
              <w:tc>
                <w:tcPr>
                  <w:tcW w:w="488" w:type="pct"/>
                  <w:vAlign w:val="center"/>
                </w:tcPr>
                <w:p w14:paraId="5EACD21B">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57.46</w:t>
                  </w:r>
                </w:p>
              </w:tc>
              <w:tc>
                <w:tcPr>
                  <w:tcW w:w="394" w:type="pct"/>
                  <w:vMerge w:val="continue"/>
                  <w:vAlign w:val="center"/>
                </w:tcPr>
                <w:p w14:paraId="59BCE81A">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437" w:type="pct"/>
                  <w:vAlign w:val="center"/>
                </w:tcPr>
                <w:p w14:paraId="6B9F6D8F">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p>
              </w:tc>
              <w:tc>
                <w:tcPr>
                  <w:tcW w:w="488" w:type="pct"/>
                  <w:vAlign w:val="center"/>
                </w:tcPr>
                <w:p w14:paraId="481BB517">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37.46</w:t>
                  </w:r>
                </w:p>
              </w:tc>
              <w:tc>
                <w:tcPr>
                  <w:tcW w:w="265" w:type="pct"/>
                  <w:vAlign w:val="center"/>
                </w:tcPr>
                <w:p w14:paraId="5489F2B1">
                  <w:pPr>
                    <w:keepLines/>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0A5F12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2" w:type="pct"/>
                  <w:vAlign w:val="center"/>
                </w:tcPr>
                <w:p w14:paraId="7E171C8D">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w:t>
                  </w:r>
                </w:p>
              </w:tc>
              <w:tc>
                <w:tcPr>
                  <w:tcW w:w="262" w:type="pct"/>
                  <w:vMerge w:val="continue"/>
                  <w:vAlign w:val="center"/>
                </w:tcPr>
                <w:p w14:paraId="514E8FEE">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394" w:type="pct"/>
                  <w:vAlign w:val="center"/>
                </w:tcPr>
                <w:p w14:paraId="46D2B5A1">
                  <w:pPr>
                    <w:pStyle w:val="123"/>
                    <w:pageBreakBefore w:val="0"/>
                    <w:kinsoku/>
                    <w:overflowPunct/>
                    <w:topLinePunct w:val="0"/>
                    <w:bidi w:val="0"/>
                    <w:spacing w:before="0" w:after="0"/>
                    <w:ind w:left="0" w:leftChars="0" w:right="0" w:rightChars="0"/>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lang w:val="en-US" w:eastAsia="zh-CN"/>
                      <w14:textFill>
                        <w14:solidFill>
                          <w14:schemeClr w14:val="tx1"/>
                        </w14:solidFill>
                      </w14:textFill>
                    </w:rPr>
                    <w:t>除锈机</w:t>
                  </w:r>
                </w:p>
              </w:tc>
              <w:tc>
                <w:tcPr>
                  <w:tcW w:w="850" w:type="pct"/>
                  <w:vAlign w:val="center"/>
                </w:tcPr>
                <w:p w14:paraId="2A67CA1B">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19.33,20.8,1</w:t>
                  </w:r>
                </w:p>
              </w:tc>
              <w:tc>
                <w:tcPr>
                  <w:tcW w:w="488" w:type="pct"/>
                  <w:vAlign w:val="center"/>
                </w:tcPr>
                <w:p w14:paraId="10CF7702">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90</w:t>
                  </w:r>
                </w:p>
              </w:tc>
              <w:tc>
                <w:tcPr>
                  <w:tcW w:w="394" w:type="pct"/>
                  <w:vMerge w:val="continue"/>
                  <w:vAlign w:val="center"/>
                </w:tcPr>
                <w:p w14:paraId="18532004">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271" w:type="pct"/>
                  <w:vAlign w:val="center"/>
                </w:tcPr>
                <w:p w14:paraId="4BE812BD">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9</w:t>
                  </w:r>
                </w:p>
              </w:tc>
              <w:tc>
                <w:tcPr>
                  <w:tcW w:w="488" w:type="pct"/>
                  <w:vAlign w:val="center"/>
                </w:tcPr>
                <w:p w14:paraId="66160E6F">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72.4</w:t>
                  </w:r>
                </w:p>
              </w:tc>
              <w:tc>
                <w:tcPr>
                  <w:tcW w:w="394" w:type="pct"/>
                  <w:vMerge w:val="continue"/>
                  <w:vAlign w:val="center"/>
                </w:tcPr>
                <w:p w14:paraId="4BE8BEEC">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437" w:type="pct"/>
                  <w:vAlign w:val="center"/>
                </w:tcPr>
                <w:p w14:paraId="6FD10D34">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p>
              </w:tc>
              <w:tc>
                <w:tcPr>
                  <w:tcW w:w="488" w:type="pct"/>
                  <w:vAlign w:val="center"/>
                </w:tcPr>
                <w:p w14:paraId="307E6E14">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52.4</w:t>
                  </w:r>
                </w:p>
              </w:tc>
              <w:tc>
                <w:tcPr>
                  <w:tcW w:w="265" w:type="pct"/>
                  <w:vAlign w:val="center"/>
                </w:tcPr>
                <w:p w14:paraId="1E31941B">
                  <w:pPr>
                    <w:keepLines/>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2C5DCD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2" w:type="pct"/>
                  <w:vAlign w:val="center"/>
                </w:tcPr>
                <w:p w14:paraId="326A11D6">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w:t>
                  </w:r>
                </w:p>
              </w:tc>
              <w:tc>
                <w:tcPr>
                  <w:tcW w:w="262" w:type="pct"/>
                  <w:vMerge w:val="continue"/>
                  <w:vAlign w:val="center"/>
                </w:tcPr>
                <w:p w14:paraId="6CE8E835">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394" w:type="pct"/>
                  <w:vAlign w:val="center"/>
                </w:tcPr>
                <w:p w14:paraId="2E5C9B6B">
                  <w:pPr>
                    <w:pStyle w:val="123"/>
                    <w:pageBreakBefore w:val="0"/>
                    <w:kinsoku/>
                    <w:overflowPunct/>
                    <w:topLinePunct w:val="0"/>
                    <w:bidi w:val="0"/>
                    <w:spacing w:before="0" w:after="0"/>
                    <w:ind w:left="0" w:leftChars="0" w:right="0" w:rightChars="0"/>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静电喷涂、烘干设备</w:t>
                  </w:r>
                </w:p>
              </w:tc>
              <w:tc>
                <w:tcPr>
                  <w:tcW w:w="850" w:type="pct"/>
                  <w:vAlign w:val="center"/>
                </w:tcPr>
                <w:p w14:paraId="3AFA9BD7">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10.28,17.72,1</w:t>
                  </w:r>
                </w:p>
              </w:tc>
              <w:tc>
                <w:tcPr>
                  <w:tcW w:w="488" w:type="pct"/>
                  <w:vAlign w:val="center"/>
                </w:tcPr>
                <w:p w14:paraId="44FC3C3F">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85</w:t>
                  </w:r>
                </w:p>
              </w:tc>
              <w:tc>
                <w:tcPr>
                  <w:tcW w:w="394" w:type="pct"/>
                  <w:vMerge w:val="continue"/>
                  <w:vAlign w:val="center"/>
                </w:tcPr>
                <w:p w14:paraId="7A4EC637">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271" w:type="pct"/>
                  <w:vAlign w:val="center"/>
                </w:tcPr>
                <w:p w14:paraId="28D15696">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9</w:t>
                  </w:r>
                </w:p>
              </w:tc>
              <w:tc>
                <w:tcPr>
                  <w:tcW w:w="488" w:type="pct"/>
                  <w:vAlign w:val="center"/>
                </w:tcPr>
                <w:p w14:paraId="4E32745B">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67</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394" w:type="pct"/>
                  <w:vMerge w:val="continue"/>
                  <w:vAlign w:val="center"/>
                </w:tcPr>
                <w:p w14:paraId="1E76B669">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437" w:type="pct"/>
                  <w:vAlign w:val="center"/>
                </w:tcPr>
                <w:p w14:paraId="19F7B5CE">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p>
              </w:tc>
              <w:tc>
                <w:tcPr>
                  <w:tcW w:w="488" w:type="pct"/>
                  <w:vAlign w:val="center"/>
                </w:tcPr>
                <w:p w14:paraId="2940CE7A">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47.4</w:t>
                  </w:r>
                </w:p>
              </w:tc>
              <w:tc>
                <w:tcPr>
                  <w:tcW w:w="265" w:type="pct"/>
                  <w:vAlign w:val="center"/>
                </w:tcPr>
                <w:p w14:paraId="5B32FC7F">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19B9CA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62" w:type="pct"/>
                  <w:vAlign w:val="center"/>
                </w:tcPr>
                <w:p w14:paraId="505B513F">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w:t>
                  </w:r>
                </w:p>
              </w:tc>
              <w:tc>
                <w:tcPr>
                  <w:tcW w:w="262" w:type="pct"/>
                  <w:vMerge w:val="continue"/>
                  <w:vAlign w:val="center"/>
                </w:tcPr>
                <w:p w14:paraId="0F041EA0">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394" w:type="pct"/>
                  <w:vAlign w:val="center"/>
                </w:tcPr>
                <w:p w14:paraId="09F00FA9">
                  <w:pPr>
                    <w:pStyle w:val="123"/>
                    <w:pageBreakBefore w:val="0"/>
                    <w:kinsoku/>
                    <w:overflowPunct/>
                    <w:topLinePunct w:val="0"/>
                    <w:bidi w:val="0"/>
                    <w:spacing w:before="0" w:after="0"/>
                    <w:ind w:left="0" w:leftChars="0" w:right="0" w:rightChars="0"/>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液化气瓶阀装卸机</w:t>
                  </w:r>
                </w:p>
              </w:tc>
              <w:tc>
                <w:tcPr>
                  <w:tcW w:w="850" w:type="pct"/>
                  <w:vAlign w:val="center"/>
                </w:tcPr>
                <w:p w14:paraId="0D032570">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24.52,15.01,1</w:t>
                  </w:r>
                </w:p>
              </w:tc>
              <w:tc>
                <w:tcPr>
                  <w:tcW w:w="488" w:type="pct"/>
                  <w:vAlign w:val="center"/>
                </w:tcPr>
                <w:p w14:paraId="21529A53">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80</w:t>
                  </w:r>
                </w:p>
              </w:tc>
              <w:tc>
                <w:tcPr>
                  <w:tcW w:w="394" w:type="pct"/>
                  <w:vMerge w:val="continue"/>
                  <w:vAlign w:val="center"/>
                </w:tcPr>
                <w:p w14:paraId="517DA8B5">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271" w:type="pct"/>
                  <w:vAlign w:val="center"/>
                </w:tcPr>
                <w:p w14:paraId="1AD4A8B2">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w:t>
                  </w:r>
                </w:p>
              </w:tc>
              <w:tc>
                <w:tcPr>
                  <w:tcW w:w="488" w:type="pct"/>
                  <w:vAlign w:val="center"/>
                </w:tcPr>
                <w:p w14:paraId="00CD5FE9">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62.55</w:t>
                  </w:r>
                </w:p>
              </w:tc>
              <w:tc>
                <w:tcPr>
                  <w:tcW w:w="394" w:type="pct"/>
                  <w:vMerge w:val="continue"/>
                  <w:vAlign w:val="center"/>
                </w:tcPr>
                <w:p w14:paraId="4354C170">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437" w:type="pct"/>
                  <w:vAlign w:val="center"/>
                </w:tcPr>
                <w:p w14:paraId="62890025">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p>
              </w:tc>
              <w:tc>
                <w:tcPr>
                  <w:tcW w:w="488" w:type="pct"/>
                  <w:vAlign w:val="center"/>
                </w:tcPr>
                <w:p w14:paraId="4D758A0B">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42.55</w:t>
                  </w:r>
                </w:p>
              </w:tc>
              <w:tc>
                <w:tcPr>
                  <w:tcW w:w="265" w:type="pct"/>
                  <w:vAlign w:val="center"/>
                </w:tcPr>
                <w:p w14:paraId="6752D699">
                  <w:pPr>
                    <w:keepLines/>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43EB28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62" w:type="pct"/>
                  <w:vAlign w:val="center"/>
                </w:tcPr>
                <w:p w14:paraId="7BA93A85">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8</w:t>
                  </w:r>
                </w:p>
              </w:tc>
              <w:tc>
                <w:tcPr>
                  <w:tcW w:w="262" w:type="pct"/>
                  <w:vMerge w:val="continue"/>
                  <w:vAlign w:val="center"/>
                </w:tcPr>
                <w:p w14:paraId="58D3C54A">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394" w:type="pct"/>
                  <w:vAlign w:val="center"/>
                </w:tcPr>
                <w:p w14:paraId="37A06043">
                  <w:pPr>
                    <w:pStyle w:val="123"/>
                    <w:pageBreakBefore w:val="0"/>
                    <w:kinsoku/>
                    <w:overflowPunct/>
                    <w:topLinePunct w:val="0"/>
                    <w:bidi w:val="0"/>
                    <w:spacing w:before="0" w:after="0"/>
                    <w:ind w:left="0" w:leftChars="0" w:right="0" w:rightChars="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Cs w:val="21"/>
                      <w:highlight w:val="none"/>
                      <w:lang w:eastAsia="zh-CN"/>
                      <w14:textFill>
                        <w14:solidFill>
                          <w14:schemeClr w14:val="tx1"/>
                        </w14:solidFill>
                      </w14:textFill>
                    </w:rPr>
                    <w:t>液化石油气钢瓶</w:t>
                  </w:r>
                  <w:r>
                    <w:rPr>
                      <w:rFonts w:hint="default" w:ascii="Times New Roman" w:hAnsi="Times New Roman" w:cs="Times New Roman"/>
                      <w:color w:val="000000" w:themeColor="text1"/>
                      <w:szCs w:val="21"/>
                      <w:highlight w:val="none"/>
                      <w14:textFill>
                        <w14:solidFill>
                          <w14:schemeClr w14:val="tx1"/>
                        </w14:solidFill>
                      </w14:textFill>
                    </w:rPr>
                    <w:t>气密性测试机</w:t>
                  </w:r>
                </w:p>
              </w:tc>
              <w:tc>
                <w:tcPr>
                  <w:tcW w:w="850" w:type="pct"/>
                  <w:vAlign w:val="center"/>
                </w:tcPr>
                <w:p w14:paraId="114834AB">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31.27,14.53,1</w:t>
                  </w:r>
                </w:p>
              </w:tc>
              <w:tc>
                <w:tcPr>
                  <w:tcW w:w="488" w:type="pct"/>
                  <w:vAlign w:val="center"/>
                </w:tcPr>
                <w:p w14:paraId="12CAB371">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80</w:t>
                  </w:r>
                </w:p>
              </w:tc>
              <w:tc>
                <w:tcPr>
                  <w:tcW w:w="394" w:type="pct"/>
                  <w:vMerge w:val="continue"/>
                  <w:vAlign w:val="center"/>
                </w:tcPr>
                <w:p w14:paraId="368F8B7A">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271" w:type="pct"/>
                  <w:vAlign w:val="center"/>
                </w:tcPr>
                <w:p w14:paraId="7EAECAA5">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w:t>
                  </w:r>
                </w:p>
              </w:tc>
              <w:tc>
                <w:tcPr>
                  <w:tcW w:w="488" w:type="pct"/>
                  <w:vAlign w:val="center"/>
                </w:tcPr>
                <w:p w14:paraId="0E14F4F9">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62.55</w:t>
                  </w:r>
                </w:p>
              </w:tc>
              <w:tc>
                <w:tcPr>
                  <w:tcW w:w="394" w:type="pct"/>
                  <w:vMerge w:val="continue"/>
                  <w:vAlign w:val="center"/>
                </w:tcPr>
                <w:p w14:paraId="054809DA">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437" w:type="pct"/>
                  <w:vAlign w:val="center"/>
                </w:tcPr>
                <w:p w14:paraId="08A9FBD8">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p>
              </w:tc>
              <w:tc>
                <w:tcPr>
                  <w:tcW w:w="488" w:type="pct"/>
                  <w:vAlign w:val="center"/>
                </w:tcPr>
                <w:p w14:paraId="2C66CBE7">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42.55</w:t>
                  </w:r>
                </w:p>
              </w:tc>
              <w:tc>
                <w:tcPr>
                  <w:tcW w:w="265" w:type="pct"/>
                  <w:vAlign w:val="center"/>
                </w:tcPr>
                <w:p w14:paraId="38FE0153">
                  <w:pPr>
                    <w:keepLines/>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35FD7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62" w:type="pct"/>
                  <w:vAlign w:val="center"/>
                </w:tcPr>
                <w:p w14:paraId="2ADF3F7D">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9</w:t>
                  </w:r>
                </w:p>
              </w:tc>
              <w:tc>
                <w:tcPr>
                  <w:tcW w:w="262" w:type="pct"/>
                  <w:vMerge w:val="continue"/>
                  <w:vAlign w:val="center"/>
                </w:tcPr>
                <w:p w14:paraId="472FCF85">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394" w:type="pct"/>
                  <w:vAlign w:val="center"/>
                </w:tcPr>
                <w:p w14:paraId="7928868A">
                  <w:pPr>
                    <w:pStyle w:val="123"/>
                    <w:pageBreakBefore w:val="0"/>
                    <w:kinsoku/>
                    <w:overflowPunct/>
                    <w:topLinePunct w:val="0"/>
                    <w:bidi w:val="0"/>
                    <w:spacing w:before="0" w:after="0"/>
                    <w:ind w:left="0" w:leftChars="0" w:right="0" w:right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真空泵</w:t>
                  </w:r>
                </w:p>
              </w:tc>
              <w:tc>
                <w:tcPr>
                  <w:tcW w:w="850" w:type="pct"/>
                  <w:vAlign w:val="center"/>
                </w:tcPr>
                <w:p w14:paraId="29263B45">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36.22,13.62,1</w:t>
                  </w:r>
                </w:p>
              </w:tc>
              <w:tc>
                <w:tcPr>
                  <w:tcW w:w="488" w:type="pct"/>
                  <w:vAlign w:val="center"/>
                </w:tcPr>
                <w:p w14:paraId="136BC2B9">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80</w:t>
                  </w:r>
                </w:p>
              </w:tc>
              <w:tc>
                <w:tcPr>
                  <w:tcW w:w="394" w:type="pct"/>
                  <w:vMerge w:val="continue"/>
                  <w:vAlign w:val="center"/>
                </w:tcPr>
                <w:p w14:paraId="7BDA2CF0">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271" w:type="pct"/>
                  <w:vAlign w:val="center"/>
                </w:tcPr>
                <w:p w14:paraId="02FCFC5F">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w:t>
                  </w:r>
                </w:p>
              </w:tc>
              <w:tc>
                <w:tcPr>
                  <w:tcW w:w="488" w:type="pct"/>
                  <w:vAlign w:val="center"/>
                </w:tcPr>
                <w:p w14:paraId="278E877C">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62.55</w:t>
                  </w:r>
                </w:p>
              </w:tc>
              <w:tc>
                <w:tcPr>
                  <w:tcW w:w="394" w:type="pct"/>
                  <w:vMerge w:val="continue"/>
                  <w:vAlign w:val="center"/>
                </w:tcPr>
                <w:p w14:paraId="730BCBAA">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437" w:type="pct"/>
                  <w:vAlign w:val="center"/>
                </w:tcPr>
                <w:p w14:paraId="49E27722">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p>
              </w:tc>
              <w:tc>
                <w:tcPr>
                  <w:tcW w:w="488" w:type="pct"/>
                  <w:vAlign w:val="center"/>
                </w:tcPr>
                <w:p w14:paraId="39CD2B61">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42.55</w:t>
                  </w:r>
                </w:p>
              </w:tc>
              <w:tc>
                <w:tcPr>
                  <w:tcW w:w="265" w:type="pct"/>
                  <w:vAlign w:val="center"/>
                </w:tcPr>
                <w:p w14:paraId="1FEFF959">
                  <w:pPr>
                    <w:keepLines/>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7CB1AE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62" w:type="pct"/>
                  <w:vAlign w:val="center"/>
                </w:tcPr>
                <w:p w14:paraId="29D86604">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c>
                <w:tcPr>
                  <w:tcW w:w="262" w:type="pct"/>
                  <w:vMerge w:val="continue"/>
                  <w:vAlign w:val="center"/>
                </w:tcPr>
                <w:p w14:paraId="108AFED9">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394" w:type="pct"/>
                  <w:vAlign w:val="center"/>
                </w:tcPr>
                <w:p w14:paraId="5674C683">
                  <w:pPr>
                    <w:pStyle w:val="123"/>
                    <w:pageBreakBefore w:val="0"/>
                    <w:kinsoku/>
                    <w:overflowPunct/>
                    <w:topLinePunct w:val="0"/>
                    <w:bidi w:val="0"/>
                    <w:spacing w:before="0" w:after="0"/>
                    <w:ind w:left="0" w:leftChars="0" w:right="0" w:right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激光打标机</w:t>
                  </w:r>
                </w:p>
              </w:tc>
              <w:tc>
                <w:tcPr>
                  <w:tcW w:w="850" w:type="pct"/>
                  <w:vAlign w:val="center"/>
                </w:tcPr>
                <w:p w14:paraId="43D4023C">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38.64,13.26,1</w:t>
                  </w:r>
                </w:p>
              </w:tc>
              <w:tc>
                <w:tcPr>
                  <w:tcW w:w="488" w:type="pct"/>
                  <w:vAlign w:val="center"/>
                </w:tcPr>
                <w:p w14:paraId="0884FB46">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80</w:t>
                  </w:r>
                </w:p>
              </w:tc>
              <w:tc>
                <w:tcPr>
                  <w:tcW w:w="394" w:type="pct"/>
                  <w:vMerge w:val="continue"/>
                  <w:vAlign w:val="center"/>
                </w:tcPr>
                <w:p w14:paraId="6B251785">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271" w:type="pct"/>
                  <w:vAlign w:val="center"/>
                </w:tcPr>
                <w:p w14:paraId="72B24D51">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w:t>
                  </w:r>
                </w:p>
              </w:tc>
              <w:tc>
                <w:tcPr>
                  <w:tcW w:w="488" w:type="pct"/>
                  <w:vAlign w:val="center"/>
                </w:tcPr>
                <w:p w14:paraId="32821CA4">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62.55</w:t>
                  </w:r>
                </w:p>
              </w:tc>
              <w:tc>
                <w:tcPr>
                  <w:tcW w:w="394" w:type="pct"/>
                  <w:vMerge w:val="continue"/>
                  <w:vAlign w:val="center"/>
                </w:tcPr>
                <w:p w14:paraId="33D39CEC">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437" w:type="pct"/>
                  <w:vAlign w:val="center"/>
                </w:tcPr>
                <w:p w14:paraId="1C609EA7">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p>
              </w:tc>
              <w:tc>
                <w:tcPr>
                  <w:tcW w:w="488" w:type="pct"/>
                  <w:vAlign w:val="center"/>
                </w:tcPr>
                <w:p w14:paraId="5C201B05">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42.55</w:t>
                  </w:r>
                </w:p>
              </w:tc>
              <w:tc>
                <w:tcPr>
                  <w:tcW w:w="265" w:type="pct"/>
                  <w:vAlign w:val="center"/>
                </w:tcPr>
                <w:p w14:paraId="54ED27CC">
                  <w:pPr>
                    <w:keepLines/>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75D53E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62" w:type="pct"/>
                  <w:vAlign w:val="center"/>
                </w:tcPr>
                <w:p w14:paraId="736C292C">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11</w:t>
                  </w:r>
                </w:p>
              </w:tc>
              <w:tc>
                <w:tcPr>
                  <w:tcW w:w="262" w:type="pct"/>
                  <w:vMerge w:val="continue"/>
                  <w:vAlign w:val="center"/>
                </w:tcPr>
                <w:p w14:paraId="329B5D9F">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394" w:type="pct"/>
                  <w:vAlign w:val="center"/>
                </w:tcPr>
                <w:p w14:paraId="5A9873C4">
                  <w:pPr>
                    <w:pStyle w:val="123"/>
                    <w:pageBreakBefore w:val="0"/>
                    <w:kinsoku/>
                    <w:overflowPunct/>
                    <w:topLinePunct w:val="0"/>
                    <w:bidi w:val="0"/>
                    <w:spacing w:before="0" w:after="0"/>
                    <w:ind w:left="0" w:leftChars="0" w:right="0" w:rightChars="0"/>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液化石油气钢瓶</w:t>
                  </w:r>
                  <w:r>
                    <w:rPr>
                      <w:rFonts w:hint="default" w:ascii="Times New Roman" w:hAnsi="Times New Roman" w:cs="Times New Roman"/>
                      <w:color w:val="000000" w:themeColor="text1"/>
                      <w:szCs w:val="21"/>
                      <w:highlight w:val="none"/>
                      <w:lang w:val="en-US" w:eastAsia="zh-CN"/>
                      <w14:textFill>
                        <w14:solidFill>
                          <w14:schemeClr w14:val="tx1"/>
                        </w14:solidFill>
                      </w14:textFill>
                    </w:rPr>
                    <w:t>压扁机</w:t>
                  </w:r>
                </w:p>
              </w:tc>
              <w:tc>
                <w:tcPr>
                  <w:tcW w:w="850" w:type="pct"/>
                  <w:vAlign w:val="center"/>
                </w:tcPr>
                <w:p w14:paraId="4DBD233B">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43.94,11.75,1</w:t>
                  </w:r>
                </w:p>
              </w:tc>
              <w:tc>
                <w:tcPr>
                  <w:tcW w:w="488" w:type="pct"/>
                  <w:vAlign w:val="center"/>
                </w:tcPr>
                <w:p w14:paraId="7FB6B785">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90</w:t>
                  </w:r>
                </w:p>
              </w:tc>
              <w:tc>
                <w:tcPr>
                  <w:tcW w:w="394" w:type="pct"/>
                  <w:vMerge w:val="continue"/>
                  <w:vAlign w:val="center"/>
                </w:tcPr>
                <w:p w14:paraId="44D3DAC4">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271" w:type="pct"/>
                  <w:vAlign w:val="center"/>
                </w:tcPr>
                <w:p w14:paraId="319F0F6E">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w:t>
                  </w:r>
                </w:p>
              </w:tc>
              <w:tc>
                <w:tcPr>
                  <w:tcW w:w="488" w:type="pct"/>
                  <w:vAlign w:val="center"/>
                </w:tcPr>
                <w:p w14:paraId="251E1676">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72.55</w:t>
                  </w:r>
                </w:p>
              </w:tc>
              <w:tc>
                <w:tcPr>
                  <w:tcW w:w="394" w:type="pct"/>
                  <w:vMerge w:val="continue"/>
                  <w:vAlign w:val="center"/>
                </w:tcPr>
                <w:p w14:paraId="38E54B6E">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437" w:type="pct"/>
                  <w:vAlign w:val="center"/>
                </w:tcPr>
                <w:p w14:paraId="7F8128F8">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p>
              </w:tc>
              <w:tc>
                <w:tcPr>
                  <w:tcW w:w="488" w:type="pct"/>
                  <w:vAlign w:val="center"/>
                </w:tcPr>
                <w:p w14:paraId="06051074">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52.55</w:t>
                  </w:r>
                </w:p>
              </w:tc>
              <w:tc>
                <w:tcPr>
                  <w:tcW w:w="265" w:type="pct"/>
                  <w:vAlign w:val="center"/>
                </w:tcPr>
                <w:p w14:paraId="0C4C8BC9">
                  <w:pPr>
                    <w:keepLines/>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66ECE5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62" w:type="pct"/>
                  <w:vAlign w:val="center"/>
                </w:tcPr>
                <w:p w14:paraId="56B01914">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12</w:t>
                  </w:r>
                </w:p>
              </w:tc>
              <w:tc>
                <w:tcPr>
                  <w:tcW w:w="262" w:type="pct"/>
                  <w:vMerge w:val="continue"/>
                  <w:vAlign w:val="center"/>
                </w:tcPr>
                <w:p w14:paraId="018F601E">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394" w:type="pct"/>
                  <w:vAlign w:val="center"/>
                </w:tcPr>
                <w:p w14:paraId="418F8318">
                  <w:pPr>
                    <w:pStyle w:val="124"/>
                    <w:pageBreakBefore w:val="0"/>
                    <w:kinsoku/>
                    <w:overflowPunct/>
                    <w:topLinePunct w:val="0"/>
                    <w:bidi w:val="0"/>
                    <w:ind w:left="0" w:leftChars="0" w:right="0" w:rightChars="0" w:firstLine="0" w:firstLineChars="0"/>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风机1</w:t>
                  </w:r>
                </w:p>
              </w:tc>
              <w:tc>
                <w:tcPr>
                  <w:tcW w:w="850" w:type="pct"/>
                  <w:vAlign w:val="center"/>
                </w:tcPr>
                <w:p w14:paraId="115AABF6">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36.89,19.84,1</w:t>
                  </w:r>
                </w:p>
              </w:tc>
              <w:tc>
                <w:tcPr>
                  <w:tcW w:w="488" w:type="pct"/>
                  <w:vAlign w:val="center"/>
                </w:tcPr>
                <w:p w14:paraId="385D4E28">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75</w:t>
                  </w:r>
                </w:p>
              </w:tc>
              <w:tc>
                <w:tcPr>
                  <w:tcW w:w="394" w:type="pct"/>
                  <w:vMerge w:val="continue"/>
                  <w:vAlign w:val="center"/>
                </w:tcPr>
                <w:p w14:paraId="1CA1DF92">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271" w:type="pct"/>
                  <w:vAlign w:val="center"/>
                </w:tcPr>
                <w:p w14:paraId="7DB6F3A2">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w:t>
                  </w:r>
                </w:p>
              </w:tc>
              <w:tc>
                <w:tcPr>
                  <w:tcW w:w="488" w:type="pct"/>
                  <w:vAlign w:val="center"/>
                </w:tcPr>
                <w:p w14:paraId="1AC51FF1">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57.55</w:t>
                  </w:r>
                </w:p>
              </w:tc>
              <w:tc>
                <w:tcPr>
                  <w:tcW w:w="394" w:type="pct"/>
                  <w:vMerge w:val="continue"/>
                  <w:vAlign w:val="center"/>
                </w:tcPr>
                <w:p w14:paraId="261D165C">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437" w:type="pct"/>
                  <w:vAlign w:val="center"/>
                </w:tcPr>
                <w:p w14:paraId="112B951F">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p>
              </w:tc>
              <w:tc>
                <w:tcPr>
                  <w:tcW w:w="488" w:type="pct"/>
                  <w:vAlign w:val="center"/>
                </w:tcPr>
                <w:p w14:paraId="580671FA">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37.55</w:t>
                  </w:r>
                </w:p>
              </w:tc>
              <w:tc>
                <w:tcPr>
                  <w:tcW w:w="265" w:type="pct"/>
                  <w:vAlign w:val="center"/>
                </w:tcPr>
                <w:p w14:paraId="4F01EDB0">
                  <w:pPr>
                    <w:keepLines/>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5FC4C5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62" w:type="pct"/>
                  <w:vAlign w:val="center"/>
                </w:tcPr>
                <w:p w14:paraId="028C8965">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13</w:t>
                  </w:r>
                </w:p>
              </w:tc>
              <w:tc>
                <w:tcPr>
                  <w:tcW w:w="262" w:type="pct"/>
                  <w:vMerge w:val="continue"/>
                  <w:vAlign w:val="center"/>
                </w:tcPr>
                <w:p w14:paraId="6E8E7CE4">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394" w:type="pct"/>
                  <w:vAlign w:val="center"/>
                </w:tcPr>
                <w:p w14:paraId="7D6C06BD">
                  <w:pPr>
                    <w:pStyle w:val="124"/>
                    <w:pageBreakBefore w:val="0"/>
                    <w:kinsoku/>
                    <w:overflowPunct/>
                    <w:topLinePunct w:val="0"/>
                    <w:bidi w:val="0"/>
                    <w:ind w:left="0" w:leftChars="0" w:right="0" w:rightChars="0" w:firstLine="0" w:firstLineChars="0"/>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风机2</w:t>
                  </w:r>
                </w:p>
              </w:tc>
              <w:tc>
                <w:tcPr>
                  <w:tcW w:w="850" w:type="pct"/>
                  <w:vAlign w:val="center"/>
                </w:tcPr>
                <w:p w14:paraId="57F384E2">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21.2,18.99,1</w:t>
                  </w:r>
                </w:p>
              </w:tc>
              <w:tc>
                <w:tcPr>
                  <w:tcW w:w="488" w:type="pct"/>
                  <w:vAlign w:val="center"/>
                </w:tcPr>
                <w:p w14:paraId="405412B5">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75</w:t>
                  </w:r>
                </w:p>
              </w:tc>
              <w:tc>
                <w:tcPr>
                  <w:tcW w:w="394" w:type="pct"/>
                  <w:vMerge w:val="continue"/>
                  <w:vAlign w:val="center"/>
                </w:tcPr>
                <w:p w14:paraId="13EB7165">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271" w:type="pct"/>
                  <w:vAlign w:val="center"/>
                </w:tcPr>
                <w:p w14:paraId="555C286F">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w:t>
                  </w:r>
                </w:p>
              </w:tc>
              <w:tc>
                <w:tcPr>
                  <w:tcW w:w="488" w:type="pct"/>
                  <w:vAlign w:val="center"/>
                </w:tcPr>
                <w:p w14:paraId="08EB771B">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57.55</w:t>
                  </w:r>
                </w:p>
              </w:tc>
              <w:tc>
                <w:tcPr>
                  <w:tcW w:w="394" w:type="pct"/>
                  <w:vMerge w:val="continue"/>
                  <w:vAlign w:val="center"/>
                </w:tcPr>
                <w:p w14:paraId="5B42E260">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437" w:type="pct"/>
                  <w:vAlign w:val="center"/>
                </w:tcPr>
                <w:p w14:paraId="5323864B">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p>
              </w:tc>
              <w:tc>
                <w:tcPr>
                  <w:tcW w:w="488" w:type="pct"/>
                  <w:vAlign w:val="center"/>
                </w:tcPr>
                <w:p w14:paraId="382AEC22">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37.55</w:t>
                  </w:r>
                </w:p>
              </w:tc>
              <w:tc>
                <w:tcPr>
                  <w:tcW w:w="265" w:type="pct"/>
                  <w:vAlign w:val="center"/>
                </w:tcPr>
                <w:p w14:paraId="548A2147">
                  <w:pPr>
                    <w:keepLines/>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3C257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62" w:type="pct"/>
                  <w:vAlign w:val="center"/>
                </w:tcPr>
                <w:p w14:paraId="493C909F">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14</w:t>
                  </w:r>
                </w:p>
              </w:tc>
              <w:tc>
                <w:tcPr>
                  <w:tcW w:w="262" w:type="pct"/>
                  <w:vMerge w:val="continue"/>
                  <w:vAlign w:val="center"/>
                </w:tcPr>
                <w:p w14:paraId="013C5E9B">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394" w:type="pct"/>
                  <w:vAlign w:val="center"/>
                </w:tcPr>
                <w:p w14:paraId="6A252E7B">
                  <w:pPr>
                    <w:pStyle w:val="124"/>
                    <w:pageBreakBefore w:val="0"/>
                    <w:kinsoku/>
                    <w:overflowPunct/>
                    <w:topLinePunct w:val="0"/>
                    <w:bidi w:val="0"/>
                    <w:ind w:left="0" w:leftChars="0" w:right="0" w:rightChars="0" w:firstLine="0" w:firstLineChars="0"/>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风机3</w:t>
                  </w:r>
                </w:p>
              </w:tc>
              <w:tc>
                <w:tcPr>
                  <w:tcW w:w="850" w:type="pct"/>
                  <w:vAlign w:val="center"/>
                </w:tcPr>
                <w:p w14:paraId="0BF46401">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12.99,16.64,1</w:t>
                  </w:r>
                </w:p>
              </w:tc>
              <w:tc>
                <w:tcPr>
                  <w:tcW w:w="488" w:type="pct"/>
                  <w:vAlign w:val="center"/>
                </w:tcPr>
                <w:p w14:paraId="01847693">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75</w:t>
                  </w:r>
                </w:p>
              </w:tc>
              <w:tc>
                <w:tcPr>
                  <w:tcW w:w="394" w:type="pct"/>
                  <w:vMerge w:val="continue"/>
                  <w:vAlign w:val="center"/>
                </w:tcPr>
                <w:p w14:paraId="0A13AB17">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271" w:type="pct"/>
                  <w:vAlign w:val="center"/>
                </w:tcPr>
                <w:p w14:paraId="79BE4FC9">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8</w:t>
                  </w:r>
                </w:p>
              </w:tc>
              <w:tc>
                <w:tcPr>
                  <w:tcW w:w="488" w:type="pct"/>
                  <w:vAlign w:val="center"/>
                </w:tcPr>
                <w:p w14:paraId="7BF93968">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57.46</w:t>
                  </w:r>
                </w:p>
              </w:tc>
              <w:tc>
                <w:tcPr>
                  <w:tcW w:w="394" w:type="pct"/>
                  <w:vMerge w:val="continue"/>
                  <w:vAlign w:val="center"/>
                </w:tcPr>
                <w:p w14:paraId="5CA5FA0C">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437" w:type="pct"/>
                  <w:vAlign w:val="center"/>
                </w:tcPr>
                <w:p w14:paraId="0ADA1522">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p>
              </w:tc>
              <w:tc>
                <w:tcPr>
                  <w:tcW w:w="488" w:type="pct"/>
                  <w:vAlign w:val="center"/>
                </w:tcPr>
                <w:p w14:paraId="2CF8BA5C">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37.46</w:t>
                  </w:r>
                </w:p>
              </w:tc>
              <w:tc>
                <w:tcPr>
                  <w:tcW w:w="265" w:type="pct"/>
                  <w:vAlign w:val="center"/>
                </w:tcPr>
                <w:p w14:paraId="7D5A95EA">
                  <w:pPr>
                    <w:keepLines/>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4B0EA2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62" w:type="pct"/>
                  <w:vAlign w:val="center"/>
                </w:tcPr>
                <w:p w14:paraId="6DBD8FF3">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w:t>
                  </w:r>
                </w:p>
              </w:tc>
              <w:tc>
                <w:tcPr>
                  <w:tcW w:w="262" w:type="pct"/>
                  <w:vMerge w:val="continue"/>
                  <w:vAlign w:val="center"/>
                </w:tcPr>
                <w:p w14:paraId="7CE5CE4B">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394" w:type="pct"/>
                  <w:vAlign w:val="center"/>
                </w:tcPr>
                <w:p w14:paraId="064C9C2F">
                  <w:pPr>
                    <w:pStyle w:val="124"/>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风机4</w:t>
                  </w:r>
                </w:p>
              </w:tc>
              <w:tc>
                <w:tcPr>
                  <w:tcW w:w="850" w:type="pct"/>
                  <w:vAlign w:val="center"/>
                </w:tcPr>
                <w:p w14:paraId="699ACD11">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8.83,15.13,1</w:t>
                  </w:r>
                </w:p>
              </w:tc>
              <w:tc>
                <w:tcPr>
                  <w:tcW w:w="488" w:type="pct"/>
                  <w:vAlign w:val="center"/>
                </w:tcPr>
                <w:p w14:paraId="46A1569A">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75</w:t>
                  </w:r>
                </w:p>
              </w:tc>
              <w:tc>
                <w:tcPr>
                  <w:tcW w:w="394" w:type="pct"/>
                  <w:vMerge w:val="continue"/>
                  <w:vAlign w:val="center"/>
                </w:tcPr>
                <w:p w14:paraId="4A0EB0CA">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271" w:type="pct"/>
                  <w:vAlign w:val="center"/>
                </w:tcPr>
                <w:p w14:paraId="03CC26A0">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8</w:t>
                  </w:r>
                </w:p>
              </w:tc>
              <w:tc>
                <w:tcPr>
                  <w:tcW w:w="488" w:type="pct"/>
                  <w:vAlign w:val="center"/>
                </w:tcPr>
                <w:p w14:paraId="25205017">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57.46</w:t>
                  </w:r>
                </w:p>
              </w:tc>
              <w:tc>
                <w:tcPr>
                  <w:tcW w:w="394" w:type="pct"/>
                  <w:vMerge w:val="continue"/>
                  <w:vAlign w:val="center"/>
                </w:tcPr>
                <w:p w14:paraId="16A3D0BF">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437" w:type="pct"/>
                  <w:vAlign w:val="center"/>
                </w:tcPr>
                <w:p w14:paraId="5A867A8B">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p>
              </w:tc>
              <w:tc>
                <w:tcPr>
                  <w:tcW w:w="488" w:type="pct"/>
                  <w:vAlign w:val="center"/>
                </w:tcPr>
                <w:p w14:paraId="661AA4DA">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37.46</w:t>
                  </w:r>
                </w:p>
              </w:tc>
              <w:tc>
                <w:tcPr>
                  <w:tcW w:w="265" w:type="pct"/>
                  <w:vAlign w:val="center"/>
                </w:tcPr>
                <w:p w14:paraId="0BA9505D">
                  <w:pPr>
                    <w:keepLines/>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1EC684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62" w:type="pct"/>
                  <w:vAlign w:val="center"/>
                </w:tcPr>
                <w:p w14:paraId="3B8C60A1">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16</w:t>
                  </w:r>
                </w:p>
              </w:tc>
              <w:tc>
                <w:tcPr>
                  <w:tcW w:w="262" w:type="pct"/>
                  <w:vMerge w:val="continue"/>
                  <w:vAlign w:val="center"/>
                </w:tcPr>
                <w:p w14:paraId="516BD161">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394" w:type="pct"/>
                  <w:vAlign w:val="center"/>
                </w:tcPr>
                <w:p w14:paraId="0C8D59E3">
                  <w:pPr>
                    <w:pStyle w:val="124"/>
                    <w:pageBreakBefore w:val="0"/>
                    <w:kinsoku/>
                    <w:overflowPunct/>
                    <w:topLinePunct w:val="0"/>
                    <w:bidi w:val="0"/>
                    <w:ind w:left="0" w:leftChars="0" w:right="0" w:righ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空压机1</w:t>
                  </w:r>
                </w:p>
              </w:tc>
              <w:tc>
                <w:tcPr>
                  <w:tcW w:w="850" w:type="pct"/>
                  <w:vAlign w:val="center"/>
                </w:tcPr>
                <w:p w14:paraId="006DF73C">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20.42</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12,1</w:t>
                  </w:r>
                </w:p>
              </w:tc>
              <w:tc>
                <w:tcPr>
                  <w:tcW w:w="488" w:type="pct"/>
                  <w:vAlign w:val="center"/>
                </w:tcPr>
                <w:p w14:paraId="20CDC041">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394" w:type="pct"/>
                  <w:vMerge w:val="continue"/>
                  <w:vAlign w:val="center"/>
                </w:tcPr>
                <w:p w14:paraId="75AAF84A">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271" w:type="pct"/>
                  <w:vAlign w:val="center"/>
                </w:tcPr>
                <w:p w14:paraId="4A52418F">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w:t>
                  </w:r>
                </w:p>
              </w:tc>
              <w:tc>
                <w:tcPr>
                  <w:tcW w:w="488" w:type="pct"/>
                  <w:vAlign w:val="center"/>
                </w:tcPr>
                <w:p w14:paraId="080426AF">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59.71</w:t>
                  </w:r>
                </w:p>
              </w:tc>
              <w:tc>
                <w:tcPr>
                  <w:tcW w:w="394" w:type="pct"/>
                  <w:vMerge w:val="continue"/>
                  <w:vAlign w:val="center"/>
                </w:tcPr>
                <w:p w14:paraId="4549FB0C">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437" w:type="pct"/>
                  <w:vAlign w:val="center"/>
                </w:tcPr>
                <w:p w14:paraId="686E7398">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p>
              </w:tc>
              <w:tc>
                <w:tcPr>
                  <w:tcW w:w="488" w:type="pct"/>
                  <w:vAlign w:val="center"/>
                </w:tcPr>
                <w:p w14:paraId="6F887C1D">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39.71</w:t>
                  </w:r>
                </w:p>
              </w:tc>
              <w:tc>
                <w:tcPr>
                  <w:tcW w:w="265" w:type="pct"/>
                  <w:vAlign w:val="center"/>
                </w:tcPr>
                <w:p w14:paraId="6A2AE078">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3642A4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62" w:type="pct"/>
                  <w:vAlign w:val="center"/>
                </w:tcPr>
                <w:p w14:paraId="688DC11F">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17</w:t>
                  </w:r>
                </w:p>
              </w:tc>
              <w:tc>
                <w:tcPr>
                  <w:tcW w:w="262" w:type="pct"/>
                  <w:vMerge w:val="continue"/>
                  <w:vAlign w:val="center"/>
                </w:tcPr>
                <w:p w14:paraId="17B68889">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394" w:type="pct"/>
                  <w:vAlign w:val="center"/>
                </w:tcPr>
                <w:p w14:paraId="77B649EA">
                  <w:pPr>
                    <w:pStyle w:val="124"/>
                    <w:pageBreakBefore w:val="0"/>
                    <w:kinsoku/>
                    <w:overflowPunct/>
                    <w:topLinePunct w:val="0"/>
                    <w:bidi w:val="0"/>
                    <w:ind w:left="0" w:leftChars="0" w:right="0" w:righ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空压机2</w:t>
                  </w:r>
                </w:p>
              </w:tc>
              <w:tc>
                <w:tcPr>
                  <w:tcW w:w="850" w:type="pct"/>
                  <w:vAlign w:val="center"/>
                </w:tcPr>
                <w:p w14:paraId="12313AA4">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23.19,12,1</w:t>
                  </w:r>
                </w:p>
              </w:tc>
              <w:tc>
                <w:tcPr>
                  <w:tcW w:w="488" w:type="pct"/>
                  <w:vAlign w:val="center"/>
                </w:tcPr>
                <w:p w14:paraId="6898550A">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394" w:type="pct"/>
                  <w:vMerge w:val="continue"/>
                  <w:vAlign w:val="center"/>
                </w:tcPr>
                <w:p w14:paraId="4AC6D06D">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271" w:type="pct"/>
                  <w:vAlign w:val="center"/>
                </w:tcPr>
                <w:p w14:paraId="5E1D3E9B">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w:t>
                  </w:r>
                </w:p>
              </w:tc>
              <w:tc>
                <w:tcPr>
                  <w:tcW w:w="488" w:type="pct"/>
                  <w:vAlign w:val="center"/>
                </w:tcPr>
                <w:p w14:paraId="56FA5DF3">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59.71</w:t>
                  </w:r>
                </w:p>
              </w:tc>
              <w:tc>
                <w:tcPr>
                  <w:tcW w:w="394" w:type="pct"/>
                  <w:vMerge w:val="continue"/>
                  <w:vAlign w:val="center"/>
                </w:tcPr>
                <w:p w14:paraId="06B63A0F">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437" w:type="pct"/>
                  <w:vAlign w:val="center"/>
                </w:tcPr>
                <w:p w14:paraId="27881D3F">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p>
              </w:tc>
              <w:tc>
                <w:tcPr>
                  <w:tcW w:w="488" w:type="pct"/>
                  <w:vAlign w:val="center"/>
                </w:tcPr>
                <w:p w14:paraId="08CF6209">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39.71</w:t>
                  </w:r>
                </w:p>
              </w:tc>
              <w:tc>
                <w:tcPr>
                  <w:tcW w:w="265" w:type="pct"/>
                  <w:vAlign w:val="center"/>
                </w:tcPr>
                <w:p w14:paraId="281762D0">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575682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62" w:type="pct"/>
                  <w:vAlign w:val="center"/>
                </w:tcPr>
                <w:p w14:paraId="7EDC72B0">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18</w:t>
                  </w:r>
                </w:p>
              </w:tc>
              <w:tc>
                <w:tcPr>
                  <w:tcW w:w="262" w:type="pct"/>
                  <w:vMerge w:val="continue"/>
                  <w:vAlign w:val="center"/>
                </w:tcPr>
                <w:p w14:paraId="4E4F70B9">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394" w:type="pct"/>
                  <w:vAlign w:val="center"/>
                </w:tcPr>
                <w:p w14:paraId="6556F0B3">
                  <w:pPr>
                    <w:pStyle w:val="124"/>
                    <w:pageBreakBefore w:val="0"/>
                    <w:kinsoku/>
                    <w:overflowPunct/>
                    <w:topLinePunct w:val="0"/>
                    <w:bidi w:val="0"/>
                    <w:ind w:left="0" w:leftChars="0" w:right="0" w:righ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空压机</w:t>
                  </w:r>
                </w:p>
              </w:tc>
              <w:tc>
                <w:tcPr>
                  <w:tcW w:w="850" w:type="pct"/>
                  <w:vAlign w:val="center"/>
                </w:tcPr>
                <w:p w14:paraId="3926B4CB">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24.78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w:t>
                  </w:r>
                </w:p>
              </w:tc>
              <w:tc>
                <w:tcPr>
                  <w:tcW w:w="488" w:type="pct"/>
                  <w:vAlign w:val="center"/>
                </w:tcPr>
                <w:p w14:paraId="5D744D39">
                  <w:pPr>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75</w:t>
                  </w:r>
                </w:p>
              </w:tc>
              <w:tc>
                <w:tcPr>
                  <w:tcW w:w="394" w:type="pct"/>
                  <w:vMerge w:val="continue"/>
                  <w:vAlign w:val="center"/>
                </w:tcPr>
                <w:p w14:paraId="279FF5F5">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271" w:type="pct"/>
                  <w:vAlign w:val="center"/>
                </w:tcPr>
                <w:p w14:paraId="04939E43">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488" w:type="pct"/>
                  <w:vAlign w:val="center"/>
                </w:tcPr>
                <w:p w14:paraId="217BC8FF">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59.71</w:t>
                  </w:r>
                </w:p>
              </w:tc>
              <w:tc>
                <w:tcPr>
                  <w:tcW w:w="394" w:type="pct"/>
                  <w:vMerge w:val="continue"/>
                  <w:vAlign w:val="center"/>
                </w:tcPr>
                <w:p w14:paraId="206061C6">
                  <w:pPr>
                    <w:keepLines/>
                    <w:jc w:val="center"/>
                    <w:rPr>
                      <w:rFonts w:hint="default" w:ascii="Times New Roman" w:hAnsi="Times New Roman" w:cs="Times New Roman"/>
                      <w:color w:val="000000" w:themeColor="text1"/>
                      <w:sz w:val="21"/>
                      <w:szCs w:val="21"/>
                      <w14:textFill>
                        <w14:solidFill>
                          <w14:schemeClr w14:val="tx1"/>
                        </w14:solidFill>
                      </w14:textFill>
                    </w:rPr>
                  </w:pPr>
                </w:p>
              </w:tc>
              <w:tc>
                <w:tcPr>
                  <w:tcW w:w="437" w:type="pct"/>
                  <w:vAlign w:val="center"/>
                </w:tcPr>
                <w:p w14:paraId="00C020D6">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w:t>
                  </w:r>
                </w:p>
              </w:tc>
              <w:tc>
                <w:tcPr>
                  <w:tcW w:w="488" w:type="pct"/>
                  <w:vAlign w:val="center"/>
                </w:tcPr>
                <w:p w14:paraId="0F9F0C3F">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39.71</w:t>
                  </w:r>
                </w:p>
              </w:tc>
              <w:tc>
                <w:tcPr>
                  <w:tcW w:w="265" w:type="pct"/>
                  <w:vAlign w:val="center"/>
                </w:tcPr>
                <w:p w14:paraId="5E84451F">
                  <w:pPr>
                    <w:keepLines/>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bl>
          <w:p w14:paraId="268E8FEE">
            <w:pPr>
              <w:pStyle w:val="32"/>
              <w:keepLines/>
              <w:spacing w:line="360" w:lineRule="auto"/>
              <w:ind w:firstLine="482"/>
              <w:jc w:val="left"/>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（2）噪声预测分析</w:t>
            </w:r>
          </w:p>
          <w:p w14:paraId="66DC5367">
            <w:pPr>
              <w:pStyle w:val="32"/>
              <w:keepNext w:val="0"/>
              <w:keepLines/>
              <w:pageBreakBefore w:val="0"/>
              <w:kinsoku/>
              <w:wordWrap/>
              <w:overflowPunct/>
              <w:topLinePunct w:val="0"/>
              <w:autoSpaceDE/>
              <w:autoSpaceDN/>
              <w:bidi w:val="0"/>
              <w:adjustRightInd/>
              <w:snapToGrid/>
              <w:spacing w:line="360" w:lineRule="auto"/>
              <w:ind w:firstLine="482"/>
              <w:jc w:val="left"/>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1）预测模式</w:t>
            </w:r>
          </w:p>
          <w:p w14:paraId="3BF02691">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采用《环境影响评价技术导则—声环境》（HJ/T2.4-2021）中工业噪声预测模式。 </w:t>
            </w:r>
          </w:p>
          <w:p w14:paraId="7301722F">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①单个室外点声源在预测点产生的声级计算基本公式 </w:t>
            </w:r>
          </w:p>
          <w:p w14:paraId="6426CB17">
            <w:pPr>
              <w:keepNext w:val="0"/>
              <w:keepLines/>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如已知声源的倍频带声功率级，预测点位置的倍频带声压级Lp（r）可按公式计算：</w:t>
            </w:r>
          </w:p>
          <w:p w14:paraId="148B92BA">
            <w:pPr>
              <w:keepNext w:val="0"/>
              <w:keepLines/>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2686050" cy="942975"/>
                  <wp:effectExtent l="0" t="0" r="0" b="952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5"/>
                          <a:stretch>
                            <a:fillRect/>
                          </a:stretch>
                        </pic:blipFill>
                        <pic:spPr>
                          <a:xfrm>
                            <a:off x="0" y="0"/>
                            <a:ext cx="2686050" cy="942975"/>
                          </a:xfrm>
                          <a:prstGeom prst="rect">
                            <a:avLst/>
                          </a:prstGeom>
                          <a:noFill/>
                          <a:ln>
                            <a:noFill/>
                          </a:ln>
                        </pic:spPr>
                      </pic:pic>
                    </a:graphicData>
                  </a:graphic>
                </wp:inline>
              </w:drawing>
            </w:r>
          </w:p>
          <w:p w14:paraId="76835D28">
            <w:pPr>
              <w:keepNext w:val="0"/>
              <w:keepLines/>
              <w:pageBreakBefore w:val="0"/>
              <w:widowControl/>
              <w:kinsoku/>
              <w:wordWrap/>
              <w:overflowPunct/>
              <w:topLinePunct w:val="0"/>
              <w:autoSpaceDE/>
              <w:autoSpaceDN/>
              <w:bidi w:val="0"/>
              <w:adjustRightInd/>
              <w:snapToGrid/>
              <w:ind w:firstLine="1200" w:firstLineChars="5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式中：</w:t>
            </w:r>
          </w:p>
          <w:p w14:paraId="00694CA5">
            <w:pPr>
              <w:keepNext w:val="0"/>
              <w:keepLines/>
              <w:pageBreakBefore w:val="0"/>
              <w:kinsoku/>
              <w:wordWrap/>
              <w:overflowPunct/>
              <w:topLinePunct w:val="0"/>
              <w:autoSpaceDE/>
              <w:autoSpaceDN/>
              <w:bidi w:val="0"/>
              <w:adjustRightInd/>
              <w:snapToGrid/>
              <w:spacing w:line="360" w:lineRule="auto"/>
              <w:ind w:firstLine="1680" w:firstLineChars="7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Lw—倍频带声功率级，dB；</w:t>
            </w:r>
          </w:p>
          <w:p w14:paraId="618832EC">
            <w:pPr>
              <w:keepNext w:val="0"/>
              <w:keepLines/>
              <w:pageBreakBefore w:val="0"/>
              <w:kinsoku/>
              <w:wordWrap/>
              <w:overflowPunct/>
              <w:topLinePunct w:val="0"/>
              <w:autoSpaceDE/>
              <w:autoSpaceDN/>
              <w:bidi w:val="0"/>
              <w:adjustRightInd/>
              <w:snapToGrid/>
              <w:spacing w:line="360" w:lineRule="auto"/>
              <w:ind w:firstLine="1680" w:firstLineChars="7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Dc—指向性校正，dB，对辐射到自由空间的全向点声源，为0；倍频带衰减，dB；</w:t>
            </w:r>
          </w:p>
          <w:p w14:paraId="09D337F5">
            <w:pPr>
              <w:keepNext w:val="0"/>
              <w:keepLines/>
              <w:pageBreakBefore w:val="0"/>
              <w:kinsoku/>
              <w:wordWrap/>
              <w:overflowPunct/>
              <w:topLinePunct w:val="0"/>
              <w:autoSpaceDE/>
              <w:autoSpaceDN/>
              <w:bidi w:val="0"/>
              <w:adjustRightInd/>
              <w:snapToGrid/>
              <w:spacing w:line="360" w:lineRule="auto"/>
              <w:ind w:firstLine="1680" w:firstLineChars="7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Adiv—几何发散引起的倍频带衰减，dB； </w:t>
            </w:r>
          </w:p>
          <w:p w14:paraId="2D694D34">
            <w:pPr>
              <w:keepNext w:val="0"/>
              <w:keepLines/>
              <w:pageBreakBefore w:val="0"/>
              <w:kinsoku/>
              <w:wordWrap/>
              <w:overflowPunct/>
              <w:topLinePunct w:val="0"/>
              <w:autoSpaceDE/>
              <w:autoSpaceDN/>
              <w:bidi w:val="0"/>
              <w:adjustRightInd/>
              <w:snapToGrid/>
              <w:spacing w:line="360" w:lineRule="auto"/>
              <w:ind w:firstLine="1680" w:firstLineChars="7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Aatm—大气吸收引起的倍频带衰减，dB； </w:t>
            </w:r>
          </w:p>
          <w:p w14:paraId="06B46342">
            <w:pPr>
              <w:keepNext w:val="0"/>
              <w:keepLines/>
              <w:pageBreakBefore w:val="0"/>
              <w:kinsoku/>
              <w:wordWrap/>
              <w:overflowPunct/>
              <w:topLinePunct w:val="0"/>
              <w:autoSpaceDE/>
              <w:autoSpaceDN/>
              <w:bidi w:val="0"/>
              <w:adjustRightInd/>
              <w:snapToGrid/>
              <w:spacing w:line="360" w:lineRule="auto"/>
              <w:ind w:firstLine="1680" w:firstLineChars="7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Agr—地面效应吸收引起的倍频带衰减，dB； </w:t>
            </w:r>
          </w:p>
          <w:p w14:paraId="5A9ACB56">
            <w:pPr>
              <w:keepNext w:val="0"/>
              <w:keepLines/>
              <w:pageBreakBefore w:val="0"/>
              <w:kinsoku/>
              <w:wordWrap/>
              <w:overflowPunct/>
              <w:topLinePunct w:val="0"/>
              <w:autoSpaceDE/>
              <w:autoSpaceDN/>
              <w:bidi w:val="0"/>
              <w:adjustRightInd/>
              <w:snapToGrid/>
              <w:spacing w:line="360" w:lineRule="auto"/>
              <w:ind w:firstLine="1680" w:firstLineChars="7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Abar—声屏障引起的倍频带衰减，dB； </w:t>
            </w:r>
          </w:p>
          <w:p w14:paraId="510AFA38">
            <w:pPr>
              <w:keepNext w:val="0"/>
              <w:keepLines/>
              <w:pageBreakBefore w:val="0"/>
              <w:kinsoku/>
              <w:wordWrap/>
              <w:overflowPunct/>
              <w:topLinePunct w:val="0"/>
              <w:autoSpaceDE/>
              <w:autoSpaceDN/>
              <w:bidi w:val="0"/>
              <w:adjustRightInd/>
              <w:snapToGrid/>
              <w:spacing w:line="360" w:lineRule="auto"/>
              <w:ind w:firstLine="1680" w:firstLineChars="7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Amisc—其他多方面效应引起的倍频带衰减，dB。</w:t>
            </w:r>
          </w:p>
          <w:p w14:paraId="6BA0493E">
            <w:pPr>
              <w:keepNext w:val="0"/>
              <w:keepLines/>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如已知靠近声源处某点的倍频带声压级Lp（r0）时，相同方向预测点位置的倍频带声压级Lp（r）可按公式（2）计算：</w:t>
            </w:r>
          </w:p>
          <w:p w14:paraId="11F774B1">
            <w:pPr>
              <w:keepNext w:val="0"/>
              <w:keepLines/>
              <w:pageBreakBefore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drawing>
                <wp:inline distT="0" distB="0" distL="114300" distR="114300">
                  <wp:extent cx="3733800" cy="295275"/>
                  <wp:effectExtent l="0" t="0" r="0" b="952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6"/>
                          <a:stretch>
                            <a:fillRect/>
                          </a:stretch>
                        </pic:blipFill>
                        <pic:spPr>
                          <a:xfrm>
                            <a:off x="0" y="0"/>
                            <a:ext cx="3733800" cy="295275"/>
                          </a:xfrm>
                          <a:prstGeom prst="rect">
                            <a:avLst/>
                          </a:prstGeom>
                          <a:noFill/>
                          <a:ln>
                            <a:noFill/>
                          </a:ln>
                        </pic:spPr>
                      </pic:pic>
                    </a:graphicData>
                  </a:graphic>
                </wp:inline>
              </w:drawing>
            </w:r>
          </w:p>
          <w:p w14:paraId="3DA9C30A">
            <w:pPr>
              <w:keepNext w:val="0"/>
              <w:keepLines/>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在只考虑几何发散衰减时，可按</w:t>
            </w:r>
            <w:r>
              <w:rPr>
                <w:rFonts w:hint="default" w:ascii="Times New Roman" w:hAnsi="Times New Roman" w:cs="Times New Roman"/>
                <w:color w:val="000000" w:themeColor="text1"/>
                <w:sz w:val="24"/>
                <w:lang w:eastAsia="zh-CN"/>
                <w14:textFill>
                  <w14:solidFill>
                    <w14:schemeClr w14:val="tx1"/>
                  </w14:solidFill>
                </w14:textFill>
              </w:rPr>
              <w:t>下式</w:t>
            </w:r>
            <w:r>
              <w:rPr>
                <w:rFonts w:hint="default" w:ascii="Times New Roman" w:hAnsi="Times New Roman" w:cs="Times New Roman"/>
                <w:color w:val="000000" w:themeColor="text1"/>
                <w:sz w:val="24"/>
                <w14:textFill>
                  <w14:solidFill>
                    <w14:schemeClr w14:val="tx1"/>
                  </w14:solidFill>
                </w14:textFill>
              </w:rPr>
              <w:t xml:space="preserve">做近似计算： </w:t>
            </w:r>
          </w:p>
          <w:p w14:paraId="4364377B">
            <w:pPr>
              <w:keepNext w:val="0"/>
              <w:keepLines/>
              <w:pageBreakBefore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drawing>
                <wp:inline distT="0" distB="0" distL="114300" distR="114300">
                  <wp:extent cx="1476375" cy="361950"/>
                  <wp:effectExtent l="0" t="0" r="9525"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7"/>
                          <a:stretch>
                            <a:fillRect/>
                          </a:stretch>
                        </pic:blipFill>
                        <pic:spPr>
                          <a:xfrm>
                            <a:off x="0" y="0"/>
                            <a:ext cx="1476375" cy="361950"/>
                          </a:xfrm>
                          <a:prstGeom prst="rect">
                            <a:avLst/>
                          </a:prstGeom>
                          <a:noFill/>
                          <a:ln>
                            <a:noFill/>
                          </a:ln>
                        </pic:spPr>
                      </pic:pic>
                    </a:graphicData>
                  </a:graphic>
                </wp:inline>
              </w:drawing>
            </w:r>
          </w:p>
          <w:p w14:paraId="14474DEB">
            <w:pPr>
              <w:keepNext w:val="0"/>
              <w:keepLines/>
              <w:pageBreakBefore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式中： </w:t>
            </w:r>
          </w:p>
          <w:p w14:paraId="276BCACC">
            <w:pPr>
              <w:keepNext w:val="0"/>
              <w:keepLines/>
              <w:pageBreakBefore w:val="0"/>
              <w:kinsoku/>
              <w:wordWrap/>
              <w:overflowPunct/>
              <w:topLinePunct w:val="0"/>
              <w:autoSpaceDE/>
              <w:autoSpaceDN/>
              <w:bidi w:val="0"/>
              <w:adjustRightInd/>
              <w:snapToGrid/>
              <w:spacing w:line="360" w:lineRule="auto"/>
              <w:ind w:firstLine="1680" w:firstLineChars="7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LA（r）—距声源 r 处的 A 声级，dB（A）； </w:t>
            </w:r>
          </w:p>
          <w:p w14:paraId="72DA083A">
            <w:pPr>
              <w:keepNext w:val="0"/>
              <w:keepLines/>
              <w:pageBreakBefore w:val="0"/>
              <w:kinsoku/>
              <w:wordWrap/>
              <w:overflowPunct/>
              <w:topLinePunct w:val="0"/>
              <w:autoSpaceDE/>
              <w:autoSpaceDN/>
              <w:bidi w:val="0"/>
              <w:adjustRightInd/>
              <w:snapToGrid/>
              <w:spacing w:line="360" w:lineRule="auto"/>
              <w:ind w:firstLine="1680" w:firstLineChars="7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LA（r0）—，参考位置 r0 处的 A 声级 dB（A）。 </w:t>
            </w:r>
          </w:p>
          <w:p w14:paraId="0254CF7C">
            <w:pPr>
              <w:keepNext w:val="0"/>
              <w:keepLines/>
              <w:pageBreakBefore w:val="0"/>
              <w:kinsoku/>
              <w:wordWrap/>
              <w:overflowPunct/>
              <w:topLinePunct w:val="0"/>
              <w:autoSpaceDE/>
              <w:autoSpaceDN/>
              <w:bidi w:val="0"/>
              <w:adjustRightInd/>
              <w:snapToGrid/>
              <w:spacing w:line="360" w:lineRule="auto"/>
              <w:ind w:firstLine="1680" w:firstLineChars="7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Adiv—几何发散引起的衰减，dB。 </w:t>
            </w:r>
          </w:p>
          <w:p w14:paraId="4F1F2A70">
            <w:pPr>
              <w:keepNext w:val="0"/>
              <w:keepLines/>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②室内声源等效室外声源声功率级计算方法 </w:t>
            </w:r>
          </w:p>
          <w:p w14:paraId="3FE7CE3C">
            <w:pPr>
              <w:pStyle w:val="62"/>
              <w:keepNext w:val="0"/>
              <w:keepLines w:val="0"/>
              <w:pageBreakBefore w:val="0"/>
              <w:widowControl/>
              <w:tabs>
                <w:tab w:val="bar" w:pos="9540"/>
              </w:tabs>
              <w:kinsoku/>
              <w:wordWrap/>
              <w:overflowPunct/>
              <w:topLinePunct w:val="0"/>
              <w:autoSpaceDE w:val="0"/>
              <w:autoSpaceDN w:val="0"/>
              <w:bidi w:val="0"/>
              <w:adjustRightInd/>
              <w:snapToGrid/>
              <w:spacing w:before="0"/>
              <w:ind w:left="0" w:leftChars="0" w:right="0" w:firstLine="480" w:firstLineChars="200"/>
              <w:jc w:val="left"/>
              <w:textAlignment w:val="baseline"/>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声源位于室内，室内声源可采用等效室外声源声功率级法进行计算。设靠近开口处（或窗户）室内、室外某倍频带的声压级或 A 声级分别为Lp1和Lp2。若声源所在室内声场为近似扩散声场，则室外的倍频带声压级可按式下近似求出。</w:t>
            </w:r>
          </w:p>
          <w:p w14:paraId="00DA49DD">
            <w:pPr>
              <w:keepNext w:val="0"/>
              <w:keepLines/>
              <w:pageBreakBefore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1800225" cy="352425"/>
                  <wp:effectExtent l="0" t="0" r="9525" b="952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8"/>
                          <a:stretch>
                            <a:fillRect/>
                          </a:stretch>
                        </pic:blipFill>
                        <pic:spPr>
                          <a:xfrm>
                            <a:off x="0" y="0"/>
                            <a:ext cx="1800225" cy="352425"/>
                          </a:xfrm>
                          <a:prstGeom prst="rect">
                            <a:avLst/>
                          </a:prstGeom>
                          <a:noFill/>
                          <a:ln>
                            <a:noFill/>
                          </a:ln>
                        </pic:spPr>
                      </pic:pic>
                    </a:graphicData>
                  </a:graphic>
                </wp:inline>
              </w:drawing>
            </w:r>
          </w:p>
          <w:p w14:paraId="402E5ABD">
            <w:pPr>
              <w:pStyle w:val="62"/>
              <w:keepNext w:val="0"/>
              <w:keepLines w:val="0"/>
              <w:pageBreakBefore w:val="0"/>
              <w:widowControl/>
              <w:tabs>
                <w:tab w:val="bar" w:pos="9540"/>
              </w:tabs>
              <w:kinsoku/>
              <w:wordWrap/>
              <w:overflowPunct/>
              <w:topLinePunct w:val="0"/>
              <w:autoSpaceDE w:val="0"/>
              <w:autoSpaceDN w:val="0"/>
              <w:bidi w:val="0"/>
              <w:adjustRightInd/>
              <w:snapToGrid/>
              <w:spacing w:before="0" w:line="360" w:lineRule="auto"/>
              <w:ind w:left="0" w:leftChars="0" w:right="0" w:firstLine="480" w:firstLineChars="200"/>
              <w:jc w:val="left"/>
              <w:textAlignment w:val="baseline"/>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式中：</w:t>
            </w:r>
            <w:r>
              <w:rPr>
                <w:rFonts w:hint="default" w:ascii="Times New Roman" w:hAnsi="Times New Roman" w:eastAsia="宋体" w:cs="Times New Roman"/>
                <w:color w:val="000000" w:themeColor="text1"/>
                <w:sz w:val="24"/>
                <w:lang w:val="en-US" w:eastAsia="zh-CN"/>
                <w14:textFill>
                  <w14:solidFill>
                    <w14:schemeClr w14:val="tx1"/>
                  </w14:solidFill>
                </w14:textFill>
              </w:rPr>
              <w:t>Lp1——靠近开口处（或窗户）室内某倍频带的声压级或 A 声级，dB；</w:t>
            </w:r>
          </w:p>
          <w:p w14:paraId="283C3E6B">
            <w:pPr>
              <w:keepNext w:val="0"/>
              <w:keepLines/>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Lp2——靠近开口处（或窗户）室外某倍频带的声压级或 A 声级，dB；</w:t>
            </w:r>
          </w:p>
          <w:p w14:paraId="0D6A82E5">
            <w:pPr>
              <w:keepNext w:val="0"/>
              <w:keepLines/>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TL—隔墙或窗户倍频带的隔声量，dB。 </w:t>
            </w:r>
          </w:p>
          <w:p w14:paraId="30E24D1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也可按下式计算某一室内声源靠近围护结构处产生的倍频带声压级或A声级</w:t>
            </w:r>
          </w:p>
          <w:p w14:paraId="6ABF1AF5">
            <w:pPr>
              <w:pStyle w:val="145"/>
              <w:keepNext w:val="0"/>
              <w:keepLines/>
              <w:pageBreakBefore w:val="0"/>
              <w:kinsoku/>
              <w:wordWrap/>
              <w:overflowPunct/>
              <w:topLinePunct w:val="0"/>
              <w:autoSpaceDE/>
              <w:autoSpaceDN/>
              <w:bidi w:val="0"/>
              <w:adjustRightInd/>
              <w:snapToGrid/>
              <w:spacing w:before="0" w:beforeLines="0" w:after="0" w:afterLines="0" w:line="360" w:lineRule="auto"/>
              <w:ind w:left="0" w:leftChars="0" w:firstLine="0" w:firstLineChars="0"/>
              <w:jc w:val="center"/>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drawing>
                <wp:inline distT="0" distB="0" distL="114300" distR="114300">
                  <wp:extent cx="3028950" cy="781050"/>
                  <wp:effectExtent l="0" t="0" r="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9"/>
                          <a:stretch>
                            <a:fillRect/>
                          </a:stretch>
                        </pic:blipFill>
                        <pic:spPr>
                          <a:xfrm>
                            <a:off x="0" y="0"/>
                            <a:ext cx="3028950" cy="781050"/>
                          </a:xfrm>
                          <a:prstGeom prst="rect">
                            <a:avLst/>
                          </a:prstGeom>
                          <a:noFill/>
                          <a:ln>
                            <a:noFill/>
                          </a:ln>
                        </pic:spPr>
                      </pic:pic>
                    </a:graphicData>
                  </a:graphic>
                </wp:inline>
              </w:drawing>
            </w:r>
          </w:p>
          <w:p w14:paraId="6242E845">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式中：Lp1——靠近开口处（或窗户）室内某倍频带的声压级或A声级，dB；</w:t>
            </w:r>
          </w:p>
          <w:p w14:paraId="100ADDB8">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Lw——点声源声功率级（A计权或倍频带），dB；</w:t>
            </w:r>
          </w:p>
          <w:p w14:paraId="4B6F4ED4">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Q——指向性因数；通常对无指向性声源，当声源放在房间中心时，Q=1；当放在一面墙的中心时，Q=2；当放在两面墙夹角处时，Q=4；当放在三面墙夹角处时，Q=8；</w:t>
            </w:r>
          </w:p>
          <w:p w14:paraId="08A5012A">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R——房间常数；R=Sα/（1-α），S为房间内表面面积，m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；α为平均吸声系数；根据资料，彩钢瓦吸声系数为0.1。本项目生产设备均布置于生产车间内，生产车间表面积</w:t>
            </w:r>
            <w:r>
              <w:rPr>
                <w:rFonts w:hint="default" w:ascii="Times New Roman" w:hAnsi="Times New Roman" w:cs="Times New Roman"/>
                <w:color w:val="000000" w:themeColor="text1"/>
                <w:sz w:val="24"/>
                <w:lang w:val="en-US" w:eastAsia="zh-CN"/>
                <w14:textFill>
                  <w14:solidFill>
                    <w14:schemeClr w14:val="tx1"/>
                  </w14:solidFill>
                </w14:textFill>
              </w:rPr>
              <w:t>约22</w:t>
            </w:r>
            <w:r>
              <w:rPr>
                <w:rFonts w:hint="default" w:ascii="Times New Roman" w:hAnsi="Times New Roman" w:eastAsia="宋体" w:cs="Times New Roman"/>
                <w:color w:val="000000" w:themeColor="text1"/>
                <w:sz w:val="24"/>
                <w:lang w:val="en-US" w:eastAsia="zh-CN"/>
                <w14:textFill>
                  <w14:solidFill>
                    <w14:schemeClr w14:val="tx1"/>
                  </w14:solidFill>
                </w14:textFill>
              </w:rPr>
              <w:t>00m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计</w:t>
            </w:r>
            <w:r>
              <w:rPr>
                <w:rFonts w:hint="default" w:ascii="Times New Roman" w:hAnsi="Times New Roman" w:cs="Times New Roman"/>
                <w:color w:val="000000" w:themeColor="text1"/>
                <w:sz w:val="24"/>
                <w:lang w:val="en-US" w:eastAsia="zh-CN"/>
                <w14:textFill>
                  <w14:solidFill>
                    <w14:schemeClr w14:val="tx1"/>
                  </w14:solidFill>
                </w14:textFill>
              </w:rPr>
              <w:t>（生产车间周长约220m，高约10m）</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680AF62A">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r——声源到靠近围护结构某点处的距离，m。</w:t>
            </w:r>
          </w:p>
          <w:p w14:paraId="43329C7D">
            <w:pPr>
              <w:keepNext w:val="0"/>
              <w:keepLines/>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③噪声贡献值计算</w:t>
            </w:r>
          </w:p>
          <w:p w14:paraId="519DE633">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设第i个室外声源在预测点产生的A声级为LAi，在T时间内该声源工作时间为ti；第j个等效室外声源在预测点产生的A声级为LAj，在T时间内该声源工作时间为tj；则拟建工程声源对预测点产生的贡献值为（Leqg）： </w:t>
            </w:r>
          </w:p>
          <w:p w14:paraId="27C8E1AE">
            <w:pPr>
              <w:keepNext w:val="0"/>
              <w:keepLines/>
              <w:pageBreakBefore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3257550" cy="704850"/>
                  <wp:effectExtent l="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30"/>
                          <a:stretch>
                            <a:fillRect/>
                          </a:stretch>
                        </pic:blipFill>
                        <pic:spPr>
                          <a:xfrm>
                            <a:off x="0" y="0"/>
                            <a:ext cx="3257550" cy="704850"/>
                          </a:xfrm>
                          <a:prstGeom prst="rect">
                            <a:avLst/>
                          </a:prstGeom>
                          <a:noFill/>
                          <a:ln>
                            <a:noFill/>
                          </a:ln>
                        </pic:spPr>
                      </pic:pic>
                    </a:graphicData>
                  </a:graphic>
                </wp:inline>
              </w:drawing>
            </w:r>
          </w:p>
          <w:p w14:paraId="39213F6C">
            <w:pPr>
              <w:pStyle w:val="32"/>
              <w:keepNext w:val="0"/>
              <w:keepLines/>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式中： </w:t>
            </w:r>
          </w:p>
          <w:p w14:paraId="3DBD2F51">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tj—在 T 时间内 j 声源工作时间，s；ti—在 T 时间内 i 声源工作时间，s； </w:t>
            </w:r>
          </w:p>
          <w:p w14:paraId="65F45D3A">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T—用于计算等效声级的时间，s； </w:t>
            </w:r>
          </w:p>
          <w:p w14:paraId="04C7C61E">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N—室外声源个数；</w:t>
            </w:r>
          </w:p>
          <w:p w14:paraId="1F1EF7F3">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M—等效室外声源个数。 </w:t>
            </w:r>
          </w:p>
          <w:p w14:paraId="2CFC29DF">
            <w:pPr>
              <w:pStyle w:val="62"/>
              <w:tabs>
                <w:tab w:val="bar" w:pos="9540"/>
              </w:tabs>
              <w:snapToGrid w:val="0"/>
              <w:ind w:firstLine="482" w:firstLineChars="200"/>
              <w:jc w:val="left"/>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sz w:val="24"/>
                <w:szCs w:val="24"/>
                <w:lang w:eastAsia="zh-CN"/>
                <w14:textFill>
                  <w14:solidFill>
                    <w14:schemeClr w14:val="tx1"/>
                  </w14:solidFill>
                </w14:textFill>
              </w:rPr>
              <w:t>④</w:t>
            </w:r>
            <w:r>
              <w:rPr>
                <w:rFonts w:hint="default" w:ascii="Times New Roman" w:hAnsi="Times New Roman" w:cs="Times New Roman"/>
                <w:b/>
                <w:bCs/>
                <w:color w:val="000000" w:themeColor="text1"/>
                <w14:textFill>
                  <w14:solidFill>
                    <w14:schemeClr w14:val="tx1"/>
                  </w14:solidFill>
                </w14:textFill>
              </w:rPr>
              <w:t>声源的几何发散衰减公式：</w:t>
            </w:r>
          </w:p>
          <w:p w14:paraId="655684D9">
            <w:pPr>
              <w:pStyle w:val="18"/>
              <w:spacing w:after="0" w:line="360" w:lineRule="auto"/>
              <w:ind w:left="0" w:leftChars="0" w:right="0" w:right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A</w:t>
            </w:r>
            <w:r>
              <w:rPr>
                <w:rFonts w:hint="default" w:ascii="Times New Roman" w:hAnsi="Times New Roman" w:cs="Times New Roman"/>
                <w:color w:val="000000" w:themeColor="text1"/>
                <w:sz w:val="24"/>
                <w:vertAlign w:val="subscript"/>
                <w14:textFill>
                  <w14:solidFill>
                    <w14:schemeClr w14:val="tx1"/>
                  </w14:solidFill>
                </w14:textFill>
              </w:rPr>
              <w:t>div</w:t>
            </w:r>
            <w:r>
              <w:rPr>
                <w:rFonts w:hint="default" w:ascii="Times New Roman" w:hAnsi="Times New Roman" w:cs="Times New Roman"/>
                <w:color w:val="000000" w:themeColor="text1"/>
                <w:sz w:val="24"/>
                <w14:textFill>
                  <w14:solidFill>
                    <w14:schemeClr w14:val="tx1"/>
                  </w14:solidFill>
                </w14:textFill>
              </w:rPr>
              <w:t>=20lg（r/r</w:t>
            </w:r>
            <w:r>
              <w:rPr>
                <w:rFonts w:hint="default" w:ascii="Times New Roman" w:hAnsi="Times New Roman" w:cs="Times New Roman"/>
                <w:color w:val="000000" w:themeColor="text1"/>
                <w:sz w:val="24"/>
                <w:vertAlign w:val="subscript"/>
                <w14:textFill>
                  <w14:solidFill>
                    <w14:schemeClr w14:val="tx1"/>
                  </w14:solidFill>
                </w14:textFill>
              </w:rPr>
              <w:t>0</w:t>
            </w:r>
            <w:r>
              <w:rPr>
                <w:rFonts w:hint="default" w:ascii="Times New Roman" w:hAnsi="Times New Roman" w:cs="Times New Roman"/>
                <w:color w:val="000000" w:themeColor="text1"/>
                <w:sz w:val="24"/>
                <w14:textFill>
                  <w14:solidFill>
                    <w14:schemeClr w14:val="tx1"/>
                  </w14:solidFill>
                </w14:textFill>
              </w:rPr>
              <w:t>）</w:t>
            </w:r>
          </w:p>
          <w:p w14:paraId="38808868">
            <w:pPr>
              <w:pStyle w:val="18"/>
              <w:adjustRightInd w:val="0"/>
              <w:snapToGrid w:val="0"/>
              <w:spacing w:after="0" w:line="360" w:lineRule="auto"/>
              <w:ind w:left="0" w:leftChars="0" w:right="0" w:rightChars="0"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式中：A</w:t>
            </w:r>
            <w:r>
              <w:rPr>
                <w:rFonts w:hint="default" w:ascii="Times New Roman" w:hAnsi="Times New Roman" w:cs="Times New Roman"/>
                <w:color w:val="000000" w:themeColor="text1"/>
                <w:sz w:val="24"/>
                <w:vertAlign w:val="subscript"/>
                <w14:textFill>
                  <w14:solidFill>
                    <w14:schemeClr w14:val="tx1"/>
                  </w14:solidFill>
                </w14:textFill>
              </w:rPr>
              <w:t>div</w:t>
            </w:r>
            <w:r>
              <w:rPr>
                <w:rFonts w:hint="default" w:ascii="Times New Roman" w:hAnsi="Times New Roman" w:cs="Times New Roman"/>
                <w:color w:val="000000" w:themeColor="text1"/>
                <w:sz w:val="24"/>
                <w14:textFill>
                  <w14:solidFill>
                    <w14:schemeClr w14:val="tx1"/>
                  </w14:solidFill>
                </w14:textFill>
              </w:rPr>
              <w:t>——几何发散引起的衰减，dB；</w:t>
            </w:r>
          </w:p>
          <w:p w14:paraId="0C8DE087">
            <w:pPr>
              <w:pStyle w:val="62"/>
              <w:tabs>
                <w:tab w:val="bar" w:pos="9540"/>
              </w:tabs>
              <w:snapToGrid w:val="0"/>
              <w:ind w:firstLine="1200" w:firstLineChars="5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r——预测点距声源的距离；</w:t>
            </w:r>
          </w:p>
          <w:p w14:paraId="05365C0F">
            <w:pPr>
              <w:pStyle w:val="62"/>
              <w:tabs>
                <w:tab w:val="bar" w:pos="9540"/>
              </w:tabs>
              <w:snapToGrid w:val="0"/>
              <w:ind w:firstLine="1200" w:firstLineChars="5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r</w:t>
            </w:r>
            <w:r>
              <w:rPr>
                <w:rFonts w:hint="default" w:ascii="Times New Roman" w:hAnsi="Times New Roman" w:cs="Times New Roman"/>
                <w:color w:val="000000" w:themeColor="text1"/>
                <w:sz w:val="24"/>
                <w:vertAlign w:val="subscript"/>
                <w14:textFill>
                  <w14:solidFill>
                    <w14:schemeClr w14:val="tx1"/>
                  </w14:solidFill>
                </w14:textFill>
              </w:rPr>
              <w:t>0</w:t>
            </w:r>
            <w:r>
              <w:rPr>
                <w:rFonts w:hint="default" w:ascii="Times New Roman" w:hAnsi="Times New Roman" w:cs="Times New Roman"/>
                <w:color w:val="000000" w:themeColor="text1"/>
                <w:sz w:val="24"/>
                <w14:textFill>
                  <w14:solidFill>
                    <w14:schemeClr w14:val="tx1"/>
                  </w14:solidFill>
                </w14:textFill>
              </w:rPr>
              <w:t>——参考位置距声源的距离；</w:t>
            </w:r>
          </w:p>
          <w:p w14:paraId="5C7B3076">
            <w:pPr>
              <w:pStyle w:val="145"/>
              <w:keepLines/>
              <w:adjustRightInd/>
              <w:snapToGrid/>
              <w:spacing w:beforeLines="0" w:after="0" w:line="360" w:lineRule="auto"/>
              <w:ind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2）</w:t>
            </w:r>
            <w:r>
              <w:rPr>
                <w:rFonts w:hint="default" w:ascii="Times New Roman" w:hAnsi="Times New Roman" w:cs="Times New Roman"/>
                <w:b/>
                <w:bCs/>
                <w:color w:val="000000" w:themeColor="text1"/>
                <w:szCs w:val="24"/>
                <w14:textFill>
                  <w14:solidFill>
                    <w14:schemeClr w14:val="tx1"/>
                  </w14:solidFill>
                </w14:textFill>
              </w:rPr>
              <w:t>本项目</w:t>
            </w:r>
            <w:r>
              <w:rPr>
                <w:rFonts w:hint="default" w:ascii="Times New Roman" w:hAnsi="Times New Roman" w:cs="Times New Roman"/>
                <w:b/>
                <w:bCs/>
                <w:color w:val="000000" w:themeColor="text1"/>
                <w14:textFill>
                  <w14:solidFill>
                    <w14:schemeClr w14:val="tx1"/>
                  </w14:solidFill>
                </w14:textFill>
              </w:rPr>
              <w:t>厂界预测结果及评价</w:t>
            </w:r>
          </w:p>
          <w:p w14:paraId="52850C98">
            <w:pPr>
              <w:keepLine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本次环评中为了更准确、快速地进行噪声预测分析，采用了石家庄环安科技有限公司开发的NoiseSystemV4.0噪声预测评价软件。坐标原点为厂区边界西南处，原点以东方向为X轴正方向，原点以北方向为Y轴正方向。</w:t>
            </w:r>
          </w:p>
          <w:p w14:paraId="607FEACE">
            <w:pPr>
              <w:keepLines/>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本项目采取一班制，每班8小时，本次预测昼间生产运行时噪声贡献值。</w:t>
            </w:r>
          </w:p>
          <w:p w14:paraId="2BE588EA">
            <w:pPr>
              <w:keepLines/>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预测结果如下。</w:t>
            </w:r>
          </w:p>
          <w:p w14:paraId="03E558E0">
            <w:pPr>
              <w:keepLines/>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表4-</w:t>
            </w:r>
            <w:r>
              <w:rPr>
                <w:rFonts w:hint="default" w:ascii="Times New Roman" w:hAnsi="Times New Roman" w:cs="Times New Roman"/>
                <w:b/>
                <w:bCs/>
                <w:color w:val="000000" w:themeColor="text1"/>
                <w:szCs w:val="21"/>
                <w:lang w:val="en-US" w:eastAsia="zh-CN"/>
                <w14:textFill>
                  <w14:solidFill>
                    <w14:schemeClr w14:val="tx1"/>
                  </w14:solidFill>
                </w14:textFill>
              </w:rPr>
              <w:t>13</w:t>
            </w:r>
            <w:r>
              <w:rPr>
                <w:rFonts w:hint="default" w:ascii="Times New Roman" w:hAnsi="Times New Roman" w:cs="Times New Roman"/>
                <w:b/>
                <w:bCs/>
                <w:color w:val="000000" w:themeColor="text1"/>
                <w:szCs w:val="21"/>
                <w14:textFill>
                  <w14:solidFill>
                    <w14:schemeClr w14:val="tx1"/>
                  </w14:solidFill>
                </w14:textFill>
              </w:rPr>
              <w:t>厂界噪声贡献值一览表单位：dB（A）</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2"/>
              <w:gridCol w:w="1856"/>
              <w:gridCol w:w="1717"/>
              <w:gridCol w:w="1312"/>
            </w:tblGrid>
            <w:tr w14:paraId="167A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972" w:type="pct"/>
                  <w:vMerge w:val="restart"/>
                  <w:noWrap w:val="0"/>
                  <w:vAlign w:val="center"/>
                </w:tcPr>
                <w:p w14:paraId="7AFAC0A2">
                  <w:pPr>
                    <w:keepLines/>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预测点</w:t>
                  </w:r>
                </w:p>
              </w:tc>
              <w:tc>
                <w:tcPr>
                  <w:tcW w:w="1150" w:type="pct"/>
                  <w:vMerge w:val="restart"/>
                  <w:noWrap w:val="0"/>
                  <w:vAlign w:val="center"/>
                </w:tcPr>
                <w:p w14:paraId="503988E8">
                  <w:pPr>
                    <w:keepLines/>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贡献值</w:t>
                  </w:r>
                </w:p>
              </w:tc>
              <w:tc>
                <w:tcPr>
                  <w:tcW w:w="1064" w:type="pct"/>
                  <w:noWrap w:val="0"/>
                  <w:vAlign w:val="center"/>
                </w:tcPr>
                <w:p w14:paraId="7B38C0A5">
                  <w:pPr>
                    <w:keepLines/>
                    <w:jc w:val="center"/>
                    <w:rPr>
                      <w:rFonts w:hint="default" w:ascii="Times New Roman" w:hAnsi="Times New Roman" w:eastAsia="宋体" w:cs="Times New Roman"/>
                      <w:b/>
                      <w:bCs/>
                      <w:color w:val="000000" w:themeColor="text1"/>
                      <w:szCs w:val="21"/>
                      <w:lang w:eastAsia="zh-CN"/>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GB12348-2008</w:t>
                  </w:r>
                </w:p>
              </w:tc>
              <w:tc>
                <w:tcPr>
                  <w:tcW w:w="813" w:type="pct"/>
                  <w:vMerge w:val="restart"/>
                  <w:noWrap w:val="0"/>
                  <w:vAlign w:val="center"/>
                </w:tcPr>
                <w:p w14:paraId="4EF9232B">
                  <w:pPr>
                    <w:keepLines/>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达标分析</w:t>
                  </w:r>
                </w:p>
              </w:tc>
            </w:tr>
            <w:tr w14:paraId="496FA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972" w:type="pct"/>
                  <w:vMerge w:val="continue"/>
                  <w:noWrap w:val="0"/>
                  <w:vAlign w:val="center"/>
                </w:tcPr>
                <w:p w14:paraId="66B34140">
                  <w:pPr>
                    <w:keepLines/>
                    <w:jc w:val="center"/>
                    <w:rPr>
                      <w:rFonts w:hint="default" w:ascii="Times New Roman" w:hAnsi="Times New Roman" w:cs="Times New Roman"/>
                      <w:color w:val="000000" w:themeColor="text1"/>
                      <w14:textFill>
                        <w14:solidFill>
                          <w14:schemeClr w14:val="tx1"/>
                        </w14:solidFill>
                      </w14:textFill>
                    </w:rPr>
                  </w:pPr>
                </w:p>
              </w:tc>
              <w:tc>
                <w:tcPr>
                  <w:tcW w:w="1150" w:type="pct"/>
                  <w:vMerge w:val="continue"/>
                  <w:noWrap w:val="0"/>
                  <w:vAlign w:val="center"/>
                </w:tcPr>
                <w:p w14:paraId="3E780999">
                  <w:pPr>
                    <w:keepLines/>
                    <w:jc w:val="center"/>
                    <w:rPr>
                      <w:rFonts w:hint="default" w:ascii="Times New Roman" w:hAnsi="Times New Roman" w:cs="Times New Roman"/>
                      <w:color w:val="000000" w:themeColor="text1"/>
                      <w14:textFill>
                        <w14:solidFill>
                          <w14:schemeClr w14:val="tx1"/>
                        </w14:solidFill>
                      </w14:textFill>
                    </w:rPr>
                  </w:pPr>
                </w:p>
              </w:tc>
              <w:tc>
                <w:tcPr>
                  <w:tcW w:w="1064" w:type="pct"/>
                  <w:noWrap w:val="0"/>
                  <w:vAlign w:val="center"/>
                </w:tcPr>
                <w:p w14:paraId="11AECCE7">
                  <w:pPr>
                    <w:keepLines/>
                    <w:jc w:val="center"/>
                    <w:rPr>
                      <w:rFonts w:hint="default" w:ascii="Times New Roman" w:hAnsi="Times New Roman" w:eastAsia="宋体" w:cs="Times New Roman"/>
                      <w:b/>
                      <w:bCs/>
                      <w:color w:val="000000" w:themeColor="text1"/>
                      <w:szCs w:val="21"/>
                      <w:lang w:eastAsia="zh-CN"/>
                      <w14:textFill>
                        <w14:solidFill>
                          <w14:schemeClr w14:val="tx1"/>
                        </w14:solidFill>
                      </w14:textFill>
                    </w:rPr>
                  </w:pPr>
                  <w:r>
                    <w:rPr>
                      <w:rFonts w:hint="default" w:ascii="Times New Roman" w:hAnsi="Times New Roman" w:eastAsia="宋体" w:cs="Times New Roman"/>
                      <w:b/>
                      <w:bCs/>
                      <w:color w:val="000000" w:themeColor="text1"/>
                      <w:szCs w:val="21"/>
                      <w:lang w:eastAsia="zh-CN"/>
                      <w14:textFill>
                        <w14:solidFill>
                          <w14:schemeClr w14:val="tx1"/>
                        </w14:solidFill>
                      </w14:textFill>
                    </w:rPr>
                    <w:t>昼间</w:t>
                  </w:r>
                </w:p>
              </w:tc>
              <w:tc>
                <w:tcPr>
                  <w:tcW w:w="813" w:type="pct"/>
                  <w:vMerge w:val="continue"/>
                  <w:noWrap w:val="0"/>
                  <w:vAlign w:val="center"/>
                </w:tcPr>
                <w:p w14:paraId="5A841982">
                  <w:pPr>
                    <w:keepLines/>
                    <w:jc w:val="center"/>
                    <w:rPr>
                      <w:rFonts w:hint="default" w:ascii="Times New Roman" w:hAnsi="Times New Roman" w:cs="Times New Roman"/>
                      <w:b/>
                      <w:bCs/>
                      <w:color w:val="000000" w:themeColor="text1"/>
                      <w:szCs w:val="21"/>
                      <w14:textFill>
                        <w14:solidFill>
                          <w14:schemeClr w14:val="tx1"/>
                        </w14:solidFill>
                      </w14:textFill>
                    </w:rPr>
                  </w:pPr>
                </w:p>
              </w:tc>
            </w:tr>
            <w:tr w14:paraId="76676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2" w:type="pct"/>
                  <w:noWrap w:val="0"/>
                  <w:vAlign w:val="center"/>
                </w:tcPr>
                <w:p w14:paraId="230BBFAB">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东侧边界</w:t>
                  </w:r>
                </w:p>
              </w:tc>
              <w:tc>
                <w:tcPr>
                  <w:tcW w:w="1150" w:type="pct"/>
                  <w:noWrap w:val="0"/>
                  <w:vAlign w:val="center"/>
                </w:tcPr>
                <w:p w14:paraId="0D69649C">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56.42</w:t>
                  </w:r>
                </w:p>
              </w:tc>
              <w:tc>
                <w:tcPr>
                  <w:tcW w:w="1064" w:type="pct"/>
                  <w:vMerge w:val="restart"/>
                  <w:noWrap w:val="0"/>
                  <w:vAlign w:val="center"/>
                </w:tcPr>
                <w:p w14:paraId="2C28BF27">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65</w:t>
                  </w:r>
                </w:p>
              </w:tc>
              <w:tc>
                <w:tcPr>
                  <w:tcW w:w="813" w:type="pct"/>
                  <w:noWrap w:val="0"/>
                  <w:vAlign w:val="center"/>
                </w:tcPr>
                <w:p w14:paraId="30A966DE">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5B115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2" w:type="pct"/>
                  <w:noWrap w:val="0"/>
                  <w:vAlign w:val="center"/>
                </w:tcPr>
                <w:p w14:paraId="0A99475A">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南侧边界</w:t>
                  </w:r>
                </w:p>
              </w:tc>
              <w:tc>
                <w:tcPr>
                  <w:tcW w:w="1150" w:type="pct"/>
                  <w:noWrap w:val="0"/>
                  <w:vAlign w:val="center"/>
                </w:tcPr>
                <w:p w14:paraId="7AE9573F">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56.81</w:t>
                  </w:r>
                </w:p>
              </w:tc>
              <w:tc>
                <w:tcPr>
                  <w:tcW w:w="1064" w:type="pct"/>
                  <w:vMerge w:val="continue"/>
                  <w:noWrap w:val="0"/>
                  <w:vAlign w:val="center"/>
                </w:tcPr>
                <w:p w14:paraId="2D191DEA">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813" w:type="pct"/>
                  <w:noWrap w:val="0"/>
                  <w:vAlign w:val="center"/>
                </w:tcPr>
                <w:p w14:paraId="69B309BC">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01986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2" w:type="pct"/>
                  <w:noWrap w:val="0"/>
                  <w:vAlign w:val="center"/>
                </w:tcPr>
                <w:p w14:paraId="196600C5">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西侧边界</w:t>
                  </w:r>
                </w:p>
              </w:tc>
              <w:tc>
                <w:tcPr>
                  <w:tcW w:w="1150" w:type="pct"/>
                  <w:noWrap w:val="0"/>
                  <w:vAlign w:val="center"/>
                </w:tcPr>
                <w:p w14:paraId="69943816">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55.98</w:t>
                  </w:r>
                </w:p>
              </w:tc>
              <w:tc>
                <w:tcPr>
                  <w:tcW w:w="1064" w:type="pct"/>
                  <w:vMerge w:val="continue"/>
                  <w:noWrap w:val="0"/>
                  <w:vAlign w:val="center"/>
                </w:tcPr>
                <w:p w14:paraId="64E545B3">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813" w:type="pct"/>
                  <w:noWrap w:val="0"/>
                  <w:vAlign w:val="center"/>
                </w:tcPr>
                <w:p w14:paraId="309387C0">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42288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2" w:type="pct"/>
                  <w:noWrap w:val="0"/>
                  <w:vAlign w:val="center"/>
                </w:tcPr>
                <w:p w14:paraId="23EE1BE3">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北侧边界</w:t>
                  </w:r>
                </w:p>
              </w:tc>
              <w:tc>
                <w:tcPr>
                  <w:tcW w:w="1150" w:type="pct"/>
                  <w:noWrap w:val="0"/>
                  <w:vAlign w:val="center"/>
                </w:tcPr>
                <w:p w14:paraId="51988E94">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56.8</w:t>
                  </w:r>
                </w:p>
              </w:tc>
              <w:tc>
                <w:tcPr>
                  <w:tcW w:w="1064" w:type="pct"/>
                  <w:vMerge w:val="continue"/>
                  <w:noWrap w:val="0"/>
                  <w:vAlign w:val="center"/>
                </w:tcPr>
                <w:p w14:paraId="75030156">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813" w:type="pct"/>
                  <w:noWrap w:val="0"/>
                  <w:vAlign w:val="center"/>
                </w:tcPr>
                <w:p w14:paraId="578E55A7">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bl>
          <w:p w14:paraId="21C643BA">
            <w:pPr>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4400550" cy="4013200"/>
                  <wp:effectExtent l="19050" t="19050" r="19050" b="2540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1"/>
                          <a:stretch>
                            <a:fillRect/>
                          </a:stretch>
                        </pic:blipFill>
                        <pic:spPr>
                          <a:xfrm>
                            <a:off x="0" y="0"/>
                            <a:ext cx="4400550" cy="4013200"/>
                          </a:xfrm>
                          <a:prstGeom prst="rect">
                            <a:avLst/>
                          </a:prstGeom>
                          <a:noFill/>
                          <a:ln w="19050">
                            <a:solidFill>
                              <a:schemeClr val="tx1"/>
                            </a:solidFill>
                          </a:ln>
                        </pic:spPr>
                      </pic:pic>
                    </a:graphicData>
                  </a:graphic>
                </wp:inline>
              </w:drawing>
            </w:r>
          </w:p>
          <w:p w14:paraId="5DAA5FBD">
            <w:pPr>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Cs w:val="21"/>
                <w:lang w:val="en-US" w:eastAsia="zh-CN"/>
                <w14:textFill>
                  <w14:solidFill>
                    <w14:schemeClr w14:val="tx1"/>
                  </w14:solidFill>
                </w14:textFill>
              </w:rPr>
              <w:t>图4</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w:t>
            </w:r>
            <w:r>
              <w:rPr>
                <w:rFonts w:hint="eastAsia" w:ascii="Times New Roman" w:hAnsi="Times New Roman" w:cs="Times New Roman"/>
                <w:b/>
                <w:bCs/>
                <w:color w:val="000000" w:themeColor="text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Cs w:val="21"/>
                <w:lang w:val="en-US" w:eastAsia="zh-CN"/>
                <w14:textFill>
                  <w14:solidFill>
                    <w14:schemeClr w14:val="tx1"/>
                  </w14:solidFill>
                </w14:textFill>
              </w:rPr>
              <w:t xml:space="preserve"> 噪声预测图  设备序号同表4-1</w:t>
            </w:r>
            <w:r>
              <w:rPr>
                <w:rFonts w:hint="default" w:ascii="Times New Roman" w:hAnsi="Times New Roman" w:cs="Times New Roman"/>
                <w:b/>
                <w:bCs/>
                <w:color w:val="000000" w:themeColor="text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Cs w:val="21"/>
                <w:lang w:val="en-US" w:eastAsia="zh-CN"/>
                <w14:textFill>
                  <w14:solidFill>
                    <w14:schemeClr w14:val="tx1"/>
                  </w14:solidFill>
                </w14:textFill>
              </w:rPr>
              <w:t>一致</w:t>
            </w:r>
          </w:p>
          <w:p w14:paraId="7134C4D9">
            <w:pPr>
              <w:pStyle w:val="31"/>
              <w:snapToGrid/>
              <w:spacing w:before="0" w:after="0" w:line="240" w:lineRule="auto"/>
              <w:ind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4249420" cy="848360"/>
                  <wp:effectExtent l="0" t="0" r="17780" b="889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32"/>
                          <a:stretch>
                            <a:fillRect/>
                          </a:stretch>
                        </pic:blipFill>
                        <pic:spPr>
                          <a:xfrm>
                            <a:off x="0" y="0"/>
                            <a:ext cx="4249420" cy="848360"/>
                          </a:xfrm>
                          <a:prstGeom prst="rect">
                            <a:avLst/>
                          </a:prstGeom>
                          <a:noFill/>
                          <a:ln>
                            <a:noFill/>
                          </a:ln>
                        </pic:spPr>
                      </pic:pic>
                    </a:graphicData>
                  </a:graphic>
                </wp:inline>
              </w:drawing>
            </w:r>
          </w:p>
          <w:p w14:paraId="2FEBE14D">
            <w:pPr>
              <w:pStyle w:val="31"/>
              <w:snapToGrid/>
              <w:spacing w:before="0" w:after="0" w:line="240" w:lineRule="auto"/>
              <w:ind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图4-</w:t>
            </w:r>
            <w:r>
              <w:rPr>
                <w:rFonts w:hint="eastAsia" w:ascii="Times New Roman" w:hAnsi="Times New Roman" w:cs="Times New Roman"/>
                <w:b/>
                <w:bCs/>
                <w:color w:val="000000" w:themeColor="text1"/>
                <w:sz w:val="21"/>
                <w:szCs w:val="21"/>
                <w:lang w:val="en-US" w:eastAsia="zh-CN"/>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厂界东侧预测结果趋势图</w:t>
            </w:r>
          </w:p>
          <w:p w14:paraId="02C93BE2">
            <w:pPr>
              <w:pStyle w:val="31"/>
              <w:snapToGrid/>
              <w:spacing w:before="0" w:after="0" w:line="240" w:lineRule="auto"/>
              <w:ind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4182110" cy="801370"/>
                  <wp:effectExtent l="0" t="0" r="8890" b="1778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33"/>
                          <a:stretch>
                            <a:fillRect/>
                          </a:stretch>
                        </pic:blipFill>
                        <pic:spPr>
                          <a:xfrm>
                            <a:off x="0" y="0"/>
                            <a:ext cx="4182110" cy="801370"/>
                          </a:xfrm>
                          <a:prstGeom prst="rect">
                            <a:avLst/>
                          </a:prstGeom>
                          <a:noFill/>
                          <a:ln>
                            <a:noFill/>
                          </a:ln>
                        </pic:spPr>
                      </pic:pic>
                    </a:graphicData>
                  </a:graphic>
                </wp:inline>
              </w:drawing>
            </w:r>
          </w:p>
          <w:p w14:paraId="2D7BBB1A">
            <w:pPr>
              <w:pStyle w:val="31"/>
              <w:snapToGrid/>
              <w:spacing w:before="0" w:after="0" w:line="240" w:lineRule="auto"/>
              <w:ind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图4-</w:t>
            </w:r>
            <w:r>
              <w:rPr>
                <w:rFonts w:hint="eastAsia" w:ascii="Times New Roman" w:hAnsi="Times New Roman" w:cs="Times New Roman"/>
                <w:b/>
                <w:bCs/>
                <w:color w:val="000000" w:themeColor="text1"/>
                <w:sz w:val="21"/>
                <w:szCs w:val="21"/>
                <w:lang w:val="en-US" w:eastAsia="zh-CN"/>
                <w14:textFill>
                  <w14:solidFill>
                    <w14:schemeClr w14:val="tx1"/>
                  </w14:solidFill>
                </w14:textFill>
              </w:rPr>
              <w:t>4</w:t>
            </w: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14:textFill>
                  <w14:solidFill>
                    <w14:schemeClr w14:val="tx1"/>
                  </w14:solidFill>
                </w14:textFill>
              </w:rPr>
              <w:t>厂界北侧预测结果趋势图</w:t>
            </w:r>
          </w:p>
          <w:p w14:paraId="61DE6DAC">
            <w:pPr>
              <w:pStyle w:val="31"/>
              <w:snapToGrid/>
              <w:spacing w:before="0" w:after="0" w:line="240" w:lineRule="auto"/>
              <w:ind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4145915" cy="782955"/>
                  <wp:effectExtent l="0" t="0" r="6985" b="1714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34"/>
                          <a:stretch>
                            <a:fillRect/>
                          </a:stretch>
                        </pic:blipFill>
                        <pic:spPr>
                          <a:xfrm>
                            <a:off x="0" y="0"/>
                            <a:ext cx="4145915" cy="782955"/>
                          </a:xfrm>
                          <a:prstGeom prst="rect">
                            <a:avLst/>
                          </a:prstGeom>
                          <a:noFill/>
                          <a:ln>
                            <a:noFill/>
                          </a:ln>
                        </pic:spPr>
                      </pic:pic>
                    </a:graphicData>
                  </a:graphic>
                </wp:inline>
              </w:drawing>
            </w:r>
          </w:p>
          <w:p w14:paraId="718C4806">
            <w:pPr>
              <w:pStyle w:val="31"/>
              <w:snapToGrid/>
              <w:spacing w:before="0" w:after="0" w:line="240" w:lineRule="auto"/>
              <w:ind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图4-</w:t>
            </w:r>
            <w:r>
              <w:rPr>
                <w:rFonts w:hint="eastAsia" w:ascii="Times New Roman" w:hAnsi="Times New Roman" w:cs="Times New Roman"/>
                <w:b/>
                <w:bCs/>
                <w:color w:val="000000" w:themeColor="text1"/>
                <w:sz w:val="21"/>
                <w:szCs w:val="21"/>
                <w:lang w:val="en-US" w:eastAsia="zh-CN"/>
                <w14:textFill>
                  <w14:solidFill>
                    <w14:schemeClr w14:val="tx1"/>
                  </w14:solidFill>
                </w14:textFill>
              </w:rPr>
              <w:t>5</w:t>
            </w: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14:textFill>
                  <w14:solidFill>
                    <w14:schemeClr w14:val="tx1"/>
                  </w14:solidFill>
                </w14:textFill>
              </w:rPr>
              <w:t>厂界南侧预测结果趋势图</w:t>
            </w:r>
          </w:p>
          <w:p w14:paraId="5B8A72E6">
            <w:pPr>
              <w:pStyle w:val="31"/>
              <w:snapToGrid/>
              <w:spacing w:before="0" w:after="0" w:line="240" w:lineRule="auto"/>
              <w:ind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4277995" cy="788035"/>
                  <wp:effectExtent l="0" t="0" r="8255" b="1206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35"/>
                          <a:stretch>
                            <a:fillRect/>
                          </a:stretch>
                        </pic:blipFill>
                        <pic:spPr>
                          <a:xfrm>
                            <a:off x="0" y="0"/>
                            <a:ext cx="4277995" cy="788035"/>
                          </a:xfrm>
                          <a:prstGeom prst="rect">
                            <a:avLst/>
                          </a:prstGeom>
                          <a:noFill/>
                          <a:ln>
                            <a:noFill/>
                          </a:ln>
                        </pic:spPr>
                      </pic:pic>
                    </a:graphicData>
                  </a:graphic>
                </wp:inline>
              </w:drawing>
            </w:r>
          </w:p>
          <w:p w14:paraId="0055B53C">
            <w:pPr>
              <w:pStyle w:val="31"/>
              <w:snapToGrid/>
              <w:spacing w:before="0" w:after="0" w:line="240" w:lineRule="auto"/>
              <w:ind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图4-</w:t>
            </w:r>
            <w:r>
              <w:rPr>
                <w:rFonts w:hint="eastAsia" w:ascii="Times New Roman" w:hAnsi="Times New Roman" w:cs="Times New Roman"/>
                <w:b/>
                <w:bCs/>
                <w:color w:val="000000" w:themeColor="text1"/>
                <w:sz w:val="21"/>
                <w:szCs w:val="21"/>
                <w:lang w:val="en-US" w:eastAsia="zh-CN"/>
                <w14:textFill>
                  <w14:solidFill>
                    <w14:schemeClr w14:val="tx1"/>
                  </w14:solidFill>
                </w14:textFill>
              </w:rPr>
              <w:t>6</w:t>
            </w: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14:textFill>
                  <w14:solidFill>
                    <w14:schemeClr w14:val="tx1"/>
                  </w14:solidFill>
                </w14:textFill>
              </w:rPr>
              <w:t>厂界西侧预测结果趋势图</w:t>
            </w:r>
          </w:p>
          <w:p w14:paraId="05A9E4C8">
            <w:pPr>
              <w:keepLines/>
              <w:autoSpaceDE w:val="0"/>
              <w:autoSpaceDN w:val="0"/>
              <w:spacing w:line="360" w:lineRule="auto"/>
              <w:ind w:firstLine="480" w:firstLineChars="200"/>
              <w:rPr>
                <w:rFonts w:hint="default" w:ascii="Times New Roman" w:hAnsi="Times New Roman" w:eastAsia="宋体" w:cs="Times New Roman"/>
                <w:color w:val="000000" w:themeColor="text1"/>
                <w:sz w:val="24"/>
                <w:szCs w:val="22"/>
                <w:lang w:eastAsia="zh-CN"/>
                <w14:textFill>
                  <w14:solidFill>
                    <w14:schemeClr w14:val="tx1"/>
                  </w14:solidFill>
                </w14:textFill>
              </w:rPr>
            </w:pPr>
            <w:r>
              <w:rPr>
                <w:rFonts w:hint="default" w:ascii="Times New Roman" w:hAnsi="Times New Roman" w:cs="Times New Roman"/>
                <w:color w:val="000000" w:themeColor="text1"/>
                <w:sz w:val="24"/>
                <w:szCs w:val="22"/>
                <w14:textFill>
                  <w14:solidFill>
                    <w14:schemeClr w14:val="tx1"/>
                  </w14:solidFill>
                </w14:textFill>
              </w:rPr>
              <w:t>根据上表可知，本项目厂界昼间均能达到《工业企业厂界环境噪声排放标准》（GB12348-2008）中</w:t>
            </w:r>
            <w:r>
              <w:rPr>
                <w:rFonts w:hint="default" w:ascii="Times New Roman" w:hAnsi="Times New Roman" w:cs="Times New Roman"/>
                <w:color w:val="000000" w:themeColor="text1"/>
                <w:sz w:val="24"/>
                <w:szCs w:val="22"/>
                <w:lang w:val="en-US" w:eastAsia="zh-CN"/>
                <w14:textFill>
                  <w14:solidFill>
                    <w14:schemeClr w14:val="tx1"/>
                  </w14:solidFill>
                </w14:textFill>
              </w:rPr>
              <w:t>3</w:t>
            </w:r>
            <w:r>
              <w:rPr>
                <w:rFonts w:hint="default" w:ascii="Times New Roman" w:hAnsi="Times New Roman" w:cs="Times New Roman"/>
                <w:color w:val="000000" w:themeColor="text1"/>
                <w:sz w:val="24"/>
                <w:szCs w:val="22"/>
                <w14:textFill>
                  <w14:solidFill>
                    <w14:schemeClr w14:val="tx1"/>
                  </w14:solidFill>
                </w14:textFill>
              </w:rPr>
              <w:t>类标准限值要求</w:t>
            </w:r>
            <w:r>
              <w:rPr>
                <w:rFonts w:hint="default" w:ascii="Times New Roman" w:hAnsi="Times New Roman" w:cs="Times New Roman"/>
                <w:color w:val="000000" w:themeColor="text1"/>
                <w:sz w:val="24"/>
                <w:szCs w:val="22"/>
                <w:lang w:eastAsia="zh-CN"/>
                <w14:textFill>
                  <w14:solidFill>
                    <w14:schemeClr w14:val="tx1"/>
                  </w14:solidFill>
                </w14:textFill>
              </w:rPr>
              <w:t>。</w:t>
            </w:r>
          </w:p>
          <w:p w14:paraId="04557CBD">
            <w:pPr>
              <w:keepLines/>
              <w:autoSpaceDE w:val="0"/>
              <w:autoSpaceDN w:val="0"/>
              <w:spacing w:line="360" w:lineRule="auto"/>
              <w:ind w:firstLine="480" w:firstLineChars="200"/>
              <w:rPr>
                <w:rFonts w:hint="default" w:ascii="Times New Roman" w:hAnsi="Times New Roman" w:cs="Times New Roman"/>
                <w:color w:val="000000" w:themeColor="text1"/>
                <w:sz w:val="24"/>
                <w:szCs w:val="22"/>
                <w14:textFill>
                  <w14:solidFill>
                    <w14:schemeClr w14:val="tx1"/>
                  </w14:solidFill>
                </w14:textFill>
              </w:rPr>
            </w:pPr>
            <w:r>
              <w:rPr>
                <w:rFonts w:hint="default" w:ascii="Times New Roman" w:hAnsi="Times New Roman" w:cs="Times New Roman"/>
                <w:color w:val="000000" w:themeColor="text1"/>
                <w:sz w:val="24"/>
                <w:szCs w:val="22"/>
                <w:lang w:eastAsia="zh-CN"/>
                <w14:textFill>
                  <w14:solidFill>
                    <w14:schemeClr w14:val="tx1"/>
                  </w14:solidFill>
                </w14:textFill>
              </w:rPr>
              <w:t>根据预测结果，厂界东侧预测值虽然能达到相关标准要求，但预测值接近标准值，故</w:t>
            </w:r>
            <w:r>
              <w:rPr>
                <w:rFonts w:hint="default" w:ascii="Times New Roman" w:hAnsi="Times New Roman" w:cs="Times New Roman"/>
                <w:color w:val="000000" w:themeColor="text1"/>
                <w:sz w:val="24"/>
                <w:szCs w:val="22"/>
                <w14:textFill>
                  <w14:solidFill>
                    <w14:schemeClr w14:val="tx1"/>
                  </w14:solidFill>
                </w14:textFill>
              </w:rPr>
              <w:t>为进一步减少项目噪声对周围环境的影响，环评要求噪声防治应采取以下对策措施：</w:t>
            </w:r>
          </w:p>
          <w:p w14:paraId="26070EAB">
            <w:pPr>
              <w:keepLines/>
              <w:autoSpaceDE w:val="0"/>
              <w:autoSpaceDN w:val="0"/>
              <w:spacing w:line="360" w:lineRule="auto"/>
              <w:ind w:firstLine="480" w:firstLineChars="200"/>
              <w:rPr>
                <w:rFonts w:hint="default" w:ascii="Times New Roman" w:hAnsi="Times New Roman" w:cs="Times New Roman"/>
                <w:color w:val="000000" w:themeColor="text1"/>
                <w:sz w:val="24"/>
                <w:szCs w:val="22"/>
                <w14:textFill>
                  <w14:solidFill>
                    <w14:schemeClr w14:val="tx1"/>
                  </w14:solidFill>
                </w14:textFill>
              </w:rPr>
            </w:pPr>
            <w:r>
              <w:rPr>
                <w:rFonts w:hint="default" w:ascii="Times New Roman" w:hAnsi="Times New Roman" w:cs="Times New Roman"/>
                <w:color w:val="000000" w:themeColor="text1"/>
                <w:sz w:val="24"/>
                <w:szCs w:val="22"/>
                <w14:textFill>
                  <w14:solidFill>
                    <w14:schemeClr w14:val="tx1"/>
                  </w14:solidFill>
                </w14:textFill>
              </w:rPr>
              <w:t>①合理安排设备安放位置，尽可能利用距离进行声级衰减。</w:t>
            </w:r>
          </w:p>
          <w:p w14:paraId="0D61CF4A">
            <w:pPr>
              <w:keepLines/>
              <w:autoSpaceDE w:val="0"/>
              <w:autoSpaceDN w:val="0"/>
              <w:spacing w:line="360" w:lineRule="auto"/>
              <w:ind w:firstLine="480" w:firstLineChars="200"/>
              <w:rPr>
                <w:rFonts w:hint="default" w:ascii="Times New Roman" w:hAnsi="Times New Roman" w:cs="Times New Roman"/>
                <w:color w:val="000000" w:themeColor="text1"/>
                <w:sz w:val="24"/>
                <w:szCs w:val="22"/>
                <w14:textFill>
                  <w14:solidFill>
                    <w14:schemeClr w14:val="tx1"/>
                  </w14:solidFill>
                </w14:textFill>
              </w:rPr>
            </w:pPr>
            <w:r>
              <w:rPr>
                <w:rFonts w:hint="default" w:ascii="Times New Roman" w:hAnsi="Times New Roman" w:cs="Times New Roman"/>
                <w:color w:val="000000" w:themeColor="text1"/>
                <w:sz w:val="24"/>
                <w:szCs w:val="22"/>
                <w14:textFill>
                  <w14:solidFill>
                    <w14:schemeClr w14:val="tx1"/>
                  </w14:solidFill>
                </w14:textFill>
              </w:rPr>
              <w:t>②选用低噪声设备，高噪声设备必须安装在加有减振垫的隔振基础上，同时设备之间保持间距，避免噪声叠加影响。</w:t>
            </w:r>
          </w:p>
          <w:p w14:paraId="30C31248">
            <w:pPr>
              <w:keepLines/>
              <w:autoSpaceDE w:val="0"/>
              <w:autoSpaceDN w:val="0"/>
              <w:spacing w:line="360" w:lineRule="auto"/>
              <w:ind w:firstLine="480" w:firstLineChars="200"/>
              <w:rPr>
                <w:rFonts w:hint="default" w:ascii="Times New Roman" w:hAnsi="Times New Roman" w:cs="Times New Roman"/>
                <w:color w:val="000000" w:themeColor="text1"/>
                <w:sz w:val="24"/>
                <w:szCs w:val="22"/>
                <w14:textFill>
                  <w14:solidFill>
                    <w14:schemeClr w14:val="tx1"/>
                  </w14:solidFill>
                </w14:textFill>
              </w:rPr>
            </w:pPr>
            <w:r>
              <w:rPr>
                <w:rFonts w:hint="default" w:ascii="Times New Roman" w:hAnsi="Times New Roman" w:cs="Times New Roman"/>
                <w:color w:val="000000" w:themeColor="text1"/>
                <w:sz w:val="24"/>
                <w:szCs w:val="22"/>
                <w14:textFill>
                  <w14:solidFill>
                    <w14:schemeClr w14:val="tx1"/>
                  </w14:solidFill>
                </w14:textFill>
              </w:rPr>
              <w:t>③生产主要产噪设备均设置于厂房内，以保证厂界噪声能够达标。</w:t>
            </w:r>
          </w:p>
          <w:p w14:paraId="59210CFC">
            <w:pPr>
              <w:keepLines/>
              <w:autoSpaceDE w:val="0"/>
              <w:autoSpaceDN w:val="0"/>
              <w:spacing w:line="360" w:lineRule="auto"/>
              <w:ind w:firstLine="480" w:firstLineChars="200"/>
              <w:rPr>
                <w:rFonts w:hint="default" w:ascii="Times New Roman" w:hAnsi="Times New Roman" w:cs="Times New Roman"/>
                <w:color w:val="000000" w:themeColor="text1"/>
                <w:sz w:val="24"/>
                <w:szCs w:val="22"/>
                <w14:textFill>
                  <w14:solidFill>
                    <w14:schemeClr w14:val="tx1"/>
                  </w14:solidFill>
                </w14:textFill>
              </w:rPr>
            </w:pPr>
            <w:r>
              <w:rPr>
                <w:rFonts w:hint="default" w:ascii="Times New Roman" w:hAnsi="Times New Roman" w:cs="Times New Roman"/>
                <w:color w:val="000000" w:themeColor="text1"/>
                <w:sz w:val="24"/>
                <w:szCs w:val="22"/>
                <w14:textFill>
                  <w14:solidFill>
                    <w14:schemeClr w14:val="tx1"/>
                  </w14:solidFill>
                </w14:textFill>
              </w:rPr>
              <w:t>④加强设备的维护，确保设备处于良好的运转状态，杜绝因设备不正常运转时产生的高噪声现象。</w:t>
            </w:r>
          </w:p>
          <w:p w14:paraId="086C0BEA">
            <w:pPr>
              <w:keepLines/>
              <w:autoSpaceDE w:val="0"/>
              <w:autoSpaceDN w:val="0"/>
              <w:spacing w:line="360" w:lineRule="auto"/>
              <w:ind w:firstLine="480"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color w:val="000000" w:themeColor="text1"/>
                <w:sz w:val="24"/>
                <w:szCs w:val="22"/>
                <w14:textFill>
                  <w14:solidFill>
                    <w14:schemeClr w14:val="tx1"/>
                  </w14:solidFill>
                </w14:textFill>
              </w:rPr>
              <w:t>经采取上述措施后进一步减小本项目噪声对周围环境的影响。</w:t>
            </w:r>
          </w:p>
          <w:p w14:paraId="675E560B">
            <w:pPr>
              <w:pStyle w:val="32"/>
              <w:keepLines/>
              <w:spacing w:line="360" w:lineRule="auto"/>
              <w:ind w:firstLine="482"/>
              <w:jc w:val="left"/>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4）噪声自行监测一览表</w:t>
            </w:r>
          </w:p>
          <w:p w14:paraId="7B512A7F">
            <w:pPr>
              <w:keepLines/>
              <w:autoSpaceDE w:val="0"/>
              <w:autoSpaceDN w:val="0"/>
              <w:spacing w:line="360" w:lineRule="auto"/>
              <w:ind w:firstLine="480" w:firstLineChars="200"/>
              <w:rPr>
                <w:rFonts w:hint="default" w:ascii="Times New Roman" w:hAnsi="Times New Roman" w:cs="Times New Roman"/>
                <w:color w:val="000000" w:themeColor="text1"/>
                <w:sz w:val="24"/>
                <w:szCs w:val="22"/>
                <w14:textFill>
                  <w14:solidFill>
                    <w14:schemeClr w14:val="tx1"/>
                  </w14:solidFill>
                </w14:textFill>
              </w:rPr>
            </w:pPr>
            <w:r>
              <w:rPr>
                <w:rFonts w:hint="default" w:ascii="Times New Roman" w:hAnsi="Times New Roman" w:cs="Times New Roman"/>
                <w:color w:val="000000" w:themeColor="text1"/>
                <w:sz w:val="24"/>
                <w:szCs w:val="22"/>
                <w14:textFill>
                  <w14:solidFill>
                    <w14:schemeClr w14:val="tx1"/>
                  </w14:solidFill>
                </w14:textFill>
              </w:rPr>
              <w:t>根据《排污单位自行监测技术指南－总则》（HJ819-2017），项目运营后噪声监测计划详见下表。</w:t>
            </w:r>
          </w:p>
          <w:p w14:paraId="18A1D410">
            <w:pPr>
              <w:keepLine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表4-</w:t>
            </w:r>
            <w:r>
              <w:rPr>
                <w:rFonts w:hint="default" w:ascii="Times New Roman" w:hAnsi="Times New Roman" w:eastAsia="宋体" w:cs="Times New Roman"/>
                <w:b/>
                <w:bCs/>
                <w:color w:val="000000" w:themeColor="text1"/>
                <w:szCs w:val="21"/>
                <w:lang w:val="en-US" w:eastAsia="zh-CN"/>
                <w14:textFill>
                  <w14:solidFill>
                    <w14:schemeClr w14:val="tx1"/>
                  </w14:solidFill>
                </w14:textFill>
              </w:rPr>
              <w:t>1</w:t>
            </w:r>
            <w:r>
              <w:rPr>
                <w:rFonts w:hint="default" w:ascii="Times New Roman" w:hAnsi="Times New Roman" w:cs="Times New Roman"/>
                <w:b/>
                <w:bCs/>
                <w:color w:val="000000" w:themeColor="text1"/>
                <w:szCs w:val="21"/>
                <w:lang w:val="en-US" w:eastAsia="zh-CN"/>
                <w14:textFill>
                  <w14:solidFill>
                    <w14:schemeClr w14:val="tx1"/>
                  </w14:solidFill>
                </w14:textFill>
              </w:rPr>
              <w:t>4</w:t>
            </w:r>
            <w:r>
              <w:rPr>
                <w:rFonts w:hint="default" w:ascii="Times New Roman" w:hAnsi="Times New Roman" w:eastAsia="宋体" w:cs="Times New Roman"/>
                <w:b/>
                <w:bCs/>
                <w:color w:val="000000" w:themeColor="text1"/>
                <w:szCs w:val="21"/>
                <w14:textFill>
                  <w14:solidFill>
                    <w14:schemeClr w14:val="tx1"/>
                  </w14:solidFill>
                </w14:textFill>
              </w:rPr>
              <w:t>项目噪声自行监测一览表单位：dB（A）</w:t>
            </w:r>
          </w:p>
          <w:tbl>
            <w:tblPr>
              <w:tblStyle w:val="3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1388"/>
              <w:gridCol w:w="1398"/>
              <w:gridCol w:w="1693"/>
              <w:gridCol w:w="2762"/>
            </w:tblGrid>
            <w:tr w14:paraId="3000D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pct"/>
                  <w:noWrap w:val="0"/>
                  <w:vAlign w:val="center"/>
                </w:tcPr>
                <w:p w14:paraId="40F3A354">
                  <w:pPr>
                    <w:keepLine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类型</w:t>
                  </w:r>
                </w:p>
              </w:tc>
              <w:tc>
                <w:tcPr>
                  <w:tcW w:w="860" w:type="pct"/>
                  <w:noWrap w:val="0"/>
                  <w:vAlign w:val="center"/>
                </w:tcPr>
                <w:p w14:paraId="69C63204">
                  <w:pPr>
                    <w:keepLine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监测点位</w:t>
                  </w:r>
                </w:p>
              </w:tc>
              <w:tc>
                <w:tcPr>
                  <w:tcW w:w="866" w:type="pct"/>
                  <w:noWrap w:val="0"/>
                  <w:vAlign w:val="center"/>
                </w:tcPr>
                <w:p w14:paraId="503D942F">
                  <w:pPr>
                    <w:keepLine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监测指标</w:t>
                  </w:r>
                </w:p>
              </w:tc>
              <w:tc>
                <w:tcPr>
                  <w:tcW w:w="1049" w:type="pct"/>
                  <w:noWrap w:val="0"/>
                  <w:vAlign w:val="center"/>
                </w:tcPr>
                <w:p w14:paraId="150A54AA">
                  <w:pPr>
                    <w:keepLine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监测频次</w:t>
                  </w:r>
                </w:p>
              </w:tc>
              <w:tc>
                <w:tcPr>
                  <w:tcW w:w="1711" w:type="pct"/>
                  <w:noWrap w:val="0"/>
                  <w:vAlign w:val="center"/>
                </w:tcPr>
                <w:p w14:paraId="7D6EACC8">
                  <w:pPr>
                    <w:keepLines/>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执行标准</w:t>
                  </w:r>
                </w:p>
              </w:tc>
            </w:tr>
            <w:tr w14:paraId="40769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511" w:type="pct"/>
                  <w:noWrap w:val="0"/>
                  <w:vAlign w:val="center"/>
                </w:tcPr>
                <w:p w14:paraId="08A2EFCF">
                  <w:pPr>
                    <w:keepLines/>
                    <w:jc w:val="center"/>
                    <w:rPr>
                      <w:rFonts w:hint="default" w:ascii="Times New Roman" w:hAnsi="Times New Roman" w:eastAsia="宋体"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噪声</w:t>
                  </w:r>
                </w:p>
              </w:tc>
              <w:tc>
                <w:tcPr>
                  <w:tcW w:w="860" w:type="pct"/>
                  <w:noWrap w:val="0"/>
                  <w:vAlign w:val="center"/>
                </w:tcPr>
                <w:p w14:paraId="32496392">
                  <w:pPr>
                    <w:keepLines/>
                    <w:jc w:val="center"/>
                    <w:rPr>
                      <w:rFonts w:hint="default" w:ascii="Times New Roman" w:hAnsi="Times New Roman" w:eastAsia="宋体"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东、南、西、北厂界</w:t>
                  </w:r>
                </w:p>
              </w:tc>
              <w:tc>
                <w:tcPr>
                  <w:tcW w:w="866" w:type="pct"/>
                  <w:noWrap w:val="0"/>
                  <w:vAlign w:val="center"/>
                </w:tcPr>
                <w:p w14:paraId="48423063">
                  <w:pPr>
                    <w:keepLines/>
                    <w:jc w:val="center"/>
                    <w:rPr>
                      <w:rFonts w:hint="default" w:ascii="Times New Roman" w:hAnsi="Times New Roman" w:eastAsia="宋体"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噪声</w:t>
                  </w:r>
                </w:p>
              </w:tc>
              <w:tc>
                <w:tcPr>
                  <w:tcW w:w="1049" w:type="pct"/>
                  <w:noWrap w:val="0"/>
                  <w:vAlign w:val="center"/>
                </w:tcPr>
                <w:p w14:paraId="3C8D4AC8">
                  <w:pPr>
                    <w:keepLines/>
                    <w:jc w:val="center"/>
                    <w:rPr>
                      <w:rFonts w:hint="default" w:ascii="Times New Roman" w:hAnsi="Times New Roman" w:eastAsia="宋体"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1季度/次，监测1天，昼间1次</w:t>
                  </w:r>
                </w:p>
              </w:tc>
              <w:tc>
                <w:tcPr>
                  <w:tcW w:w="1711" w:type="pct"/>
                  <w:noWrap w:val="0"/>
                  <w:vAlign w:val="center"/>
                </w:tcPr>
                <w:p w14:paraId="519C2478">
                  <w:pPr>
                    <w:keepLines/>
                    <w:jc w:val="center"/>
                    <w:rPr>
                      <w:rFonts w:hint="default" w:ascii="Times New Roman" w:hAnsi="Times New Roman" w:eastAsia="宋体"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执行《工业企业厂界环境噪声排放标准》（GB12348-2008）</w:t>
                  </w:r>
                  <w: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Cs w:val="21"/>
                      <w14:textFill>
                        <w14:solidFill>
                          <w14:schemeClr w14:val="tx1"/>
                        </w14:solidFill>
                      </w14:textFill>
                    </w:rPr>
                    <w:t>类标准限值</w:t>
                  </w:r>
                </w:p>
              </w:tc>
            </w:tr>
          </w:tbl>
          <w:p w14:paraId="66992268">
            <w:pPr>
              <w:widowControl/>
              <w:spacing w:line="360" w:lineRule="auto"/>
              <w:ind w:firstLine="482" w:firstLineChars="200"/>
              <w:jc w:val="left"/>
              <w:rPr>
                <w:rFonts w:hint="default" w:ascii="Times New Roman" w:hAnsi="Times New Roman" w:cs="Times New Roman"/>
                <w:b/>
                <w:bCs/>
                <w:color w:val="000000" w:themeColor="text1"/>
                <w:kern w:val="0"/>
                <w:sz w:val="24"/>
                <w14:textFill>
                  <w14:solidFill>
                    <w14:schemeClr w14:val="tx1"/>
                  </w14:solidFill>
                </w14:textFill>
              </w:rPr>
            </w:pPr>
            <w:r>
              <w:rPr>
                <w:rFonts w:hint="default" w:ascii="Times New Roman" w:hAnsi="Times New Roman" w:cs="Times New Roman"/>
                <w:b/>
                <w:bCs/>
                <w:color w:val="000000" w:themeColor="text1"/>
                <w:kern w:val="0"/>
                <w:sz w:val="24"/>
                <w14:textFill>
                  <w14:solidFill>
                    <w14:schemeClr w14:val="tx1"/>
                  </w14:solidFill>
                </w14:textFill>
              </w:rPr>
              <w:t>4、固体废物环境影响和保护措施</w:t>
            </w:r>
          </w:p>
          <w:p w14:paraId="59F284CA">
            <w:pPr>
              <w:widowControl/>
              <w:spacing w:line="360" w:lineRule="auto"/>
              <w:ind w:firstLine="482"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b/>
                <w:bCs/>
                <w:color w:val="000000" w:themeColor="text1"/>
                <w:kern w:val="0"/>
                <w:sz w:val="24"/>
                <w14:textFill>
                  <w14:solidFill>
                    <w14:schemeClr w14:val="tx1"/>
                  </w14:solidFill>
                </w14:textFill>
              </w:rPr>
              <w:t>（1）固体废物的产生和排放情况</w:t>
            </w:r>
          </w:p>
          <w:p w14:paraId="6B367631">
            <w:pPr>
              <w:widowControl/>
              <w:spacing w:line="360" w:lineRule="auto"/>
              <w:ind w:firstLine="482" w:firstLineChars="200"/>
              <w:jc w:val="left"/>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1）生活垃圾</w:t>
            </w:r>
          </w:p>
          <w:p w14:paraId="150DEEE6">
            <w:pPr>
              <w:widowControl/>
              <w:spacing w:line="360" w:lineRule="auto"/>
              <w:ind w:firstLine="482" w:firstLineChars="200"/>
              <w:jc w:val="left"/>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①生活垃圾</w:t>
            </w:r>
          </w:p>
          <w:p w14:paraId="0C3B2BAC">
            <w:pPr>
              <w:widowControl/>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项目劳动定员</w:t>
            </w:r>
            <w:r>
              <w:rPr>
                <w:rFonts w:hint="default" w:ascii="Times New Roman" w:hAnsi="Times New Roman" w:cs="Times New Roman"/>
                <w:color w:val="000000" w:themeColor="text1"/>
                <w:sz w:val="24"/>
                <w:lang w:eastAsia="zh-CN"/>
                <w14:textFill>
                  <w14:solidFill>
                    <w14:schemeClr w14:val="tx1"/>
                  </w14:solidFill>
                </w14:textFill>
              </w:rPr>
              <w:t>约</w:t>
            </w:r>
            <w:r>
              <w:rPr>
                <w:rFonts w:hint="default" w:ascii="Times New Roman" w:hAnsi="Times New Roman" w:cs="Times New Roman"/>
                <w:color w:val="000000" w:themeColor="text1"/>
                <w:sz w:val="24"/>
                <w:lang w:val="en-US" w:eastAsia="zh-CN"/>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人，年总工作日300天，生活垃圾按每人每日产生0.5kg，生活垃圾产生量为</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kg/d，</w:t>
            </w:r>
            <w:r>
              <w:rPr>
                <w:rFonts w:hint="default" w:ascii="Times New Roman" w:hAnsi="Times New Roman" w:cs="Times New Roman"/>
                <w:color w:val="000000" w:themeColor="text1"/>
                <w:sz w:val="24"/>
                <w:lang w:val="en-US" w:eastAsia="zh-CN"/>
                <w14:textFill>
                  <w14:solidFill>
                    <w14:schemeClr w14:val="tx1"/>
                  </w14:solidFill>
                </w14:textFill>
              </w:rPr>
              <w:t>1.5</w:t>
            </w:r>
            <w:r>
              <w:rPr>
                <w:rFonts w:hint="default" w:ascii="Times New Roman" w:hAnsi="Times New Roman" w:cs="Times New Roman"/>
                <w:color w:val="000000" w:themeColor="text1"/>
                <w:sz w:val="24"/>
                <w14:textFill>
                  <w14:solidFill>
                    <w14:schemeClr w14:val="tx1"/>
                  </w14:solidFill>
                </w14:textFill>
              </w:rPr>
              <w:t>t/a，收集后运至附近垃圾收集点由环卫部门统一清运处置。</w:t>
            </w:r>
          </w:p>
          <w:p w14:paraId="68956327">
            <w:pPr>
              <w:widowControl/>
              <w:spacing w:line="360" w:lineRule="auto"/>
              <w:ind w:firstLine="482" w:firstLineChars="200"/>
              <w:jc w:val="left"/>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②生活</w:t>
            </w:r>
            <w:r>
              <w:rPr>
                <w:rFonts w:hint="default" w:ascii="Times New Roman" w:hAnsi="Times New Roman" w:cs="Times New Roman"/>
                <w:b/>
                <w:bCs/>
                <w:color w:val="000000" w:themeColor="text1"/>
                <w:sz w:val="24"/>
                <w14:textFill>
                  <w14:solidFill>
                    <w14:schemeClr w14:val="tx1"/>
                  </w14:solidFill>
                </w14:textFill>
              </w:rPr>
              <w:t>污水处理设施污泥</w:t>
            </w:r>
          </w:p>
          <w:p w14:paraId="5BDD1AC5">
            <w:pPr>
              <w:widowControl/>
              <w:spacing w:line="360" w:lineRule="auto"/>
              <w:ind w:firstLine="480" w:firstLineChars="200"/>
              <w:jc w:val="left"/>
              <w:rPr>
                <w:rFonts w:hint="eastAsia"/>
                <w:b w:val="0"/>
                <w:bCs w:val="0"/>
                <w:color w:val="000000" w:themeColor="text1"/>
                <w:sz w:val="24"/>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化粪池污泥</w:t>
            </w:r>
            <w:r>
              <w:rPr>
                <w:rFonts w:hint="eastAsia"/>
                <w:b w:val="0"/>
                <w:bCs w:val="0"/>
                <w:color w:val="000000" w:themeColor="text1"/>
                <w:sz w:val="24"/>
                <w14:textFill>
                  <w14:solidFill>
                    <w14:schemeClr w14:val="tx1"/>
                  </w14:solidFill>
                </w14:textFill>
              </w:rPr>
              <w:t>参考《建筑给水排水设计规范》</w:t>
            </w:r>
            <w:r>
              <w:rPr>
                <w:rFonts w:hint="eastAsia"/>
                <w:b w:val="0"/>
                <w:bCs w:val="0"/>
                <w:color w:val="000000" w:themeColor="text1"/>
                <w:sz w:val="24"/>
                <w:lang w:eastAsia="zh-CN"/>
                <w14:textFill>
                  <w14:solidFill>
                    <w14:schemeClr w14:val="tx1"/>
                  </w14:solidFill>
                </w14:textFill>
              </w:rPr>
              <w:t>（</w:t>
            </w:r>
            <w:r>
              <w:rPr>
                <w:rFonts w:hint="eastAsia"/>
                <w:b w:val="0"/>
                <w:bCs w:val="0"/>
                <w:color w:val="000000" w:themeColor="text1"/>
                <w:sz w:val="24"/>
                <w:lang w:val="en-US" w:eastAsia="zh-CN"/>
                <w14:textFill>
                  <w14:solidFill>
                    <w14:schemeClr w14:val="tx1"/>
                  </w14:solidFill>
                </w14:textFill>
              </w:rPr>
              <w:t>GB50015-2019</w:t>
            </w:r>
            <w:r>
              <w:rPr>
                <w:rFonts w:hint="eastAsia"/>
                <w:b w:val="0"/>
                <w:bCs w:val="0"/>
                <w:color w:val="000000" w:themeColor="text1"/>
                <w:sz w:val="24"/>
                <w:lang w:eastAsia="zh-CN"/>
                <w14:textFill>
                  <w14:solidFill>
                    <w14:schemeClr w14:val="tx1"/>
                  </w14:solidFill>
                </w14:textFill>
              </w:rPr>
              <w:t>）</w:t>
            </w:r>
            <w:r>
              <w:rPr>
                <w:rFonts w:hint="eastAsia"/>
                <w:b w:val="0"/>
                <w:bCs w:val="0"/>
                <w:color w:val="000000" w:themeColor="text1"/>
                <w:sz w:val="24"/>
                <w14:textFill>
                  <w14:solidFill>
                    <w14:schemeClr w14:val="tx1"/>
                  </w14:solidFill>
                </w14:textFill>
              </w:rPr>
              <w:t>中</w:t>
            </w:r>
            <w:r>
              <w:rPr>
                <w:rFonts w:hint="eastAsia"/>
                <w:b w:val="0"/>
                <w:bCs w:val="0"/>
                <w:color w:val="000000" w:themeColor="text1"/>
                <w:sz w:val="24"/>
                <w:lang w:eastAsia="zh-CN"/>
                <w14:textFill>
                  <w14:solidFill>
                    <w14:schemeClr w14:val="tx1"/>
                  </w14:solidFill>
                </w14:textFill>
              </w:rPr>
              <w:t>“</w:t>
            </w:r>
            <w:r>
              <w:rPr>
                <w:rFonts w:hint="eastAsia"/>
                <w:b w:val="0"/>
                <w:bCs w:val="0"/>
                <w:color w:val="000000" w:themeColor="text1"/>
                <w:sz w:val="24"/>
                <w14:textFill>
                  <w14:solidFill>
                    <w14:schemeClr w14:val="tx1"/>
                  </w14:solidFill>
                </w14:textFill>
              </w:rPr>
              <w:t>表4.8.6-2化粪池每人每日计算污泥量</w:t>
            </w:r>
            <w:r>
              <w:rPr>
                <w:rFonts w:hint="eastAsia"/>
                <w:b w:val="0"/>
                <w:bCs w:val="0"/>
                <w:color w:val="000000" w:themeColor="text1"/>
                <w:sz w:val="24"/>
                <w:lang w:eastAsia="zh-CN"/>
                <w14:textFill>
                  <w14:solidFill>
                    <w14:schemeClr w14:val="tx1"/>
                  </w14:solidFill>
                </w14:textFill>
              </w:rPr>
              <w:t>”</w:t>
            </w:r>
            <w:r>
              <w:rPr>
                <w:rFonts w:hint="eastAsia"/>
                <w:b w:val="0"/>
                <w:bCs w:val="0"/>
                <w:color w:val="000000" w:themeColor="text1"/>
                <w:sz w:val="24"/>
                <w14:textFill>
                  <w14:solidFill>
                    <w14:schemeClr w14:val="tx1"/>
                  </w14:solidFill>
                </w14:textFill>
              </w:rPr>
              <w:t>，确定化粪池污泥产生系数为0.</w:t>
            </w:r>
            <w:r>
              <w:rPr>
                <w:rFonts w:hint="eastAsia"/>
                <w:b w:val="0"/>
                <w:bCs w:val="0"/>
                <w:color w:val="000000" w:themeColor="text1"/>
                <w:sz w:val="24"/>
                <w:lang w:val="en-US" w:eastAsia="zh-CN"/>
                <w14:textFill>
                  <w14:solidFill>
                    <w14:schemeClr w14:val="tx1"/>
                  </w14:solidFill>
                </w14:textFill>
              </w:rPr>
              <w:t>2</w:t>
            </w:r>
            <w:r>
              <w:rPr>
                <w:rFonts w:hint="eastAsia"/>
                <w:b w:val="0"/>
                <w:bCs w:val="0"/>
                <w:color w:val="000000" w:themeColor="text1"/>
                <w:sz w:val="24"/>
                <w14:textFill>
                  <w14:solidFill>
                    <w14:schemeClr w14:val="tx1"/>
                  </w14:solidFill>
                </w14:textFill>
              </w:rPr>
              <w:t>L/人·d，化粪池污泥产生量为</w:t>
            </w:r>
            <w:r>
              <w:rPr>
                <w:rFonts w:hint="eastAsia"/>
                <w:b w:val="0"/>
                <w:bCs w:val="0"/>
                <w:color w:val="000000" w:themeColor="text1"/>
                <w:sz w:val="24"/>
                <w:lang w:val="en-US" w:eastAsia="zh-CN"/>
                <w14:textFill>
                  <w14:solidFill>
                    <w14:schemeClr w14:val="tx1"/>
                  </w14:solidFill>
                </w14:textFill>
              </w:rPr>
              <w:t>0.6</w:t>
            </w:r>
            <w:r>
              <w:rPr>
                <w:rFonts w:hint="eastAsia"/>
                <w:b w:val="0"/>
                <w:bCs w:val="0"/>
                <w:color w:val="000000" w:themeColor="text1"/>
                <w:sz w:val="24"/>
                <w14:textFill>
                  <w14:solidFill>
                    <w14:schemeClr w14:val="tx1"/>
                  </w14:solidFill>
                </w14:textFill>
              </w:rPr>
              <w:t>t/a，</w:t>
            </w:r>
            <w:r>
              <w:rPr>
                <w:rFonts w:hint="eastAsia"/>
                <w:b w:val="0"/>
                <w:bCs w:val="0"/>
                <w:color w:val="000000" w:themeColor="text1"/>
                <w:sz w:val="24"/>
                <w:lang w:eastAsia="zh-CN"/>
                <w14:textFill>
                  <w14:solidFill>
                    <w14:schemeClr w14:val="tx1"/>
                  </w14:solidFill>
                </w14:textFill>
              </w:rPr>
              <w:t>定期委托环卫部门清掏处置</w:t>
            </w:r>
            <w:r>
              <w:rPr>
                <w:rFonts w:hint="eastAsia"/>
                <w:b w:val="0"/>
                <w:bCs w:val="0"/>
                <w:color w:val="000000" w:themeColor="text1"/>
                <w:sz w:val="24"/>
                <w14:textFill>
                  <w14:solidFill>
                    <w14:schemeClr w14:val="tx1"/>
                  </w14:solidFill>
                </w14:textFill>
              </w:rPr>
              <w:t>。</w:t>
            </w:r>
          </w:p>
          <w:p w14:paraId="2F6A7C8C">
            <w:pPr>
              <w:widowControl/>
              <w:spacing w:line="360" w:lineRule="auto"/>
              <w:ind w:firstLine="480" w:firstLineChars="200"/>
              <w:jc w:val="left"/>
              <w:rPr>
                <w:rFonts w:hint="eastAsia" w:cs="Times New Roman"/>
                <w:b w:val="0"/>
                <w:bCs w:val="0"/>
                <w:color w:val="000000" w:themeColor="text1"/>
                <w:sz w:val="24"/>
                <w:lang w:eastAsia="zh-CN"/>
                <w14:textFill>
                  <w14:solidFill>
                    <w14:schemeClr w14:val="tx1"/>
                  </w14:solidFill>
                </w14:textFill>
              </w:rPr>
            </w:pPr>
            <w:r>
              <w:rPr>
                <w:rFonts w:hint="default" w:ascii="Times New Roman" w:hAnsi="Times New Roman" w:cs="Times New Roman"/>
                <w:b w:val="0"/>
                <w:bCs w:val="0"/>
                <w:color w:val="000000" w:themeColor="text1"/>
                <w:sz w:val="24"/>
                <w14:textFill>
                  <w14:solidFill>
                    <w14:schemeClr w14:val="tx1"/>
                  </w14:solidFill>
                </w14:textFill>
              </w:rPr>
              <w:t>根据相关资料，一般污水处理站污泥产生量约为15g/（L·d），本项目处理水量为0.3</w:t>
            </w:r>
            <w:r>
              <w:rPr>
                <w:rFonts w:hint="default" w:ascii="Times New Roman" w:hAnsi="Times New Roman" w:cs="Times New Roman"/>
                <w:b w:val="0"/>
                <w:bCs w:val="0"/>
                <w:color w:val="000000" w:themeColor="text1"/>
                <w:sz w:val="24"/>
                <w:lang w:val="en-US" w:eastAsia="zh-CN"/>
                <w14:textFill>
                  <w14:solidFill>
                    <w14:schemeClr w14:val="tx1"/>
                  </w14:solidFill>
                </w14:textFill>
              </w:rPr>
              <w:t>2</w:t>
            </w:r>
            <w:r>
              <w:rPr>
                <w:rFonts w:hint="default" w:ascii="Times New Roman" w:hAnsi="Times New Roman" w:cs="Times New Roman"/>
                <w:b w:val="0"/>
                <w:bCs w:val="0"/>
                <w:color w:val="000000" w:themeColor="text1"/>
                <w:sz w:val="24"/>
                <w14:textFill>
                  <w14:solidFill>
                    <w14:schemeClr w14:val="tx1"/>
                  </w14:solidFill>
                </w14:textFill>
              </w:rPr>
              <w:t>m</w:t>
            </w:r>
            <w:r>
              <w:rPr>
                <w:rFonts w:hint="default" w:ascii="Times New Roman" w:hAnsi="Times New Roman" w:cs="Times New Roman"/>
                <w:b w:val="0"/>
                <w:bCs w:val="0"/>
                <w:color w:val="000000" w:themeColor="text1"/>
                <w:sz w:val="24"/>
                <w:vertAlign w:val="superscript"/>
                <w14:textFill>
                  <w14:solidFill>
                    <w14:schemeClr w14:val="tx1"/>
                  </w14:solidFill>
                </w14:textFill>
              </w:rPr>
              <w:t>3</w:t>
            </w:r>
            <w:r>
              <w:rPr>
                <w:rFonts w:hint="default" w:ascii="Times New Roman" w:hAnsi="Times New Roman" w:cs="Times New Roman"/>
                <w:b w:val="0"/>
                <w:bCs w:val="0"/>
                <w:color w:val="000000" w:themeColor="text1"/>
                <w:sz w:val="24"/>
                <w14:textFill>
                  <w14:solidFill>
                    <w14:schemeClr w14:val="tx1"/>
                  </w14:solidFill>
                </w14:textFill>
              </w:rPr>
              <w:t>/d，则污泥产生量为0.00</w:t>
            </w:r>
            <w:r>
              <w:rPr>
                <w:rFonts w:hint="default" w:ascii="Times New Roman" w:hAnsi="Times New Roman" w:cs="Times New Roman"/>
                <w:b w:val="0"/>
                <w:bCs w:val="0"/>
                <w:color w:val="000000" w:themeColor="text1"/>
                <w:sz w:val="24"/>
                <w:lang w:val="en-US" w:eastAsia="zh-CN"/>
                <w14:textFill>
                  <w14:solidFill>
                    <w14:schemeClr w14:val="tx1"/>
                  </w14:solidFill>
                </w14:textFill>
              </w:rPr>
              <w:t>48</w:t>
            </w:r>
            <w:r>
              <w:rPr>
                <w:rFonts w:hint="default" w:ascii="Times New Roman" w:hAnsi="Times New Roman" w:cs="Times New Roman"/>
                <w:b w:val="0"/>
                <w:bCs w:val="0"/>
                <w:color w:val="000000" w:themeColor="text1"/>
                <w:sz w:val="24"/>
                <w14:textFill>
                  <w14:solidFill>
                    <w14:schemeClr w14:val="tx1"/>
                  </w14:solidFill>
                </w14:textFill>
              </w:rPr>
              <w:t>t/a，即1.</w:t>
            </w:r>
            <w:r>
              <w:rPr>
                <w:rFonts w:hint="default" w:ascii="Times New Roman" w:hAnsi="Times New Roman" w:cs="Times New Roman"/>
                <w:b w:val="0"/>
                <w:bCs w:val="0"/>
                <w:color w:val="000000" w:themeColor="text1"/>
                <w:sz w:val="24"/>
                <w:lang w:val="en-US" w:eastAsia="zh-CN"/>
                <w14:textFill>
                  <w14:solidFill>
                    <w14:schemeClr w14:val="tx1"/>
                  </w14:solidFill>
                </w14:textFill>
              </w:rPr>
              <w:t>44</w:t>
            </w:r>
            <w:r>
              <w:rPr>
                <w:rFonts w:hint="default" w:ascii="Times New Roman" w:hAnsi="Times New Roman" w:cs="Times New Roman"/>
                <w:b w:val="0"/>
                <w:bCs w:val="0"/>
                <w:color w:val="000000" w:themeColor="text1"/>
                <w:sz w:val="24"/>
                <w14:textFill>
                  <w14:solidFill>
                    <w14:schemeClr w14:val="tx1"/>
                  </w14:solidFill>
                </w14:textFill>
              </w:rPr>
              <w:t>t/a</w:t>
            </w:r>
            <w:r>
              <w:rPr>
                <w:rFonts w:hint="eastAsia" w:cs="Times New Roman"/>
                <w:b w:val="0"/>
                <w:bCs w:val="0"/>
                <w:color w:val="000000" w:themeColor="text1"/>
                <w:sz w:val="24"/>
                <w:lang w:eastAsia="zh-CN"/>
                <w14:textFill>
                  <w14:solidFill>
                    <w14:schemeClr w14:val="tx1"/>
                  </w14:solidFill>
                </w14:textFill>
              </w:rPr>
              <w:t>。</w:t>
            </w:r>
          </w:p>
          <w:p w14:paraId="30E09EB7">
            <w:pPr>
              <w:widowControl/>
              <w:spacing w:line="360" w:lineRule="auto"/>
              <w:ind w:firstLine="480" w:firstLineChars="200"/>
              <w:jc w:val="left"/>
              <w:rPr>
                <w:rFonts w:hint="default" w:ascii="Times New Roman" w:hAnsi="Times New Roman" w:cs="Times New Roman"/>
                <w:b w:val="0"/>
                <w:bCs w:val="0"/>
                <w:color w:val="000000" w:themeColor="text1"/>
                <w:sz w:val="24"/>
                <w14:textFill>
                  <w14:solidFill>
                    <w14:schemeClr w14:val="tx1"/>
                  </w14:solidFill>
                </w14:textFill>
              </w:rPr>
            </w:pPr>
            <w:r>
              <w:rPr>
                <w:rFonts w:hint="default" w:ascii="Times New Roman" w:hAnsi="Times New Roman" w:cs="Times New Roman"/>
                <w:b w:val="0"/>
                <w:bCs w:val="0"/>
                <w:color w:val="000000" w:themeColor="text1"/>
                <w:sz w:val="24"/>
                <w:lang w:eastAsia="zh-CN"/>
                <w14:textFill>
                  <w14:solidFill>
                    <w14:schemeClr w14:val="tx1"/>
                  </w14:solidFill>
                </w14:textFill>
              </w:rPr>
              <w:t>生活</w:t>
            </w:r>
            <w:r>
              <w:rPr>
                <w:rFonts w:hint="default" w:ascii="Times New Roman" w:hAnsi="Times New Roman" w:cs="Times New Roman"/>
                <w:b w:val="0"/>
                <w:bCs w:val="0"/>
                <w:color w:val="000000" w:themeColor="text1"/>
                <w:sz w:val="24"/>
                <w14:textFill>
                  <w14:solidFill>
                    <w14:schemeClr w14:val="tx1"/>
                  </w14:solidFill>
                </w14:textFill>
              </w:rPr>
              <w:t>污水处理设施污泥</w:t>
            </w:r>
            <w:r>
              <w:rPr>
                <w:rFonts w:hint="eastAsia" w:ascii="Times New Roman" w:hAnsi="Times New Roman" w:cs="Times New Roman"/>
                <w:b w:val="0"/>
                <w:bCs w:val="0"/>
                <w:color w:val="000000" w:themeColor="text1"/>
                <w:sz w:val="24"/>
                <w:lang w:eastAsia="zh-CN"/>
                <w14:textFill>
                  <w14:solidFill>
                    <w14:schemeClr w14:val="tx1"/>
                  </w14:solidFill>
                </w14:textFill>
              </w:rPr>
              <w:t>产生量为</w:t>
            </w:r>
            <w:r>
              <w:rPr>
                <w:rFonts w:hint="eastAsia" w:ascii="Times New Roman" w:hAnsi="Times New Roman" w:cs="Times New Roman"/>
                <w:b w:val="0"/>
                <w:bCs w:val="0"/>
                <w:color w:val="000000" w:themeColor="text1"/>
                <w:sz w:val="24"/>
                <w:lang w:val="en-US" w:eastAsia="zh-CN"/>
                <w14:textFill>
                  <w14:solidFill>
                    <w14:schemeClr w14:val="tx1"/>
                  </w14:solidFill>
                </w14:textFill>
              </w:rPr>
              <w:t>2.04t/a。</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根据《固体废物分类与代码目录》（2024），属于“SW</w:t>
            </w:r>
            <w:r>
              <w:rPr>
                <w:rFonts w:hint="default" w:ascii="Times New Roman" w:hAnsi="Times New Roman" w:cs="Times New Roman"/>
                <w:b w:val="0"/>
                <w:bCs w:val="0"/>
                <w:color w:val="000000" w:themeColor="text1"/>
                <w:sz w:val="24"/>
                <w:lang w:val="en-US" w:eastAsia="zh-CN"/>
                <w14:textFill>
                  <w14:solidFill>
                    <w14:schemeClr w14:val="tx1"/>
                  </w14:solidFill>
                </w14:textFill>
              </w:rPr>
              <w:t>90城镇污水污泥”，废物代码：462-001-S90。</w:t>
            </w:r>
            <w:r>
              <w:rPr>
                <w:rFonts w:hint="default" w:ascii="Times New Roman" w:hAnsi="Times New Roman" w:cs="Times New Roman"/>
                <w:b w:val="0"/>
                <w:bCs w:val="0"/>
                <w:color w:val="000000" w:themeColor="text1"/>
                <w:sz w:val="24"/>
                <w14:textFill>
                  <w14:solidFill>
                    <w14:schemeClr w14:val="tx1"/>
                  </w14:solidFill>
                </w14:textFill>
              </w:rPr>
              <w:t>污泥委托环卫部门清运处置。</w:t>
            </w:r>
          </w:p>
          <w:p w14:paraId="4549363E">
            <w:pPr>
              <w:widowControl/>
              <w:spacing w:line="360" w:lineRule="auto"/>
              <w:ind w:firstLine="482" w:firstLineChars="200"/>
              <w:jc w:val="left"/>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2）一般工业固废</w:t>
            </w:r>
          </w:p>
          <w:p w14:paraId="4A27E26B">
            <w:pPr>
              <w:widowControl/>
              <w:spacing w:line="360" w:lineRule="auto"/>
              <w:ind w:firstLine="482" w:firstLineChars="200"/>
              <w:jc w:val="left"/>
              <w:rPr>
                <w:rFonts w:hint="default" w:ascii="Times New Roman" w:hAnsi="Times New Roman" w:eastAsia="宋体" w:cs="Times New Roman"/>
                <w:b/>
                <w:bCs/>
                <w:color w:val="000000" w:themeColor="text1"/>
                <w:kern w:val="0"/>
                <w:sz w:val="24"/>
                <w:lang w:eastAsia="zh-CN"/>
                <w14:textFill>
                  <w14:solidFill>
                    <w14:schemeClr w14:val="tx1"/>
                  </w14:solidFill>
                </w14:textFill>
              </w:rPr>
            </w:pPr>
            <w:r>
              <w:rPr>
                <w:rFonts w:hint="default" w:ascii="Times New Roman" w:hAnsi="Times New Roman" w:eastAsia="宋体" w:cs="Times New Roman"/>
                <w:b/>
                <w:bCs/>
                <w:color w:val="000000" w:themeColor="text1"/>
                <w:kern w:val="0"/>
                <w:sz w:val="24"/>
                <w:lang w:eastAsia="zh-CN"/>
                <w14:textFill>
                  <w14:solidFill>
                    <w14:schemeClr w14:val="tx1"/>
                  </w14:solidFill>
                </w14:textFill>
              </w:rPr>
              <w:t>①废</w:t>
            </w:r>
            <w:r>
              <w:rPr>
                <w:rFonts w:hint="eastAsia" w:ascii="Times New Roman" w:hAnsi="Times New Roman" w:cs="Times New Roman"/>
                <w:b/>
                <w:bCs/>
                <w:color w:val="000000" w:themeColor="text1"/>
                <w:kern w:val="0"/>
                <w:sz w:val="24"/>
                <w:lang w:eastAsia="zh-CN"/>
                <w14:textFill>
                  <w14:solidFill>
                    <w14:schemeClr w14:val="tx1"/>
                  </w14:solidFill>
                </w14:textFill>
              </w:rPr>
              <w:t>液化石油气钢瓶</w:t>
            </w:r>
            <w:r>
              <w:rPr>
                <w:rFonts w:hint="default" w:ascii="Times New Roman" w:hAnsi="Times New Roman" w:eastAsia="宋体" w:cs="Times New Roman"/>
                <w:b/>
                <w:bCs/>
                <w:color w:val="000000" w:themeColor="text1"/>
                <w:kern w:val="0"/>
                <w:sz w:val="24"/>
                <w:lang w:eastAsia="zh-CN"/>
                <w14:textFill>
                  <w14:solidFill>
                    <w14:schemeClr w14:val="tx1"/>
                  </w14:solidFill>
                </w14:textFill>
              </w:rPr>
              <w:t>、废瓶阀、废钢丸</w:t>
            </w:r>
          </w:p>
          <w:p w14:paraId="7A918AE6">
            <w:pPr>
              <w:widowControl/>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根据《</w:t>
            </w:r>
            <w:r>
              <w:rPr>
                <w:rFonts w:hint="default" w:ascii="Times New Roman" w:hAnsi="Times New Roman" w:eastAsia="宋体" w:cs="Times New Roman"/>
                <w:color w:val="000000" w:themeColor="text1"/>
                <w:sz w:val="24"/>
                <w:lang w:val="en-US" w:eastAsia="zh-CN"/>
                <w14:textFill>
                  <w14:solidFill>
                    <w14:schemeClr w14:val="tx1"/>
                  </w14:solidFill>
                </w14:textFill>
              </w:rPr>
              <w:t>固体废物分类与代码目录</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2024</w:t>
            </w:r>
            <w:r>
              <w:rPr>
                <w:rFonts w:hint="default" w:ascii="Times New Roman" w:hAnsi="Times New Roman" w:eastAsia="宋体" w:cs="Times New Roman"/>
                <w:color w:val="000000" w:themeColor="text1"/>
                <w:sz w:val="24"/>
                <w:lang w:eastAsia="zh-CN"/>
                <w14:textFill>
                  <w14:solidFill>
                    <w14:schemeClr w14:val="tx1"/>
                  </w14:solidFill>
                </w14:textFill>
              </w:rPr>
              <w:t>），废</w:t>
            </w:r>
            <w:r>
              <w:rPr>
                <w:rFonts w:hint="eastAsia" w:ascii="Times New Roman" w:hAnsi="Times New Roman" w:cs="Times New Roman"/>
                <w:color w:val="000000" w:themeColor="text1"/>
                <w:sz w:val="24"/>
                <w:lang w:eastAsia="zh-CN"/>
                <w14:textFill>
                  <w14:solidFill>
                    <w14:schemeClr w14:val="tx1"/>
                  </w14:solidFill>
                </w14:textFill>
              </w:rPr>
              <w:t>液化石油气钢瓶</w:t>
            </w:r>
            <w:r>
              <w:rPr>
                <w:rFonts w:hint="default" w:ascii="Times New Roman" w:hAnsi="Times New Roman" w:eastAsia="宋体" w:cs="Times New Roman"/>
                <w:color w:val="000000" w:themeColor="text1"/>
                <w:sz w:val="24"/>
                <w:lang w:eastAsia="zh-CN"/>
                <w14:textFill>
                  <w14:solidFill>
                    <w14:schemeClr w14:val="tx1"/>
                  </w14:solidFill>
                </w14:textFill>
              </w:rPr>
              <w:t>、废瓶阀、废钢丸属于一般工业固体废物，</w:t>
            </w:r>
            <w:r>
              <w:rPr>
                <w:rFonts w:hint="default" w:ascii="Times New Roman" w:hAnsi="Times New Roman" w:eastAsia="宋体" w:cs="Times New Roman"/>
                <w:color w:val="000000" w:themeColor="text1"/>
                <w:sz w:val="24"/>
                <w:lang w:val="en-US" w:eastAsia="zh-CN"/>
                <w14:textFill>
                  <w14:solidFill>
                    <w14:schemeClr w14:val="tx1"/>
                  </w14:solidFill>
                </w14:textFill>
              </w:rPr>
              <w:t>固废代码 900-001-S17。</w:t>
            </w:r>
          </w:p>
          <w:p w14:paraId="71BD3D33">
            <w:pPr>
              <w:widowControl/>
              <w:spacing w:line="360" w:lineRule="auto"/>
              <w:ind w:firstLine="482" w:firstLineChars="200"/>
              <w:jc w:val="left"/>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a.</w:t>
            </w:r>
            <w:r>
              <w:rPr>
                <w:rFonts w:hint="default" w:ascii="Times New Roman" w:hAnsi="Times New Roman" w:eastAsia="宋体" w:cs="Times New Roman"/>
                <w:b/>
                <w:bCs/>
                <w:color w:val="000000" w:themeColor="text1"/>
                <w:kern w:val="0"/>
                <w:sz w:val="24"/>
                <w:lang w:eastAsia="zh-CN"/>
                <w14:textFill>
                  <w14:solidFill>
                    <w14:schemeClr w14:val="tx1"/>
                  </w14:solidFill>
                </w14:textFill>
              </w:rPr>
              <w:t>废</w:t>
            </w:r>
            <w:r>
              <w:rPr>
                <w:rFonts w:hint="eastAsia" w:ascii="Times New Roman" w:hAnsi="Times New Roman" w:cs="Times New Roman"/>
                <w:b/>
                <w:bCs/>
                <w:color w:val="000000" w:themeColor="text1"/>
                <w:kern w:val="0"/>
                <w:sz w:val="24"/>
                <w:lang w:eastAsia="zh-CN"/>
                <w14:textFill>
                  <w14:solidFill>
                    <w14:schemeClr w14:val="tx1"/>
                  </w14:solidFill>
                </w14:textFill>
              </w:rPr>
              <w:t>液化石油气钢瓶</w:t>
            </w:r>
          </w:p>
          <w:p w14:paraId="58051E6E">
            <w:pPr>
              <w:keepNext w:val="0"/>
              <w:keepLines w:val="0"/>
              <w:pageBreakBefore w:val="0"/>
              <w:widowControl/>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根据工程分析，超过使用年限需要报废处理的报废</w:t>
            </w:r>
            <w:r>
              <w:rPr>
                <w:rFonts w:hint="eastAsia" w:ascii="Times New Roman" w:hAnsi="Times New Roman" w:cs="Times New Roman"/>
                <w:color w:val="000000" w:themeColor="text1"/>
                <w:sz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lang w:val="en-US" w:eastAsia="zh-CN"/>
                <w14:textFill>
                  <w14:solidFill>
                    <w14:schemeClr w14:val="tx1"/>
                  </w14:solidFill>
                </w14:textFill>
              </w:rPr>
              <w:t>约10万只，重量约20</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0t；同时检测过程不合格的</w:t>
            </w:r>
            <w:r>
              <w:rPr>
                <w:rFonts w:hint="eastAsia" w:ascii="Times New Roman" w:hAnsi="Times New Roman" w:cs="Times New Roman"/>
                <w:color w:val="000000" w:themeColor="text1"/>
                <w:sz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lang w:val="en-US" w:eastAsia="zh-CN"/>
                <w14:textFill>
                  <w14:solidFill>
                    <w14:schemeClr w14:val="tx1"/>
                  </w14:solidFill>
                </w14:textFill>
              </w:rPr>
              <w:t>需报废处理，不合格</w:t>
            </w:r>
            <w:r>
              <w:rPr>
                <w:rFonts w:hint="eastAsia" w:ascii="Times New Roman" w:hAnsi="Times New Roman" w:cs="Times New Roman"/>
                <w:color w:val="000000" w:themeColor="text1"/>
                <w:sz w:val="24"/>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 w:val="24"/>
                <w:lang w:val="en-US" w:eastAsia="zh-CN"/>
                <w14:textFill>
                  <w14:solidFill>
                    <w14:schemeClr w14:val="tx1"/>
                  </w14:solidFill>
                </w14:textFill>
              </w:rPr>
              <w:t>约为6500只</w:t>
            </w:r>
            <w:r>
              <w:rPr>
                <w:rFonts w:hint="default" w:ascii="Times New Roman" w:hAnsi="Times New Roman" w:cs="Times New Roman"/>
                <w:color w:val="000000" w:themeColor="text1"/>
                <w:sz w:val="24"/>
                <w:lang w:val="en-US" w:eastAsia="zh-CN"/>
                <w14:textFill>
                  <w14:solidFill>
                    <w14:schemeClr w14:val="tx1"/>
                  </w14:solidFill>
                </w14:textFill>
              </w:rPr>
              <w:t>（10kg</w:t>
            </w:r>
            <w:r>
              <w:rPr>
                <w:rFonts w:hint="eastAsia" w:ascii="Times New Roman" w:hAnsi="Times New Roman" w:cs="Times New Roman"/>
                <w:color w:val="000000" w:themeColor="text1"/>
                <w:sz w:val="24"/>
                <w:lang w:val="en-US" w:eastAsia="zh-CN"/>
                <w14:textFill>
                  <w14:solidFill>
                    <w14:schemeClr w14:val="tx1"/>
                  </w14:solidFill>
                </w14:textFill>
              </w:rPr>
              <w:t>液化石油气钢瓶</w:t>
            </w:r>
            <w:r>
              <w:rPr>
                <w:rFonts w:hint="default" w:ascii="Times New Roman" w:hAnsi="Times New Roman" w:cs="Times New Roman"/>
                <w:color w:val="000000" w:themeColor="text1"/>
                <w:sz w:val="24"/>
                <w:lang w:val="en-US" w:eastAsia="zh-CN"/>
                <w14:textFill>
                  <w14:solidFill>
                    <w14:schemeClr w14:val="tx1"/>
                  </w14:solidFill>
                </w14:textFill>
              </w:rPr>
              <w:t>约1950只，15kg</w:t>
            </w:r>
            <w:r>
              <w:rPr>
                <w:rFonts w:hint="eastAsia" w:ascii="Times New Roman" w:hAnsi="Times New Roman" w:cs="Times New Roman"/>
                <w:color w:val="000000" w:themeColor="text1"/>
                <w:sz w:val="24"/>
                <w:lang w:val="en-US" w:eastAsia="zh-CN"/>
                <w14:textFill>
                  <w14:solidFill>
                    <w14:schemeClr w14:val="tx1"/>
                  </w14:solidFill>
                </w14:textFill>
              </w:rPr>
              <w:t>液化石油气钢瓶</w:t>
            </w:r>
            <w:r>
              <w:rPr>
                <w:rFonts w:hint="default" w:ascii="Times New Roman" w:hAnsi="Times New Roman" w:cs="Times New Roman"/>
                <w:color w:val="000000" w:themeColor="text1"/>
                <w:sz w:val="24"/>
                <w:lang w:val="en-US" w:eastAsia="zh-CN"/>
                <w14:textFill>
                  <w14:solidFill>
                    <w14:schemeClr w14:val="tx1"/>
                  </w14:solidFill>
                </w14:textFill>
              </w:rPr>
              <w:t>约3250只，50kg</w:t>
            </w:r>
            <w:r>
              <w:rPr>
                <w:rFonts w:hint="eastAsia" w:ascii="Times New Roman" w:hAnsi="Times New Roman" w:cs="Times New Roman"/>
                <w:color w:val="000000" w:themeColor="text1"/>
                <w:sz w:val="24"/>
                <w:lang w:val="en-US" w:eastAsia="zh-CN"/>
                <w14:textFill>
                  <w14:solidFill>
                    <w14:schemeClr w14:val="tx1"/>
                  </w14:solidFill>
                </w14:textFill>
              </w:rPr>
              <w:t>液化石油气钢瓶</w:t>
            </w:r>
            <w:r>
              <w:rPr>
                <w:rFonts w:hint="default" w:ascii="Times New Roman" w:hAnsi="Times New Roman" w:cs="Times New Roman"/>
                <w:color w:val="000000" w:themeColor="text1"/>
                <w:sz w:val="24"/>
                <w:lang w:val="en-US" w:eastAsia="zh-CN"/>
                <w14:textFill>
                  <w14:solidFill>
                    <w14:schemeClr w14:val="tx1"/>
                  </w14:solidFill>
                </w14:textFill>
              </w:rPr>
              <w:t>约1300只）</w:t>
            </w:r>
            <w:r>
              <w:rPr>
                <w:rFonts w:hint="default" w:ascii="Times New Roman" w:hAnsi="Times New Roman" w:eastAsia="宋体" w:cs="Times New Roman"/>
                <w:color w:val="000000" w:themeColor="text1"/>
                <w:sz w:val="24"/>
                <w:lang w:val="en-US" w:eastAsia="zh-CN"/>
                <w14:textFill>
                  <w14:solidFill>
                    <w14:schemeClr w14:val="tx1"/>
                  </w14:solidFill>
                </w14:textFill>
              </w:rPr>
              <w:t>，重量约</w:t>
            </w:r>
            <w:r>
              <w:rPr>
                <w:rFonts w:hint="default" w:ascii="Times New Roman" w:hAnsi="Times New Roman" w:cs="Times New Roman"/>
                <w:color w:val="000000" w:themeColor="text1"/>
                <w:sz w:val="24"/>
                <w:lang w:val="en-US" w:eastAsia="zh-CN"/>
                <w14:textFill>
                  <w14:solidFill>
                    <w14:schemeClr w14:val="tx1"/>
                  </w14:solidFill>
                </w14:textFill>
              </w:rPr>
              <w:t>133</w:t>
            </w:r>
            <w:r>
              <w:rPr>
                <w:rFonts w:hint="default" w:ascii="Times New Roman" w:hAnsi="Times New Roman" w:eastAsia="宋体" w:cs="Times New Roman"/>
                <w:color w:val="000000" w:themeColor="text1"/>
                <w:sz w:val="24"/>
                <w:lang w:val="en-US" w:eastAsia="zh-CN"/>
                <w14:textFill>
                  <w14:solidFill>
                    <w14:schemeClr w14:val="tx1"/>
                  </w14:solidFill>
                </w14:textFill>
              </w:rPr>
              <w:t>.25t。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则</w:t>
            </w:r>
            <w:r>
              <w:rPr>
                <w:rFonts w:hint="default" w:ascii="Times New Roman" w:hAnsi="Times New Roman" w:eastAsia="宋体" w:cs="Times New Roman"/>
                <w:b w:val="0"/>
                <w:bCs w:val="0"/>
                <w:color w:val="000000" w:themeColor="text1"/>
                <w:kern w:val="0"/>
                <w:sz w:val="24"/>
                <w:lang w:eastAsia="zh-CN"/>
                <w14:textFill>
                  <w14:solidFill>
                    <w14:schemeClr w14:val="tx1"/>
                  </w14:solidFill>
                </w14:textFill>
              </w:rPr>
              <w:t>废</w:t>
            </w:r>
            <w:r>
              <w:rPr>
                <w:rFonts w:hint="eastAsia" w:ascii="Times New Roman" w:hAnsi="Times New Roman" w:cs="Times New Roman"/>
                <w:b w:val="0"/>
                <w:bCs w:val="0"/>
                <w:color w:val="000000" w:themeColor="text1"/>
                <w:kern w:val="0"/>
                <w:sz w:val="24"/>
                <w:lang w:eastAsia="zh-CN"/>
                <w14:textFill>
                  <w14:solidFill>
                    <w14:schemeClr w14:val="tx1"/>
                  </w14:solidFill>
                </w14:textFill>
              </w:rPr>
              <w:t>液化石油气钢瓶</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为</w:t>
            </w:r>
            <w:r>
              <w:rPr>
                <w:rFonts w:hint="default" w:ascii="Times New Roman" w:hAnsi="Times New Roman" w:cs="Times New Roman"/>
                <w:b w:val="0"/>
                <w:bCs w:val="0"/>
                <w:color w:val="000000" w:themeColor="text1"/>
                <w:sz w:val="24"/>
                <w:lang w:val="en-US" w:eastAsia="zh-CN"/>
                <w14:textFill>
                  <w14:solidFill>
                    <w14:schemeClr w14:val="tx1"/>
                  </w14:solidFill>
                </w14:textFill>
              </w:rPr>
              <w:t>2163.25</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t/a</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lang w:eastAsia="zh-CN"/>
                <w14:textFill>
                  <w14:solidFill>
                    <w14:schemeClr w14:val="tx1"/>
                  </w14:solidFill>
                </w14:textFill>
              </w:rPr>
              <w:t>废</w:t>
            </w:r>
            <w:r>
              <w:rPr>
                <w:rFonts w:hint="eastAsia" w:ascii="Times New Roman" w:hAnsi="Times New Roman" w:cs="Times New Roman"/>
                <w:b w:val="0"/>
                <w:bCs w:val="0"/>
                <w:color w:val="000000" w:themeColor="text1"/>
                <w:kern w:val="0"/>
                <w:sz w:val="24"/>
                <w:lang w:eastAsia="zh-CN"/>
                <w14:textFill>
                  <w14:solidFill>
                    <w14:schemeClr w14:val="tx1"/>
                  </w14:solidFill>
                </w14:textFill>
              </w:rPr>
              <w:t>液化石油气钢瓶</w:t>
            </w:r>
            <w:r>
              <w:rPr>
                <w:rFonts w:hint="default" w:ascii="Times New Roman" w:hAnsi="Times New Roman" w:eastAsia="宋体" w:cs="Times New Roman"/>
                <w:b w:val="0"/>
                <w:bCs w:val="0"/>
                <w:color w:val="000000" w:themeColor="text1"/>
                <w:kern w:val="0"/>
                <w:sz w:val="24"/>
                <w:lang w:eastAsia="zh-CN"/>
                <w14:textFill>
                  <w14:solidFill>
                    <w14:schemeClr w14:val="tx1"/>
                  </w14:solidFill>
                </w14:textFill>
              </w:rPr>
              <w:t>进入压扁区压扁后，同废瓶阀、废钢丸</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经收集至</w:t>
            </w:r>
            <w:r>
              <w:rPr>
                <w:rFonts w:hint="default" w:ascii="Times New Roman" w:hAnsi="Times New Roman" w:cs="Times New Roman"/>
                <w:b w:val="0"/>
                <w:bCs w:val="0"/>
                <w:color w:val="000000" w:themeColor="text1"/>
                <w:sz w:val="24"/>
                <w:lang w:val="en-US" w:eastAsia="zh-CN"/>
                <w14:textFill>
                  <w14:solidFill>
                    <w14:schemeClr w14:val="tx1"/>
                  </w14:solidFill>
                </w14:textFill>
              </w:rPr>
              <w:t>一般固废暂存区</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暂存</w:t>
            </w:r>
            <w:r>
              <w:rPr>
                <w:rFonts w:hint="default" w:ascii="Times New Roman" w:hAnsi="Times New Roman" w:cs="Times New Roman"/>
                <w:b w:val="0"/>
                <w:bCs w:val="0"/>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定期</w:t>
            </w:r>
            <w:r>
              <w:rPr>
                <w:rFonts w:hint="eastAsia" w:cs="Times New Roman"/>
                <w:color w:val="000000" w:themeColor="text1"/>
                <w:sz w:val="24"/>
                <w:lang w:val="en-US" w:eastAsia="zh-CN"/>
                <w14:textFill>
                  <w14:solidFill>
                    <w14:schemeClr w14:val="tx1"/>
                  </w14:solidFill>
                </w14:textFill>
              </w:rPr>
              <w:t>外售废品回收商</w:t>
            </w:r>
            <w:r>
              <w:rPr>
                <w:rFonts w:hint="eastAsia" w:ascii="Times New Roman" w:hAnsi="Times New Roman" w:eastAsia="宋体" w:cs="Times New Roman"/>
                <w:color w:val="000000" w:themeColor="text1"/>
                <w:sz w:val="24"/>
                <w:lang w:val="en-US" w:eastAsia="zh-CN"/>
                <w14:textFill>
                  <w14:solidFill>
                    <w14:schemeClr w14:val="tx1"/>
                  </w14:solidFill>
                </w14:textFill>
              </w:rPr>
              <w:t>处置</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w:t>
            </w:r>
          </w:p>
          <w:p w14:paraId="3CDC36AB">
            <w:pPr>
              <w:widowControl/>
              <w:spacing w:line="360" w:lineRule="auto"/>
              <w:ind w:firstLine="482" w:firstLineChars="200"/>
              <w:jc w:val="left"/>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b.</w:t>
            </w:r>
            <w:r>
              <w:rPr>
                <w:rFonts w:hint="default" w:ascii="Times New Roman" w:hAnsi="Times New Roman" w:eastAsia="宋体" w:cs="Times New Roman"/>
                <w:b/>
                <w:bCs/>
                <w:color w:val="000000" w:themeColor="text1"/>
                <w:kern w:val="0"/>
                <w:sz w:val="24"/>
                <w:lang w:eastAsia="zh-CN"/>
                <w14:textFill>
                  <w14:solidFill>
                    <w14:schemeClr w14:val="tx1"/>
                  </w14:solidFill>
                </w14:textFill>
              </w:rPr>
              <w:t>废瓶阀</w:t>
            </w:r>
          </w:p>
          <w:p w14:paraId="54526800">
            <w:pPr>
              <w:widowControl/>
              <w:spacing w:line="360" w:lineRule="auto"/>
              <w:ind w:firstLine="480" w:firstLineChars="200"/>
              <w:jc w:val="left"/>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废瓶阀年产生量约30万个，质量约为0.2 kg/个，则产生量为60 t/a。</w:t>
            </w:r>
            <w:r>
              <w:rPr>
                <w:rFonts w:hint="default" w:ascii="Times New Roman" w:hAnsi="Times New Roman" w:eastAsia="宋体" w:cs="Times New Roman"/>
                <w:b w:val="0"/>
                <w:bCs w:val="0"/>
                <w:color w:val="000000" w:themeColor="text1"/>
                <w:kern w:val="0"/>
                <w:sz w:val="24"/>
                <w:lang w:eastAsia="zh-CN"/>
                <w14:textFill>
                  <w14:solidFill>
                    <w14:schemeClr w14:val="tx1"/>
                  </w14:solidFill>
                </w14:textFill>
              </w:rPr>
              <w:t>废瓶阀</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经收集至</w:t>
            </w:r>
            <w:r>
              <w:rPr>
                <w:rFonts w:hint="default" w:ascii="Times New Roman" w:hAnsi="Times New Roman" w:cs="Times New Roman"/>
                <w:b w:val="0"/>
                <w:bCs w:val="0"/>
                <w:color w:val="000000" w:themeColor="text1"/>
                <w:sz w:val="24"/>
                <w:lang w:val="en-US" w:eastAsia="zh-CN"/>
                <w14:textFill>
                  <w14:solidFill>
                    <w14:schemeClr w14:val="tx1"/>
                  </w14:solidFill>
                </w14:textFill>
              </w:rPr>
              <w:t>一般固废暂存区</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暂存</w:t>
            </w:r>
            <w:r>
              <w:rPr>
                <w:rFonts w:hint="default" w:ascii="Times New Roman" w:hAnsi="Times New Roman" w:cs="Times New Roman"/>
                <w:b w:val="0"/>
                <w:bCs w:val="0"/>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定期</w:t>
            </w:r>
            <w:r>
              <w:rPr>
                <w:rFonts w:hint="eastAsia" w:cs="Times New Roman"/>
                <w:color w:val="000000" w:themeColor="text1"/>
                <w:sz w:val="24"/>
                <w:lang w:val="en-US" w:eastAsia="zh-CN"/>
                <w14:textFill>
                  <w14:solidFill>
                    <w14:schemeClr w14:val="tx1"/>
                  </w14:solidFill>
                </w14:textFill>
              </w:rPr>
              <w:t>外售废品回收商</w:t>
            </w:r>
            <w:r>
              <w:rPr>
                <w:rFonts w:hint="eastAsia" w:ascii="Times New Roman" w:hAnsi="Times New Roman" w:eastAsia="宋体" w:cs="Times New Roman"/>
                <w:color w:val="000000" w:themeColor="text1"/>
                <w:sz w:val="24"/>
                <w:lang w:val="en-US" w:eastAsia="zh-CN"/>
                <w14:textFill>
                  <w14:solidFill>
                    <w14:schemeClr w14:val="tx1"/>
                  </w14:solidFill>
                </w14:textFill>
              </w:rPr>
              <w:t>处置。</w:t>
            </w:r>
          </w:p>
          <w:p w14:paraId="5106C1E7">
            <w:pPr>
              <w:widowControl/>
              <w:spacing w:line="360" w:lineRule="auto"/>
              <w:ind w:firstLine="482" w:firstLineChars="200"/>
              <w:jc w:val="left"/>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c.</w:t>
            </w:r>
            <w:r>
              <w:rPr>
                <w:rFonts w:hint="default" w:ascii="Times New Roman" w:hAnsi="Times New Roman" w:eastAsia="宋体" w:cs="Times New Roman"/>
                <w:b/>
                <w:bCs/>
                <w:color w:val="000000" w:themeColor="text1"/>
                <w:kern w:val="0"/>
                <w:sz w:val="24"/>
                <w:lang w:eastAsia="zh-CN"/>
                <w14:textFill>
                  <w14:solidFill>
                    <w14:schemeClr w14:val="tx1"/>
                  </w14:solidFill>
                </w14:textFill>
              </w:rPr>
              <w:t>废钢丸</w:t>
            </w:r>
          </w:p>
          <w:p w14:paraId="6AE83374">
            <w:pPr>
              <w:widowControl/>
              <w:spacing w:line="360" w:lineRule="auto"/>
              <w:ind w:firstLine="480" w:firstLineChars="200"/>
              <w:jc w:val="left"/>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抛丸环节钢丸使用量约为</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0 t/a，则废钢丸产生量为</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0t/a。</w:t>
            </w:r>
            <w:r>
              <w:rPr>
                <w:rFonts w:hint="default" w:ascii="Times New Roman" w:hAnsi="Times New Roman" w:eastAsia="宋体" w:cs="Times New Roman"/>
                <w:b w:val="0"/>
                <w:bCs w:val="0"/>
                <w:color w:val="000000" w:themeColor="text1"/>
                <w:kern w:val="0"/>
                <w:sz w:val="24"/>
                <w:lang w:eastAsia="zh-CN"/>
                <w14:textFill>
                  <w14:solidFill>
                    <w14:schemeClr w14:val="tx1"/>
                  </w14:solidFill>
                </w14:textFill>
              </w:rPr>
              <w:t>废钢丸</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经收集至</w:t>
            </w:r>
            <w:r>
              <w:rPr>
                <w:rFonts w:hint="default" w:ascii="Times New Roman" w:hAnsi="Times New Roman" w:cs="Times New Roman"/>
                <w:b w:val="0"/>
                <w:bCs w:val="0"/>
                <w:color w:val="000000" w:themeColor="text1"/>
                <w:sz w:val="24"/>
                <w:lang w:val="en-US" w:eastAsia="zh-CN"/>
                <w14:textFill>
                  <w14:solidFill>
                    <w14:schemeClr w14:val="tx1"/>
                  </w14:solidFill>
                </w14:textFill>
              </w:rPr>
              <w:t>一般固废暂存区</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暂存</w:t>
            </w:r>
            <w:r>
              <w:rPr>
                <w:rFonts w:hint="default" w:ascii="Times New Roman" w:hAnsi="Times New Roman" w:cs="Times New Roman"/>
                <w:b w:val="0"/>
                <w:bCs w:val="0"/>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定期</w:t>
            </w:r>
            <w:r>
              <w:rPr>
                <w:rFonts w:hint="eastAsia" w:cs="Times New Roman"/>
                <w:color w:val="000000" w:themeColor="text1"/>
                <w:sz w:val="24"/>
                <w:lang w:val="en-US" w:eastAsia="zh-CN"/>
                <w14:textFill>
                  <w14:solidFill>
                    <w14:schemeClr w14:val="tx1"/>
                  </w14:solidFill>
                </w14:textFill>
              </w:rPr>
              <w:t>外售废品回收商</w:t>
            </w:r>
            <w:r>
              <w:rPr>
                <w:rFonts w:hint="eastAsia" w:ascii="Times New Roman" w:hAnsi="Times New Roman" w:eastAsia="宋体" w:cs="Times New Roman"/>
                <w:color w:val="000000" w:themeColor="text1"/>
                <w:sz w:val="24"/>
                <w:lang w:val="en-US" w:eastAsia="zh-CN"/>
                <w14:textFill>
                  <w14:solidFill>
                    <w14:schemeClr w14:val="tx1"/>
                  </w14:solidFill>
                </w14:textFill>
              </w:rPr>
              <w:t>处置。</w:t>
            </w:r>
          </w:p>
          <w:p w14:paraId="25B76F40">
            <w:pPr>
              <w:widowControl/>
              <w:spacing w:line="360" w:lineRule="auto"/>
              <w:ind w:firstLine="482" w:firstLineChars="200"/>
              <w:jc w:val="left"/>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eastAsia="zh-CN"/>
                <w14:textFill>
                  <w14:solidFill>
                    <w14:schemeClr w14:val="tx1"/>
                  </w14:solidFill>
                </w14:textFill>
              </w:rPr>
              <w:t>②</w:t>
            </w:r>
            <w:r>
              <w:rPr>
                <w:rFonts w:hint="default" w:ascii="Times New Roman" w:hAnsi="Times New Roman" w:eastAsia="宋体" w:cs="Times New Roman"/>
                <w:b/>
                <w:bCs/>
                <w:color w:val="000000" w:themeColor="text1"/>
                <w:sz w:val="24"/>
                <w:lang w:val="en-US" w:eastAsia="zh-CN"/>
                <w14:textFill>
                  <w14:solidFill>
                    <w14:schemeClr w14:val="tx1"/>
                  </w14:solidFill>
                </w14:textFill>
              </w:rPr>
              <w:t>废橡胶圈</w:t>
            </w:r>
          </w:p>
          <w:p w14:paraId="05827C68">
            <w:pPr>
              <w:keepNext w:val="0"/>
              <w:keepLines w:val="0"/>
              <w:pageBreakBefore w:val="0"/>
              <w:widowControl/>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在拆角阀过程中会产生废橡胶圈，产生量为30万个，废橡胶圈质量约为0.001kg/个，即本项目废橡胶圈产生量为0.3t/a。</w:t>
            </w:r>
          </w:p>
          <w:p w14:paraId="63E9D4F3">
            <w:pPr>
              <w:keepNext w:val="0"/>
              <w:keepLines w:val="0"/>
              <w:pageBreakBefore w:val="0"/>
              <w:widowControl/>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根据《固体废物分类与代码目录》</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2024</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，废橡胶圈为 SW17可再生废物中的废橡胶，固废代码为 900-006-S17。经收集至</w:t>
            </w:r>
            <w:r>
              <w:rPr>
                <w:rFonts w:hint="default" w:ascii="Times New Roman" w:hAnsi="Times New Roman" w:cs="Times New Roman"/>
                <w:color w:val="000000" w:themeColor="text1"/>
                <w:sz w:val="24"/>
                <w:lang w:val="en-US" w:eastAsia="zh-CN"/>
                <w14:textFill>
                  <w14:solidFill>
                    <w14:schemeClr w14:val="tx1"/>
                  </w14:solidFill>
                </w14:textFill>
              </w:rPr>
              <w:t>一般固废暂存区</w:t>
            </w:r>
            <w:r>
              <w:rPr>
                <w:rFonts w:hint="default" w:ascii="Times New Roman" w:hAnsi="Times New Roman" w:eastAsia="宋体" w:cs="Times New Roman"/>
                <w:color w:val="000000" w:themeColor="text1"/>
                <w:sz w:val="24"/>
                <w:lang w:val="en-US" w:eastAsia="zh-CN"/>
                <w14:textFill>
                  <w14:solidFill>
                    <w14:schemeClr w14:val="tx1"/>
                  </w14:solidFill>
                </w14:textFill>
              </w:rPr>
              <w:t>暂存</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定期外售废品回收商处置</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0CD3D4E0">
            <w:pPr>
              <w:widowControl/>
              <w:spacing w:line="360" w:lineRule="auto"/>
              <w:ind w:firstLine="482" w:firstLineChars="200"/>
              <w:jc w:val="left"/>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③</w:t>
            </w:r>
            <w:r>
              <w:rPr>
                <w:rFonts w:hint="default" w:ascii="Times New Roman" w:hAnsi="Times New Roman" w:eastAsia="宋体" w:cs="Times New Roman"/>
                <w:b/>
                <w:bCs/>
                <w:color w:val="000000" w:themeColor="text1"/>
                <w:kern w:val="0"/>
                <w:sz w:val="24"/>
                <w14:textFill>
                  <w14:solidFill>
                    <w14:schemeClr w14:val="tx1"/>
                  </w14:solidFill>
                </w14:textFill>
              </w:rPr>
              <w:t>焚烧炉燃灰</w:t>
            </w:r>
          </w:p>
          <w:p w14:paraId="0B8445C6">
            <w:pPr>
              <w:widowControl/>
              <w:spacing w:line="360" w:lineRule="auto"/>
              <w:ind w:firstLine="480" w:firstLineChars="200"/>
              <w:jc w:val="left"/>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项目焚烧炉采用生物质颗粒作为燃料，年用量为</w:t>
            </w:r>
            <w:r>
              <w:rPr>
                <w:rFonts w:hint="default" w:ascii="Times New Roman" w:hAnsi="Times New Roman" w:eastAsia="宋体" w:cs="Times New Roman"/>
                <w:color w:val="000000" w:themeColor="text1"/>
                <w:sz w:val="24"/>
                <w:lang w:val="en-US" w:eastAsia="zh-CN"/>
                <w14:textFill>
                  <w14:solidFill>
                    <w14:schemeClr w14:val="tx1"/>
                  </w14:solidFill>
                </w14:textFill>
              </w:rPr>
              <w:t>225.375</w:t>
            </w:r>
            <w:r>
              <w:rPr>
                <w:rFonts w:hint="default" w:ascii="Times New Roman" w:hAnsi="Times New Roman" w:eastAsia="宋体" w:cs="Times New Roman"/>
                <w:color w:val="000000" w:themeColor="text1"/>
                <w:sz w:val="24"/>
                <w14:textFill>
                  <w14:solidFill>
                    <w14:schemeClr w14:val="tx1"/>
                  </w14:solidFill>
                </w14:textFill>
              </w:rPr>
              <w:t>t/a，</w:t>
            </w:r>
            <w:r>
              <w:rPr>
                <w:rFonts w:hint="default" w:ascii="Times New Roman" w:hAnsi="Times New Roman" w:eastAsia="宋体" w:cs="Times New Roman"/>
                <w:color w:val="000000" w:themeColor="text1"/>
                <w:sz w:val="24"/>
                <w:lang w:eastAsia="zh-CN"/>
                <w14:textFill>
                  <w14:solidFill>
                    <w14:schemeClr w14:val="tx1"/>
                  </w14:solidFill>
                </w14:textFill>
              </w:rPr>
              <w:t>根据生物质成分报告，灰分占比为</w:t>
            </w:r>
            <w:r>
              <w:rPr>
                <w:rFonts w:hint="default" w:ascii="Times New Roman" w:hAnsi="Times New Roman" w:eastAsia="宋体" w:cs="Times New Roman"/>
                <w:color w:val="000000" w:themeColor="text1"/>
                <w:sz w:val="24"/>
                <w:lang w:val="en-US" w:eastAsia="zh-CN"/>
                <w14:textFill>
                  <w14:solidFill>
                    <w14:schemeClr w14:val="tx1"/>
                  </w14:solidFill>
                </w14:textFill>
              </w:rPr>
              <w:t>4.02%，</w:t>
            </w:r>
            <w:r>
              <w:rPr>
                <w:rFonts w:hint="default" w:ascii="Times New Roman" w:hAnsi="Times New Roman" w:eastAsia="宋体" w:cs="Times New Roman"/>
                <w:color w:val="000000" w:themeColor="text1"/>
                <w:sz w:val="24"/>
                <w14:textFill>
                  <w14:solidFill>
                    <w14:schemeClr w14:val="tx1"/>
                  </w14:solidFill>
                </w14:textFill>
              </w:rPr>
              <w:t>则项目焚烧炉燃灰量</w:t>
            </w:r>
            <w:r>
              <w:rPr>
                <w:rFonts w:hint="default" w:ascii="Times New Roman" w:hAnsi="Times New Roman" w:eastAsia="宋体" w:cs="Times New Roman"/>
                <w:color w:val="000000" w:themeColor="text1"/>
                <w:sz w:val="24"/>
                <w:lang w:eastAsia="zh-CN"/>
                <w14:textFill>
                  <w14:solidFill>
                    <w14:schemeClr w14:val="tx1"/>
                  </w14:solidFill>
                </w14:textFill>
              </w:rPr>
              <w:t>约</w:t>
            </w:r>
            <w:r>
              <w:rPr>
                <w:rFonts w:hint="default" w:ascii="Times New Roman" w:hAnsi="Times New Roman" w:eastAsia="宋体" w:cs="Times New Roman"/>
                <w:color w:val="000000" w:themeColor="text1"/>
                <w:sz w:val="24"/>
                <w14:textFill>
                  <w14:solidFill>
                    <w14:schemeClr w14:val="tx1"/>
                  </w14:solidFill>
                </w14:textFill>
              </w:rPr>
              <w:t>为9.06t/a</w:t>
            </w:r>
            <w:r>
              <w:rPr>
                <w:rFonts w:hint="default" w:ascii="Times New Roman" w:hAnsi="Times New Roman" w:eastAsia="宋体" w:cs="Times New Roman"/>
                <w:color w:val="000000" w:themeColor="text1"/>
                <w:sz w:val="24"/>
                <w:lang w:eastAsia="zh-CN"/>
                <w14:textFill>
                  <w14:solidFill>
                    <w14:schemeClr w14:val="tx1"/>
                  </w14:solidFill>
                </w14:textFill>
              </w:rPr>
              <w:t>。</w:t>
            </w:r>
          </w:p>
          <w:p w14:paraId="65A3D165">
            <w:pPr>
              <w:keepNext w:val="0"/>
              <w:keepLines w:val="0"/>
              <w:pageBreakBefore w:val="0"/>
              <w:widowControl w:val="0"/>
              <w:kinsoku w:val="0"/>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根据《固体废物分类与代码目录》（2024），本项目除尘灰为SW</w:t>
            </w:r>
            <w:r>
              <w:rPr>
                <w:rFonts w:hint="default" w:ascii="Times New Roman" w:hAnsi="Times New Roman" w:cs="Times New Roman"/>
                <w:color w:val="000000" w:themeColor="text1"/>
                <w:sz w:val="24"/>
                <w:lang w:val="en-US" w:eastAsia="zh-CN"/>
                <w14:textFill>
                  <w14:solidFill>
                    <w14:schemeClr w14:val="tx1"/>
                  </w14:solidFill>
                </w14:textFill>
              </w:rPr>
              <w:t>03炉渣</w:t>
            </w:r>
            <w:r>
              <w:rPr>
                <w:rFonts w:hint="default" w:ascii="Times New Roman" w:hAnsi="Times New Roman" w:eastAsia="宋体" w:cs="Times New Roman"/>
                <w:color w:val="000000" w:themeColor="text1"/>
                <w:sz w:val="24"/>
                <w:lang w:val="en-US" w:eastAsia="zh-CN"/>
                <w14:textFill>
                  <w14:solidFill>
                    <w14:schemeClr w14:val="tx1"/>
                  </w14:solidFill>
                </w14:textFill>
              </w:rPr>
              <w:t>，固废代码为 900-099-S</w:t>
            </w:r>
            <w:r>
              <w:rPr>
                <w:rFonts w:hint="default" w:ascii="Times New Roman" w:hAnsi="Times New Roman" w:cs="Times New Roman"/>
                <w:color w:val="000000" w:themeColor="text1"/>
                <w:sz w:val="24"/>
                <w:lang w:val="en-US" w:eastAsia="zh-CN"/>
                <w14:textFill>
                  <w14:solidFill>
                    <w14:schemeClr w14:val="tx1"/>
                  </w14:solidFill>
                </w14:textFill>
              </w:rPr>
              <w:t>03</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0F1CED54">
            <w:pPr>
              <w:keepNext w:val="0"/>
              <w:keepLines w:val="0"/>
              <w:pageBreakBefore w:val="0"/>
              <w:widowControl w:val="0"/>
              <w:kinsoku w:val="0"/>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项目生物质燃料不添加任何化学物质，燃烧后的生物质渣与秸秆、木材等焚烧的草木灰性质成分类似，主要成分为钾、镁、磷和钙等无机物，不具有毒性与环境危害</w:t>
            </w:r>
            <w:r>
              <w:rPr>
                <w:rFonts w:hint="default" w:ascii="Times New Roman" w:hAnsi="Times New Roman" w:cs="Times New Roman"/>
                <w:color w:val="000000" w:themeColor="text1"/>
                <w:sz w:val="24"/>
                <w14:textFill>
                  <w14:solidFill>
                    <w14:schemeClr w14:val="tx1"/>
                  </w14:solidFill>
                </w14:textFill>
              </w:rPr>
              <w:t>，为</w:t>
            </w:r>
            <w:r>
              <w:rPr>
                <w:rFonts w:hint="default" w:ascii="Times New Roman" w:hAnsi="Times New Roman" w:eastAsia="宋体" w:cs="Times New Roman"/>
                <w:color w:val="000000" w:themeColor="text1"/>
                <w:sz w:val="24"/>
                <w:lang w:val="en-US" w:eastAsia="zh-CN"/>
                <w14:textFill>
                  <w14:solidFill>
                    <w14:schemeClr w14:val="tx1"/>
                  </w14:solidFill>
                </w14:textFill>
              </w:rPr>
              <w:t>一般工业固废，可用于制作有机肥，定期清理袋装后暂存于</w:t>
            </w:r>
            <w:r>
              <w:rPr>
                <w:rFonts w:hint="default" w:ascii="Times New Roman" w:hAnsi="Times New Roman" w:cs="Times New Roman"/>
                <w:color w:val="000000" w:themeColor="text1"/>
                <w:sz w:val="24"/>
                <w:lang w:val="en-US" w:eastAsia="zh-CN"/>
                <w14:textFill>
                  <w14:solidFill>
                    <w14:schemeClr w14:val="tx1"/>
                  </w14:solidFill>
                </w14:textFill>
              </w:rPr>
              <w:t>一般固废暂存区</w:t>
            </w:r>
            <w:r>
              <w:rPr>
                <w:rFonts w:hint="default" w:ascii="Times New Roman" w:hAnsi="Times New Roman" w:eastAsia="宋体" w:cs="Times New Roman"/>
                <w:color w:val="000000" w:themeColor="text1"/>
                <w:sz w:val="24"/>
                <w:lang w:val="en-US" w:eastAsia="zh-CN"/>
                <w14:textFill>
                  <w14:solidFill>
                    <w14:schemeClr w14:val="tx1"/>
                  </w14:solidFill>
                </w14:textFill>
              </w:rPr>
              <w:t>内，定期</w:t>
            </w:r>
            <w:r>
              <w:rPr>
                <w:rFonts w:hint="eastAsia" w:ascii="Times New Roman" w:hAnsi="Times New Roman" w:eastAsia="宋体" w:cs="Times New Roman"/>
                <w:color w:val="000000" w:themeColor="text1"/>
                <w:sz w:val="24"/>
                <w:lang w:val="en-US" w:eastAsia="zh-CN"/>
                <w14:textFill>
                  <w14:solidFill>
                    <w14:schemeClr w14:val="tx1"/>
                  </w14:solidFill>
                </w14:textFill>
              </w:rPr>
              <w:t>外售</w:t>
            </w:r>
            <w:r>
              <w:rPr>
                <w:rFonts w:hint="default" w:ascii="Times New Roman" w:hAnsi="Times New Roman" w:eastAsia="宋体" w:cs="Times New Roman"/>
                <w:color w:val="000000" w:themeColor="text1"/>
                <w:sz w:val="24"/>
                <w:lang w:val="en-US" w:eastAsia="zh-CN"/>
                <w14:textFill>
                  <w14:solidFill>
                    <w14:schemeClr w14:val="tx1"/>
                  </w14:solidFill>
                </w14:textFill>
              </w:rPr>
              <w:t>废品回收商处置。</w:t>
            </w:r>
          </w:p>
          <w:p w14:paraId="02FF623F">
            <w:pPr>
              <w:keepNext w:val="0"/>
              <w:keepLines w:val="0"/>
              <w:pageBreakBefore w:val="0"/>
              <w:widowControl w:val="0"/>
              <w:kinsoku w:val="0"/>
              <w:wordWrap w:val="0"/>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④除尘灰</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 </w:t>
            </w:r>
          </w:p>
          <w:p w14:paraId="365AB8B4">
            <w:pPr>
              <w:keepNext w:val="0"/>
              <w:keepLines w:val="0"/>
              <w:pageBreakBefore w:val="0"/>
              <w:widowControl w:val="0"/>
              <w:kinsoku w:val="0"/>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根据上文，抛丸除锈</w:t>
            </w:r>
            <w:r>
              <w:rPr>
                <w:rFonts w:hint="eastAsia" w:cs="Times New Roman"/>
                <w:color w:val="000000" w:themeColor="text1"/>
                <w:sz w:val="24"/>
                <w:lang w:val="en-US" w:eastAsia="zh-CN"/>
                <w14:textFill>
                  <w14:solidFill>
                    <w14:schemeClr w14:val="tx1"/>
                  </w14:solidFill>
                </w14:textFill>
              </w:rPr>
              <w:t>环节</w:t>
            </w:r>
            <w:r>
              <w:rPr>
                <w:rFonts w:hint="default" w:ascii="Times New Roman" w:hAnsi="Times New Roman" w:eastAsia="宋体" w:cs="Times New Roman"/>
                <w:color w:val="000000" w:themeColor="text1"/>
                <w:sz w:val="24"/>
                <w:lang w:val="en-US" w:eastAsia="zh-CN"/>
                <w14:textFill>
                  <w14:solidFill>
                    <w14:schemeClr w14:val="tx1"/>
                  </w14:solidFill>
                </w14:textFill>
              </w:rPr>
              <w:t>除尘</w:t>
            </w:r>
            <w:r>
              <w:rPr>
                <w:rFonts w:hint="eastAsia" w:cs="Times New Roman"/>
                <w:color w:val="000000" w:themeColor="text1"/>
                <w:sz w:val="24"/>
                <w:lang w:val="en-US" w:eastAsia="zh-CN"/>
                <w14:textFill>
                  <w14:solidFill>
                    <w14:schemeClr w14:val="tx1"/>
                  </w14:solidFill>
                </w14:textFill>
              </w:rPr>
              <w:t>设施</w:t>
            </w:r>
            <w:r>
              <w:rPr>
                <w:rFonts w:hint="default" w:ascii="Times New Roman" w:hAnsi="Times New Roman" w:eastAsia="宋体" w:cs="Times New Roman"/>
                <w:color w:val="000000" w:themeColor="text1"/>
                <w:sz w:val="24"/>
                <w:lang w:val="en-US" w:eastAsia="zh-CN"/>
                <w14:textFill>
                  <w14:solidFill>
                    <w14:schemeClr w14:val="tx1"/>
                  </w14:solidFill>
                </w14:textFill>
              </w:rPr>
              <w:t>收集粉尘量约为8.44322t/a，</w:t>
            </w:r>
            <w:r>
              <w:rPr>
                <w:rFonts w:hint="eastAsia" w:cs="Times New Roman"/>
                <w:color w:val="000000" w:themeColor="text1"/>
                <w:sz w:val="24"/>
                <w:lang w:val="en-US" w:eastAsia="zh-CN"/>
                <w14:textFill>
                  <w14:solidFill>
                    <w14:schemeClr w14:val="tx1"/>
                  </w14:solidFill>
                </w14:textFill>
              </w:rPr>
              <w:t>喷塑环节</w:t>
            </w:r>
            <w:r>
              <w:rPr>
                <w:rFonts w:hint="default" w:ascii="Times New Roman" w:hAnsi="Times New Roman" w:eastAsia="宋体" w:cs="Times New Roman"/>
                <w:color w:val="000000" w:themeColor="text1"/>
                <w:sz w:val="24"/>
                <w:lang w:val="en-US" w:eastAsia="zh-CN"/>
                <w14:textFill>
                  <w14:solidFill>
                    <w14:schemeClr w14:val="tx1"/>
                  </w14:solidFill>
                </w14:textFill>
              </w:rPr>
              <w:t>除尘</w:t>
            </w:r>
            <w:r>
              <w:rPr>
                <w:rFonts w:hint="eastAsia" w:cs="Times New Roman"/>
                <w:color w:val="000000" w:themeColor="text1"/>
                <w:sz w:val="24"/>
                <w:lang w:val="en-US" w:eastAsia="zh-CN"/>
                <w14:textFill>
                  <w14:solidFill>
                    <w14:schemeClr w14:val="tx1"/>
                  </w14:solidFill>
                </w14:textFill>
              </w:rPr>
              <w:t>设施</w:t>
            </w:r>
            <w:r>
              <w:rPr>
                <w:rFonts w:hint="default" w:ascii="Times New Roman" w:hAnsi="Times New Roman" w:eastAsia="宋体" w:cs="Times New Roman"/>
                <w:color w:val="000000" w:themeColor="text1"/>
                <w:sz w:val="24"/>
                <w:lang w:val="en-US" w:eastAsia="zh-CN"/>
                <w14:textFill>
                  <w14:solidFill>
                    <w14:schemeClr w14:val="tx1"/>
                  </w14:solidFill>
                </w14:textFill>
              </w:rPr>
              <w:t>粉尘收集粉尘量约为2.843141t/a，焚烧</w:t>
            </w:r>
            <w:r>
              <w:rPr>
                <w:rFonts w:hint="eastAsia" w:cs="Times New Roman"/>
                <w:color w:val="000000" w:themeColor="text1"/>
                <w:sz w:val="24"/>
                <w:lang w:val="en-US" w:eastAsia="zh-CN"/>
                <w14:textFill>
                  <w14:solidFill>
                    <w14:schemeClr w14:val="tx1"/>
                  </w14:solidFill>
                </w14:textFill>
              </w:rPr>
              <w:t>环节</w:t>
            </w:r>
            <w:r>
              <w:rPr>
                <w:rFonts w:hint="default" w:ascii="Times New Roman" w:hAnsi="Times New Roman" w:eastAsia="宋体" w:cs="Times New Roman"/>
                <w:color w:val="000000" w:themeColor="text1"/>
                <w:sz w:val="24"/>
                <w:lang w:val="en-US" w:eastAsia="zh-CN"/>
                <w14:textFill>
                  <w14:solidFill>
                    <w14:schemeClr w14:val="tx1"/>
                  </w14:solidFill>
                </w14:textFill>
              </w:rPr>
              <w:t>除尘</w:t>
            </w:r>
            <w:r>
              <w:rPr>
                <w:rFonts w:hint="eastAsia" w:cs="Times New Roman"/>
                <w:color w:val="000000" w:themeColor="text1"/>
                <w:sz w:val="24"/>
                <w:lang w:val="en-US" w:eastAsia="zh-CN"/>
                <w14:textFill>
                  <w14:solidFill>
                    <w14:schemeClr w14:val="tx1"/>
                  </w14:solidFill>
                </w14:textFill>
              </w:rPr>
              <w:t>设施</w:t>
            </w:r>
            <w:r>
              <w:rPr>
                <w:rFonts w:hint="default" w:ascii="Times New Roman" w:hAnsi="Times New Roman" w:eastAsia="宋体" w:cs="Times New Roman"/>
                <w:color w:val="000000" w:themeColor="text1"/>
                <w:sz w:val="24"/>
                <w:lang w:val="en-US" w:eastAsia="zh-CN"/>
                <w14:textFill>
                  <w14:solidFill>
                    <w14:schemeClr w14:val="tx1"/>
                  </w14:solidFill>
                </w14:textFill>
              </w:rPr>
              <w:t>粉尘量约为15.9261777t/a。总收集粉尘量</w:t>
            </w:r>
            <w:r>
              <w:rPr>
                <w:rFonts w:hint="eastAsia" w:cs="Times New Roman"/>
                <w:color w:val="000000" w:themeColor="text1"/>
                <w:sz w:val="24"/>
                <w:lang w:val="en-US" w:eastAsia="zh-CN"/>
                <w14:textFill>
                  <w14:solidFill>
                    <w14:schemeClr w14:val="tx1"/>
                  </w14:solidFill>
                </w14:textFill>
              </w:rPr>
              <w:t>约</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为27.2125t/a。 </w:t>
            </w:r>
          </w:p>
          <w:p w14:paraId="47923CC9">
            <w:pPr>
              <w:keepNext w:val="0"/>
              <w:keepLines w:val="0"/>
              <w:pageBreakBefore w:val="0"/>
              <w:widowControl w:val="0"/>
              <w:kinsoku w:val="0"/>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根据《固体废物分类与代码目录》（2024），本项目除尘灰为SW59其他工业固体废物中的其他固体废物，固废代码为 900-099-S59。抛丸除锈</w:t>
            </w:r>
            <w:r>
              <w:rPr>
                <w:rFonts w:hint="eastAsia" w:cs="Times New Roman"/>
                <w:color w:val="000000" w:themeColor="text1"/>
                <w:sz w:val="24"/>
                <w:lang w:val="en-US" w:eastAsia="zh-CN"/>
                <w14:textFill>
                  <w14:solidFill>
                    <w14:schemeClr w14:val="tx1"/>
                  </w14:solidFill>
                </w14:textFill>
              </w:rPr>
              <w:t>环节</w:t>
            </w:r>
            <w:r>
              <w:rPr>
                <w:rFonts w:hint="default" w:ascii="Times New Roman" w:hAnsi="Times New Roman" w:eastAsia="宋体" w:cs="Times New Roman"/>
                <w:color w:val="000000" w:themeColor="text1"/>
                <w:sz w:val="24"/>
                <w:lang w:val="en-US" w:eastAsia="zh-CN"/>
                <w14:textFill>
                  <w14:solidFill>
                    <w14:schemeClr w14:val="tx1"/>
                  </w14:solidFill>
                </w14:textFill>
              </w:rPr>
              <w:t>除尘</w:t>
            </w:r>
            <w:r>
              <w:rPr>
                <w:rFonts w:hint="eastAsia" w:cs="Times New Roman"/>
                <w:color w:val="000000" w:themeColor="text1"/>
                <w:sz w:val="24"/>
                <w:lang w:val="en-US" w:eastAsia="zh-CN"/>
                <w14:textFill>
                  <w14:solidFill>
                    <w14:schemeClr w14:val="tx1"/>
                  </w14:solidFill>
                </w14:textFill>
              </w:rPr>
              <w:t>设施</w:t>
            </w:r>
            <w:r>
              <w:rPr>
                <w:rFonts w:hint="default" w:ascii="Times New Roman" w:hAnsi="Times New Roman" w:eastAsia="宋体" w:cs="Times New Roman"/>
                <w:color w:val="000000" w:themeColor="text1"/>
                <w:sz w:val="24"/>
                <w:lang w:val="en-US" w:eastAsia="zh-CN"/>
                <w14:textFill>
                  <w14:solidFill>
                    <w14:schemeClr w14:val="tx1"/>
                  </w14:solidFill>
                </w14:textFill>
              </w:rPr>
              <w:t>收集粉尘</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焚烧</w:t>
            </w:r>
            <w:r>
              <w:rPr>
                <w:rFonts w:hint="eastAsia" w:cs="Times New Roman"/>
                <w:color w:val="000000" w:themeColor="text1"/>
                <w:sz w:val="24"/>
                <w:lang w:val="en-US" w:eastAsia="zh-CN"/>
                <w14:textFill>
                  <w14:solidFill>
                    <w14:schemeClr w14:val="tx1"/>
                  </w14:solidFill>
                </w14:textFill>
              </w:rPr>
              <w:t>环节</w:t>
            </w:r>
            <w:r>
              <w:rPr>
                <w:rFonts w:hint="default" w:ascii="Times New Roman" w:hAnsi="Times New Roman" w:eastAsia="宋体" w:cs="Times New Roman"/>
                <w:color w:val="000000" w:themeColor="text1"/>
                <w:sz w:val="24"/>
                <w:lang w:val="en-US" w:eastAsia="zh-CN"/>
                <w14:textFill>
                  <w14:solidFill>
                    <w14:schemeClr w14:val="tx1"/>
                  </w14:solidFill>
                </w14:textFill>
              </w:rPr>
              <w:t>除尘</w:t>
            </w:r>
            <w:r>
              <w:rPr>
                <w:rFonts w:hint="eastAsia" w:cs="Times New Roman"/>
                <w:color w:val="000000" w:themeColor="text1"/>
                <w:sz w:val="24"/>
                <w:lang w:val="en-US" w:eastAsia="zh-CN"/>
                <w14:textFill>
                  <w14:solidFill>
                    <w14:schemeClr w14:val="tx1"/>
                  </w14:solidFill>
                </w14:textFill>
              </w:rPr>
              <w:t>设施</w:t>
            </w:r>
            <w:r>
              <w:rPr>
                <w:rFonts w:hint="default" w:ascii="Times New Roman" w:hAnsi="Times New Roman" w:eastAsia="宋体" w:cs="Times New Roman"/>
                <w:color w:val="000000" w:themeColor="text1"/>
                <w:sz w:val="24"/>
                <w:lang w:val="en-US" w:eastAsia="zh-CN"/>
                <w14:textFill>
                  <w14:solidFill>
                    <w14:schemeClr w14:val="tx1"/>
                  </w14:solidFill>
                </w14:textFill>
              </w:rPr>
              <w:t>收集粉尘</w:t>
            </w:r>
            <w:r>
              <w:rPr>
                <w:rFonts w:hint="eastAsia" w:ascii="Times New Roman" w:hAnsi="Times New Roman" w:eastAsia="宋体" w:cs="Times New Roman"/>
                <w:color w:val="000000" w:themeColor="text1"/>
                <w:sz w:val="24"/>
                <w:lang w:val="en-US" w:eastAsia="zh-CN"/>
                <w14:textFill>
                  <w14:solidFill>
                    <w14:schemeClr w14:val="tx1"/>
                  </w14:solidFill>
                </w14:textFill>
              </w:rPr>
              <w:t>经</w:t>
            </w:r>
            <w:r>
              <w:rPr>
                <w:rFonts w:hint="default" w:ascii="Times New Roman" w:hAnsi="Times New Roman" w:eastAsia="宋体" w:cs="Times New Roman"/>
                <w:color w:val="000000" w:themeColor="text1"/>
                <w:sz w:val="24"/>
                <w:lang w:val="en-US" w:eastAsia="zh-CN"/>
                <w14:textFill>
                  <w14:solidFill>
                    <w14:schemeClr w14:val="tx1"/>
                  </w14:solidFill>
                </w14:textFill>
              </w:rPr>
              <w:t>收集后暂存于</w:t>
            </w:r>
            <w:r>
              <w:rPr>
                <w:rFonts w:hint="default" w:ascii="Times New Roman" w:hAnsi="Times New Roman" w:cs="Times New Roman"/>
                <w:color w:val="000000" w:themeColor="text1"/>
                <w:sz w:val="24"/>
                <w:lang w:val="en-US" w:eastAsia="zh-CN"/>
                <w14:textFill>
                  <w14:solidFill>
                    <w14:schemeClr w14:val="tx1"/>
                  </w14:solidFill>
                </w14:textFill>
              </w:rPr>
              <w:t>一般固废暂存区</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定期外售废品回收商处置</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喷塑环节</w:t>
            </w:r>
            <w:r>
              <w:rPr>
                <w:rFonts w:hint="default" w:ascii="Times New Roman" w:hAnsi="Times New Roman" w:eastAsia="宋体" w:cs="Times New Roman"/>
                <w:color w:val="000000" w:themeColor="text1"/>
                <w:sz w:val="24"/>
                <w:lang w:val="en-US" w:eastAsia="zh-CN"/>
                <w14:textFill>
                  <w14:solidFill>
                    <w14:schemeClr w14:val="tx1"/>
                  </w14:solidFill>
                </w14:textFill>
              </w:rPr>
              <w:t>除尘</w:t>
            </w:r>
            <w:r>
              <w:rPr>
                <w:rFonts w:hint="eastAsia" w:cs="Times New Roman"/>
                <w:color w:val="000000" w:themeColor="text1"/>
                <w:sz w:val="24"/>
                <w:lang w:val="en-US" w:eastAsia="zh-CN"/>
                <w14:textFill>
                  <w14:solidFill>
                    <w14:schemeClr w14:val="tx1"/>
                  </w14:solidFill>
                </w14:textFill>
              </w:rPr>
              <w:t>设施</w:t>
            </w:r>
            <w:r>
              <w:rPr>
                <w:rFonts w:hint="default" w:ascii="Times New Roman" w:hAnsi="Times New Roman" w:eastAsia="宋体" w:cs="Times New Roman"/>
                <w:color w:val="000000" w:themeColor="text1"/>
                <w:sz w:val="24"/>
                <w:lang w:val="en-US" w:eastAsia="zh-CN"/>
                <w14:textFill>
                  <w14:solidFill>
                    <w14:schemeClr w14:val="tx1"/>
                  </w14:solidFill>
                </w14:textFill>
              </w:rPr>
              <w:t>收集粉尘</w:t>
            </w:r>
            <w:r>
              <w:rPr>
                <w:rFonts w:hint="eastAsia" w:ascii="Times New Roman" w:hAnsi="Times New Roman" w:eastAsia="宋体" w:cs="Times New Roman"/>
                <w:color w:val="000000" w:themeColor="text1"/>
                <w:sz w:val="24"/>
                <w:lang w:val="en-US" w:eastAsia="zh-CN"/>
                <w14:textFill>
                  <w14:solidFill>
                    <w14:schemeClr w14:val="tx1"/>
                  </w14:solidFill>
                </w14:textFill>
              </w:rPr>
              <w:t>经收集后回用于生产环节。</w:t>
            </w:r>
          </w:p>
          <w:p w14:paraId="461E10D4">
            <w:pPr>
              <w:keepNext w:val="0"/>
              <w:keepLines w:val="0"/>
              <w:pageBreakBefore w:val="0"/>
              <w:widowControl w:val="0"/>
              <w:kinsoku w:val="0"/>
              <w:wordWrap w:val="0"/>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⑤废滤筒</w:t>
            </w:r>
          </w:p>
          <w:p w14:paraId="2428A885">
            <w:pPr>
              <w:keepNext w:val="0"/>
              <w:keepLines w:val="0"/>
              <w:pageBreakBefore w:val="0"/>
              <w:widowControl w:val="0"/>
              <w:kinsoku w:val="0"/>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项目抛丸除锈、喷塑废气进入脉冲滤筒除尘设施处理，滤筒需定期检查或更换以保证粉末的回收效率，企业拟每半个月检查一次滤筒的状态，每6个月更换一次，故产生废滤筒，产生量约为0.05t/a。</w:t>
            </w:r>
          </w:p>
          <w:p w14:paraId="009FFD92">
            <w:pPr>
              <w:keepNext w:val="0"/>
              <w:keepLines w:val="0"/>
              <w:pageBreakBefore w:val="0"/>
              <w:widowControl w:val="0"/>
              <w:kinsoku w:val="0"/>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根据《固体废物分类与代码目录》（2024），本项目废滤芯为SW59其他工业固体废物中的其他固体废物，固废代码为900-099-S59。收集后暂存于</w:t>
            </w:r>
            <w:r>
              <w:rPr>
                <w:rFonts w:hint="default" w:ascii="Times New Roman" w:hAnsi="Times New Roman" w:cs="Times New Roman"/>
                <w:color w:val="000000" w:themeColor="text1"/>
                <w:sz w:val="24"/>
                <w:lang w:val="en-US" w:eastAsia="zh-CN"/>
                <w14:textFill>
                  <w14:solidFill>
                    <w14:schemeClr w14:val="tx1"/>
                  </w14:solidFill>
                </w14:textFill>
              </w:rPr>
              <w:t>一般固废暂存区</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定期外售废品回收商处置</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47822A89">
            <w:pPr>
              <w:keepNext w:val="0"/>
              <w:keepLines w:val="0"/>
              <w:pageBreakBefore w:val="0"/>
              <w:widowControl w:val="0"/>
              <w:kinsoku w:val="0"/>
              <w:wordWrap w:val="0"/>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⑥脱硫废渣</w:t>
            </w:r>
          </w:p>
          <w:p w14:paraId="3600F619">
            <w:pPr>
              <w:keepNext w:val="0"/>
              <w:keepLines w:val="0"/>
              <w:pageBreakBefore w:val="0"/>
              <w:widowControl w:val="0"/>
              <w:kinsoku w:val="0"/>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val="0"/>
                <w:bCs w:val="0"/>
                <w:color w:val="000000" w:themeColor="text1"/>
                <w:sz w:val="24"/>
                <w:lang w:val="en-US" w:eastAsia="zh-CN"/>
                <w14:textFill>
                  <w14:solidFill>
                    <w14:schemeClr w14:val="tx1"/>
                  </w14:solidFill>
                </w14:textFill>
              </w:rPr>
              <w:t>本项目采用双碱法对废气进行脱硫处理，该过程会产生一部分脱硫石膏，年处理SO</w:t>
            </w:r>
            <w:r>
              <w:rPr>
                <w:rFonts w:hint="default" w:ascii="Times New Roman" w:hAnsi="Times New Roman" w:cs="Times New Roman"/>
                <w:b w:val="0"/>
                <w:bCs w:val="0"/>
                <w:color w:val="000000" w:themeColor="text1"/>
                <w:sz w:val="24"/>
                <w:vertAlign w:val="subscript"/>
                <w:lang w:val="en-US" w:eastAsia="zh-CN"/>
                <w14:textFill>
                  <w14:solidFill>
                    <w14:schemeClr w14:val="tx1"/>
                  </w14:solidFill>
                </w14:textFill>
              </w:rPr>
              <w:t>2</w:t>
            </w:r>
            <w:r>
              <w:rPr>
                <w:rFonts w:hint="default" w:ascii="Times New Roman" w:hAnsi="Times New Roman" w:cs="Times New Roman"/>
                <w:b w:val="0"/>
                <w:bCs w:val="0"/>
                <w:color w:val="000000" w:themeColor="text1"/>
                <w:sz w:val="24"/>
                <w:lang w:val="en-US" w:eastAsia="zh-CN"/>
                <w14:textFill>
                  <w14:solidFill>
                    <w14:schemeClr w14:val="tx1"/>
                  </w14:solidFill>
                </w14:textFill>
              </w:rPr>
              <w:t>量为0.105944t/a，根据二氧化硫和</w:t>
            </w:r>
            <w:r>
              <w:rPr>
                <w:rFonts w:hint="eastAsia" w:ascii="Times New Roman" w:hAnsi="Times New Roman" w:cs="Times New Roman"/>
                <w:b w:val="0"/>
                <w:bCs w:val="0"/>
                <w:color w:val="000000" w:themeColor="text1"/>
                <w:sz w:val="24"/>
                <w:lang w:val="en-US" w:eastAsia="zh-CN"/>
                <w14:textFill>
                  <w14:solidFill>
                    <w14:schemeClr w14:val="tx1"/>
                  </w14:solidFill>
                </w14:textFill>
              </w:rPr>
              <w:t>生</w:t>
            </w:r>
            <w:r>
              <w:rPr>
                <w:rFonts w:hint="default" w:ascii="Times New Roman" w:hAnsi="Times New Roman" w:cs="Times New Roman"/>
                <w:b w:val="0"/>
                <w:bCs w:val="0"/>
                <w:color w:val="000000" w:themeColor="text1"/>
                <w:sz w:val="24"/>
                <w:lang w:val="en-US" w:eastAsia="zh-CN"/>
                <w14:textFill>
                  <w14:solidFill>
                    <w14:schemeClr w14:val="tx1"/>
                  </w14:solidFill>
                </w14:textFill>
              </w:rPr>
              <w:t>石灰的摩尔质量比值，石灰用量约0.1225t/a，脱硫废渣产生</w:t>
            </w:r>
            <w:r>
              <w:rPr>
                <w:rFonts w:hint="eastAsia" w:cs="Times New Roman"/>
                <w:b w:val="0"/>
                <w:bCs w:val="0"/>
                <w:color w:val="000000" w:themeColor="text1"/>
                <w:sz w:val="24"/>
                <w:lang w:val="en-US" w:eastAsia="zh-CN"/>
                <w14:textFill>
                  <w14:solidFill>
                    <w14:schemeClr w14:val="tx1"/>
                  </w14:solidFill>
                </w14:textFill>
              </w:rPr>
              <w:t>量</w:t>
            </w:r>
            <w:r>
              <w:rPr>
                <w:rFonts w:hint="default" w:ascii="Times New Roman" w:hAnsi="Times New Roman" w:cs="Times New Roman"/>
                <w:b w:val="0"/>
                <w:bCs w:val="0"/>
                <w:color w:val="000000" w:themeColor="text1"/>
                <w:sz w:val="24"/>
                <w:lang w:val="en-US" w:eastAsia="zh-CN"/>
                <w14:textFill>
                  <w14:solidFill>
                    <w14:schemeClr w14:val="tx1"/>
                  </w14:solidFill>
                </w14:textFill>
              </w:rPr>
              <w:t>约0.2284t/a。</w:t>
            </w:r>
          </w:p>
          <w:p w14:paraId="74243229">
            <w:pPr>
              <w:keepNext w:val="0"/>
              <w:keepLines w:val="0"/>
              <w:pageBreakBefore w:val="0"/>
              <w:widowControl w:val="0"/>
              <w:kinsoku w:val="0"/>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根据《固体废物分类与代码目录》（2024），属于“SW06脱硫石膏；非特定行业；其他脱硫石膏。其他行业烟气处理产生的脱硫石膏或脱硫灰。”，固废代码900-099-S06。</w:t>
            </w:r>
            <w:r>
              <w:rPr>
                <w:rFonts w:hint="default" w:ascii="Times New Roman" w:hAnsi="Times New Roman" w:eastAsia="宋体" w:cs="Times New Roman"/>
                <w:color w:val="000000" w:themeColor="text1"/>
                <w:sz w:val="24"/>
                <w:lang w:val="en-US" w:eastAsia="zh-CN"/>
                <w14:textFill>
                  <w14:solidFill>
                    <w14:schemeClr w14:val="tx1"/>
                  </w14:solidFill>
                </w14:textFill>
              </w:rPr>
              <w:t>收集后暂存于</w:t>
            </w:r>
            <w:r>
              <w:rPr>
                <w:rFonts w:hint="default" w:ascii="Times New Roman" w:hAnsi="Times New Roman" w:cs="Times New Roman"/>
                <w:color w:val="000000" w:themeColor="text1"/>
                <w:sz w:val="24"/>
                <w:lang w:val="en-US" w:eastAsia="zh-CN"/>
                <w14:textFill>
                  <w14:solidFill>
                    <w14:schemeClr w14:val="tx1"/>
                  </w14:solidFill>
                </w14:textFill>
              </w:rPr>
              <w:t>一般固废暂存区</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定期外售废品回收商处置</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4572BF92">
            <w:pPr>
              <w:keepNext w:val="0"/>
              <w:keepLines w:val="0"/>
              <w:pageBreakBefore w:val="0"/>
              <w:widowControl w:val="0"/>
              <w:kinsoku w:val="0"/>
              <w:wordWrap w:val="0"/>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3）危险废物</w:t>
            </w:r>
          </w:p>
          <w:p w14:paraId="3AF2DD85">
            <w:pPr>
              <w:keepNext w:val="0"/>
              <w:keepLines w:val="0"/>
              <w:pageBreakBefore w:val="0"/>
              <w:widowControl w:val="0"/>
              <w:kinsoku w:val="0"/>
              <w:wordWrap w:val="0"/>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①废</w:t>
            </w:r>
            <w:r>
              <w:rPr>
                <w:rFonts w:hint="default" w:ascii="Times New Roman" w:hAnsi="Times New Roman" w:cs="Times New Roman"/>
                <w:b/>
                <w:bCs/>
                <w:color w:val="000000" w:themeColor="text1"/>
                <w:sz w:val="24"/>
                <w:lang w:eastAsia="zh-CN"/>
                <w14:textFill>
                  <w14:solidFill>
                    <w14:schemeClr w14:val="tx1"/>
                  </w14:solidFill>
                </w14:textFill>
              </w:rPr>
              <w:t>机油</w:t>
            </w:r>
          </w:p>
          <w:p w14:paraId="21C12F18">
            <w:pPr>
              <w:keepNext w:val="0"/>
              <w:pageBreakBefore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本项目机械设备保养和维修过程中</w:t>
            </w:r>
            <w:r>
              <w:rPr>
                <w:rFonts w:hint="default" w:ascii="Times New Roman" w:hAnsi="Times New Roman" w:eastAsia="宋体" w:cs="Times New Roman"/>
                <w:color w:val="000000" w:themeColor="text1"/>
                <w:sz w:val="24"/>
                <w:lang w:eastAsia="zh-CN"/>
                <w14:textFill>
                  <w14:solidFill>
                    <w14:schemeClr w14:val="tx1"/>
                  </w14:solidFill>
                </w14:textFill>
              </w:rPr>
              <w:t>可能</w:t>
            </w:r>
            <w:r>
              <w:rPr>
                <w:rFonts w:hint="default" w:ascii="Times New Roman" w:hAnsi="Times New Roman" w:eastAsia="宋体" w:cs="Times New Roman"/>
                <w:color w:val="000000" w:themeColor="text1"/>
                <w:sz w:val="24"/>
                <w14:textFill>
                  <w14:solidFill>
                    <w14:schemeClr w14:val="tx1"/>
                  </w14:solidFill>
                </w14:textFill>
              </w:rPr>
              <w:t>会产生</w:t>
            </w:r>
            <w:r>
              <w:rPr>
                <w:rFonts w:hint="default" w:ascii="Times New Roman" w:hAnsi="Times New Roman" w:eastAsia="宋体" w:cs="Times New Roman"/>
                <w:color w:val="000000" w:themeColor="text1"/>
                <w:sz w:val="24"/>
                <w:lang w:eastAsia="zh-CN"/>
                <w14:textFill>
                  <w14:solidFill>
                    <w14:schemeClr w14:val="tx1"/>
                  </w14:solidFill>
                </w14:textFill>
              </w:rPr>
              <w:t>少量</w:t>
            </w:r>
            <w:r>
              <w:rPr>
                <w:rFonts w:hint="default" w:ascii="Times New Roman" w:hAnsi="Times New Roman" w:eastAsia="宋体" w:cs="Times New Roman"/>
                <w:color w:val="000000" w:themeColor="text1"/>
                <w:sz w:val="24"/>
                <w14:textFill>
                  <w14:solidFill>
                    <w14:schemeClr w14:val="tx1"/>
                  </w14:solidFill>
                </w14:textFill>
              </w:rPr>
              <w:t>废</w:t>
            </w:r>
            <w:r>
              <w:rPr>
                <w:rFonts w:hint="default" w:ascii="Times New Roman" w:hAnsi="Times New Roman" w:cs="Times New Roman"/>
                <w:color w:val="000000" w:themeColor="text1"/>
                <w:sz w:val="24"/>
                <w:lang w:eastAsia="zh-CN"/>
                <w14:textFill>
                  <w14:solidFill>
                    <w14:schemeClr w14:val="tx1"/>
                  </w14:solidFill>
                </w14:textFill>
              </w:rPr>
              <w:t>机油</w:t>
            </w:r>
            <w:r>
              <w:rPr>
                <w:rFonts w:hint="default" w:ascii="Times New Roman" w:hAnsi="Times New Roman" w:eastAsia="宋体" w:cs="Times New Roman"/>
                <w:color w:val="000000" w:themeColor="text1"/>
                <w:sz w:val="24"/>
                <w14:textFill>
                  <w14:solidFill>
                    <w14:schemeClr w14:val="tx1"/>
                  </w14:solidFill>
                </w14:textFill>
              </w:rPr>
              <w:t>，产生量约为0.0</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t/a，根据《国家危险废物名录》（202</w:t>
            </w:r>
            <w:r>
              <w:rPr>
                <w:rFonts w:hint="default"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年本），废</w:t>
            </w:r>
            <w:r>
              <w:rPr>
                <w:rFonts w:hint="default" w:ascii="Times New Roman" w:hAnsi="Times New Roman" w:cs="Times New Roman"/>
                <w:color w:val="000000" w:themeColor="text1"/>
                <w:sz w:val="24"/>
                <w:lang w:eastAsia="zh-CN"/>
                <w14:textFill>
                  <w14:solidFill>
                    <w14:schemeClr w14:val="tx1"/>
                  </w14:solidFill>
                </w14:textFill>
              </w:rPr>
              <w:t>机油</w:t>
            </w:r>
            <w:r>
              <w:rPr>
                <w:rFonts w:hint="default" w:ascii="Times New Roman" w:hAnsi="Times New Roman" w:eastAsia="宋体" w:cs="Times New Roman"/>
                <w:color w:val="000000" w:themeColor="text1"/>
                <w:sz w:val="24"/>
                <w14:textFill>
                  <w14:solidFill>
                    <w14:schemeClr w14:val="tx1"/>
                  </w14:solidFill>
                </w14:textFill>
              </w:rPr>
              <w:t>类别属“HW08废矿物油与含矿物油废物”；废物代码“900-214-08”，产生的废</w:t>
            </w:r>
            <w:r>
              <w:rPr>
                <w:rFonts w:hint="default" w:ascii="Times New Roman" w:hAnsi="Times New Roman" w:cs="Times New Roman"/>
                <w:color w:val="000000" w:themeColor="text1"/>
                <w:sz w:val="24"/>
                <w:lang w:eastAsia="zh-CN"/>
                <w14:textFill>
                  <w14:solidFill>
                    <w14:schemeClr w14:val="tx1"/>
                  </w14:solidFill>
                </w14:textFill>
              </w:rPr>
              <w:t>机油</w:t>
            </w:r>
            <w:r>
              <w:rPr>
                <w:rFonts w:hint="default" w:ascii="Times New Roman" w:hAnsi="Times New Roman" w:eastAsia="宋体" w:cs="Times New Roman"/>
                <w:color w:val="000000" w:themeColor="text1"/>
                <w:sz w:val="24"/>
                <w14:textFill>
                  <w14:solidFill>
                    <w14:schemeClr w14:val="tx1"/>
                  </w14:solidFill>
                </w14:textFill>
              </w:rPr>
              <w:t>通过收集后暂存于危废暂存间，定期委托有资质单位清运处置。</w:t>
            </w:r>
          </w:p>
          <w:p w14:paraId="0A2C1CCC">
            <w:pPr>
              <w:keepNext w:val="0"/>
              <w:keepLines w:val="0"/>
              <w:pageBreakBefore w:val="0"/>
              <w:widowControl w:val="0"/>
              <w:kinsoku w:val="0"/>
              <w:wordWrap w:val="0"/>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②废油墨桶</w:t>
            </w:r>
          </w:p>
          <w:p w14:paraId="584EBF65">
            <w:pPr>
              <w:keepNext w:val="0"/>
              <w:pageBreakBefore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本项目油墨使用量为0.488781t/a，每桶油墨为25 kg，则年需要油墨桶为 20个，每个桶重量约1kg，则废油墨桶产生量约为0.02t/a，</w:t>
            </w:r>
            <w:r>
              <w:rPr>
                <w:rFonts w:hint="default" w:ascii="Times New Roman" w:hAnsi="Times New Roman" w:eastAsia="宋体" w:cs="Times New Roman"/>
                <w:color w:val="000000" w:themeColor="text1"/>
                <w:sz w:val="24"/>
                <w14:textFill>
                  <w14:solidFill>
                    <w14:schemeClr w14:val="tx1"/>
                  </w14:solidFill>
                </w14:textFill>
              </w:rPr>
              <w:t>根据《国家危险废物名录》（202</w:t>
            </w:r>
            <w:r>
              <w:rPr>
                <w:rFonts w:hint="default"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年本），</w:t>
            </w:r>
            <w:r>
              <w:rPr>
                <w:rFonts w:hint="default" w:ascii="Times New Roman" w:hAnsi="Times New Roman" w:eastAsia="宋体" w:cs="Times New Roman"/>
                <w:color w:val="000000" w:themeColor="text1"/>
                <w:sz w:val="24"/>
                <w:lang w:val="en-US" w:eastAsia="zh-CN"/>
                <w14:textFill>
                  <w14:solidFill>
                    <w14:schemeClr w14:val="tx1"/>
                  </w14:solidFill>
                </w14:textFill>
              </w:rPr>
              <w:t>属于“HW49 其他废物”，</w:t>
            </w:r>
            <w:r>
              <w:rPr>
                <w:rFonts w:hint="default" w:ascii="Times New Roman" w:hAnsi="Times New Roman" w:eastAsia="宋体" w:cs="Times New Roman"/>
                <w:color w:val="000000" w:themeColor="text1"/>
                <w:sz w:val="24"/>
                <w14:textFill>
                  <w14:solidFill>
                    <w14:schemeClr w14:val="tx1"/>
                  </w14:solidFill>
                </w14:textFill>
              </w:rPr>
              <w:t>废物</w:t>
            </w:r>
            <w:r>
              <w:rPr>
                <w:rFonts w:hint="default" w:ascii="Times New Roman" w:hAnsi="Times New Roman" w:eastAsia="宋体" w:cs="Times New Roman"/>
                <w:color w:val="000000" w:themeColor="text1"/>
                <w:sz w:val="24"/>
                <w:lang w:val="en-US" w:eastAsia="zh-CN"/>
                <w14:textFill>
                  <w14:solidFill>
                    <w14:schemeClr w14:val="tx1"/>
                  </w14:solidFill>
                </w14:textFill>
              </w:rPr>
              <w:t>代码为“900-041-49”。经</w:t>
            </w:r>
            <w:r>
              <w:rPr>
                <w:rFonts w:hint="default" w:ascii="Times New Roman" w:hAnsi="Times New Roman" w:eastAsia="宋体" w:cs="Times New Roman"/>
                <w:color w:val="000000" w:themeColor="text1"/>
                <w:sz w:val="24"/>
                <w14:textFill>
                  <w14:solidFill>
                    <w14:schemeClr w14:val="tx1"/>
                  </w14:solidFill>
                </w14:textFill>
              </w:rPr>
              <w:t>收集后暂存于危废暂存间，定期委托有资质单位清运处置。</w:t>
            </w:r>
          </w:p>
          <w:p w14:paraId="6588139B">
            <w:pPr>
              <w:keepNext w:val="0"/>
              <w:pageBreakBefore w:val="0"/>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③废网板</w:t>
            </w:r>
          </w:p>
          <w:p w14:paraId="0C59D6B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项目刷字工序使用网板刷字，购买成品网板不再自行制作，但网板使用一段时间后可能会损坏影响刷字效果，需进行更换，产生量约为0.1 t/a（100个）。废网板属于“HW12 染料、涂料废物”，</w:t>
            </w:r>
            <w:r>
              <w:rPr>
                <w:rFonts w:hint="default" w:ascii="Times New Roman" w:hAnsi="Times New Roman" w:eastAsia="宋体" w:cs="Times New Roman"/>
                <w:color w:val="000000" w:themeColor="text1"/>
                <w:sz w:val="24"/>
                <w14:textFill>
                  <w14:solidFill>
                    <w14:schemeClr w14:val="tx1"/>
                  </w14:solidFill>
                </w14:textFill>
              </w:rPr>
              <w:t>废物代码</w:t>
            </w:r>
            <w:r>
              <w:rPr>
                <w:rFonts w:hint="default" w:ascii="Times New Roman" w:hAnsi="Times New Roman" w:eastAsia="宋体" w:cs="Times New Roman"/>
                <w:color w:val="000000" w:themeColor="text1"/>
                <w:sz w:val="24"/>
                <w:lang w:val="en-US" w:eastAsia="zh-CN"/>
                <w14:textFill>
                  <w14:solidFill>
                    <w14:schemeClr w14:val="tx1"/>
                  </w14:solidFill>
                </w14:textFill>
              </w:rPr>
              <w:t>为“900-253-12”。经</w:t>
            </w:r>
            <w:r>
              <w:rPr>
                <w:rFonts w:hint="default" w:ascii="Times New Roman" w:hAnsi="Times New Roman" w:eastAsia="宋体" w:cs="Times New Roman"/>
                <w:color w:val="000000" w:themeColor="text1"/>
                <w:sz w:val="24"/>
                <w14:textFill>
                  <w14:solidFill>
                    <w14:schemeClr w14:val="tx1"/>
                  </w14:solidFill>
                </w14:textFill>
              </w:rPr>
              <w:t>收集后暂存于危废暂存间，定期委托有资质单位清运处置。</w:t>
            </w:r>
          </w:p>
          <w:p w14:paraId="6DFBFC40">
            <w:pPr>
              <w:keepNext w:val="0"/>
              <w:pageBreakBefore w:val="0"/>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④喷淋废水</w:t>
            </w:r>
          </w:p>
          <w:p w14:paraId="69B6EC57">
            <w:pPr>
              <w:keepNext w:val="0"/>
              <w:pageBreakBefore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根据前文分析可知，本项目喷淋塔废水每年更换一次，每次更换量 2m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根据《国家危险废物名录》（202</w:t>
            </w:r>
            <w:r>
              <w:rPr>
                <w:rFonts w:hint="default"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年本）</w:t>
            </w:r>
            <w:r>
              <w:rPr>
                <w:rFonts w:hint="default" w:ascii="Times New Roman" w:hAnsi="Times New Roman" w:eastAsia="宋体" w:cs="Times New Roman"/>
                <w:color w:val="000000" w:themeColor="text1"/>
                <w:sz w:val="24"/>
                <w:lang w:val="en-US" w:eastAsia="zh-CN"/>
                <w14:textFill>
                  <w14:solidFill>
                    <w14:schemeClr w14:val="tx1"/>
                  </w14:solidFill>
                </w14:textFill>
              </w:rPr>
              <w:t>，喷淋废水属于“HW35废碱，900-399-35生产、销售及使用过程中产生的失效、变质、不合格、淘汰、伪劣的强碱性擦洗粉、清洁剂、污迹去除剂以及其他强碱性废碱液、固态碱和碱渣</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，经</w:t>
            </w:r>
            <w:r>
              <w:rPr>
                <w:rFonts w:hint="default" w:ascii="Times New Roman" w:hAnsi="Times New Roman" w:eastAsia="宋体" w:cs="Times New Roman"/>
                <w:color w:val="000000" w:themeColor="text1"/>
                <w:sz w:val="24"/>
                <w14:textFill>
                  <w14:solidFill>
                    <w14:schemeClr w14:val="tx1"/>
                  </w14:solidFill>
                </w14:textFill>
              </w:rPr>
              <w:t>收集后暂存于危废暂存间，定期委托有资质单位清运处置。</w:t>
            </w:r>
          </w:p>
          <w:p w14:paraId="743930DC">
            <w:pPr>
              <w:keepNext w:val="0"/>
              <w:pageBreakBefore w:val="0"/>
              <w:overflowPunct/>
              <w:topLinePunct w:val="0"/>
              <w:autoSpaceDE/>
              <w:autoSpaceDN/>
              <w:bidi w:val="0"/>
              <w:adjustRightInd/>
              <w:snapToGrid/>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表4-1</w:t>
            </w:r>
            <w:r>
              <w:rPr>
                <w:rFonts w:hint="default" w:ascii="Times New Roman" w:hAnsi="Times New Roman" w:cs="Times New Roman"/>
                <w:b/>
                <w:color w:val="000000" w:themeColor="text1"/>
                <w:sz w:val="21"/>
                <w:szCs w:val="21"/>
                <w:lang w:val="en-US" w:eastAsia="zh-CN"/>
                <w14:textFill>
                  <w14:solidFill>
                    <w14:schemeClr w14:val="tx1"/>
                  </w14:solidFill>
                </w14:textFill>
              </w:rPr>
              <w:t>5</w:t>
            </w:r>
            <w:r>
              <w:rPr>
                <w:rFonts w:hint="default" w:ascii="Times New Roman" w:hAnsi="Times New Roman" w:cs="Times New Roman"/>
                <w:b/>
                <w:color w:val="000000" w:themeColor="text1"/>
                <w:sz w:val="21"/>
                <w:szCs w:val="21"/>
                <w14:textFill>
                  <w14:solidFill>
                    <w14:schemeClr w14:val="tx1"/>
                  </w14:solidFill>
                </w14:textFill>
              </w:rPr>
              <w:t xml:space="preserve"> 项目固废产生及处置情况一览表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0"/>
              <w:gridCol w:w="1327"/>
              <w:gridCol w:w="677"/>
              <w:gridCol w:w="1395"/>
              <w:gridCol w:w="659"/>
              <w:gridCol w:w="1127"/>
              <w:gridCol w:w="1842"/>
            </w:tblGrid>
            <w:tr w14:paraId="133B8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4" w:type="pct"/>
                  <w:noWrap w:val="0"/>
                  <w:vAlign w:val="center"/>
                </w:tcPr>
                <w:p w14:paraId="5EA358F7">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产生环节</w:t>
                  </w:r>
                </w:p>
              </w:tc>
              <w:tc>
                <w:tcPr>
                  <w:tcW w:w="822" w:type="pct"/>
                  <w:noWrap w:val="0"/>
                  <w:vAlign w:val="center"/>
                </w:tcPr>
                <w:p w14:paraId="76F5043A">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名称</w:t>
                  </w:r>
                </w:p>
              </w:tc>
              <w:tc>
                <w:tcPr>
                  <w:tcW w:w="419" w:type="pct"/>
                  <w:noWrap w:val="0"/>
                  <w:vAlign w:val="center"/>
                </w:tcPr>
                <w:p w14:paraId="739E6E54">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属性</w:t>
                  </w:r>
                </w:p>
              </w:tc>
              <w:tc>
                <w:tcPr>
                  <w:tcW w:w="864" w:type="pct"/>
                  <w:noWrap w:val="0"/>
                  <w:vAlign w:val="center"/>
                </w:tcPr>
                <w:p w14:paraId="35CA95BF">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代码</w:t>
                  </w:r>
                </w:p>
              </w:tc>
              <w:tc>
                <w:tcPr>
                  <w:tcW w:w="408" w:type="pct"/>
                  <w:noWrap w:val="0"/>
                  <w:vAlign w:val="center"/>
                </w:tcPr>
                <w:p w14:paraId="712FAC20">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物理性状</w:t>
                  </w:r>
                </w:p>
              </w:tc>
              <w:tc>
                <w:tcPr>
                  <w:tcW w:w="698" w:type="pct"/>
                  <w:noWrap w:val="0"/>
                  <w:vAlign w:val="center"/>
                </w:tcPr>
                <w:p w14:paraId="51DDB490">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产生量t/a</w:t>
                  </w:r>
                </w:p>
              </w:tc>
              <w:tc>
                <w:tcPr>
                  <w:tcW w:w="1141" w:type="pct"/>
                  <w:noWrap w:val="0"/>
                  <w:vAlign w:val="center"/>
                </w:tcPr>
                <w:p w14:paraId="2DC3D57A">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利用处置方式和去向</w:t>
                  </w:r>
                </w:p>
              </w:tc>
            </w:tr>
            <w:tr w14:paraId="0FC17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4" w:type="pct"/>
                  <w:vMerge w:val="restart"/>
                  <w:noWrap w:val="0"/>
                  <w:vAlign w:val="center"/>
                </w:tcPr>
                <w:p w14:paraId="567C6FB0">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员工</w:t>
                  </w:r>
                </w:p>
              </w:tc>
              <w:tc>
                <w:tcPr>
                  <w:tcW w:w="822" w:type="pct"/>
                  <w:noWrap w:val="0"/>
                  <w:vAlign w:val="center"/>
                </w:tcPr>
                <w:p w14:paraId="170EE94D">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生活垃圾</w:t>
                  </w:r>
                </w:p>
              </w:tc>
              <w:tc>
                <w:tcPr>
                  <w:tcW w:w="419" w:type="pct"/>
                  <w:noWrap w:val="0"/>
                  <w:vAlign w:val="center"/>
                </w:tcPr>
                <w:p w14:paraId="7391B446">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生活垃圾</w:t>
                  </w:r>
                </w:p>
              </w:tc>
              <w:tc>
                <w:tcPr>
                  <w:tcW w:w="864" w:type="pct"/>
                  <w:noWrap w:val="0"/>
                  <w:vAlign w:val="center"/>
                </w:tcPr>
                <w:p w14:paraId="4327267B">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900-001-S64</w:t>
                  </w:r>
                </w:p>
              </w:tc>
              <w:tc>
                <w:tcPr>
                  <w:tcW w:w="408" w:type="pct"/>
                  <w:noWrap w:val="0"/>
                  <w:vAlign w:val="center"/>
                </w:tcPr>
                <w:p w14:paraId="4DE5CC69">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固态</w:t>
                  </w:r>
                </w:p>
              </w:tc>
              <w:tc>
                <w:tcPr>
                  <w:tcW w:w="698" w:type="pct"/>
                  <w:noWrap w:val="0"/>
                  <w:vAlign w:val="center"/>
                </w:tcPr>
                <w:p w14:paraId="67131982">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1141" w:type="pct"/>
                  <w:noWrap w:val="0"/>
                  <w:vAlign w:val="center"/>
                </w:tcPr>
                <w:p w14:paraId="3147FC1E">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统一收集后由环卫部门统一清运</w:t>
                  </w:r>
                </w:p>
              </w:tc>
            </w:tr>
            <w:tr w14:paraId="67568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4" w:type="pct"/>
                  <w:vMerge w:val="continue"/>
                  <w:noWrap w:val="0"/>
                  <w:vAlign w:val="center"/>
                </w:tcPr>
                <w:p w14:paraId="641C6CFD">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22" w:type="pct"/>
                  <w:noWrap w:val="0"/>
                  <w:vAlign w:val="center"/>
                </w:tcPr>
                <w:p w14:paraId="5BABEDF7">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生活</w:t>
                  </w:r>
                  <w:r>
                    <w:rPr>
                      <w:rFonts w:hint="default" w:ascii="Times New Roman" w:hAnsi="Times New Roman" w:eastAsia="宋体" w:cs="Times New Roman"/>
                      <w:color w:val="000000" w:themeColor="text1"/>
                      <w:sz w:val="21"/>
                      <w:szCs w:val="21"/>
                      <w14:textFill>
                        <w14:solidFill>
                          <w14:schemeClr w14:val="tx1"/>
                        </w14:solidFill>
                      </w14:textFill>
                    </w:rPr>
                    <w:t>污水处理设施污泥</w:t>
                  </w:r>
                </w:p>
              </w:tc>
              <w:tc>
                <w:tcPr>
                  <w:tcW w:w="419" w:type="pct"/>
                  <w:noWrap w:val="0"/>
                  <w:vAlign w:val="center"/>
                </w:tcPr>
                <w:p w14:paraId="580F6236">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其他固体废物</w:t>
                  </w:r>
                </w:p>
              </w:tc>
              <w:tc>
                <w:tcPr>
                  <w:tcW w:w="864" w:type="pct"/>
                  <w:noWrap w:val="0"/>
                  <w:vAlign w:val="center"/>
                </w:tcPr>
                <w:p w14:paraId="7ECA7525">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461-001-S90</w:t>
                  </w:r>
                </w:p>
              </w:tc>
              <w:tc>
                <w:tcPr>
                  <w:tcW w:w="408" w:type="pct"/>
                  <w:noWrap w:val="0"/>
                  <w:vAlign w:val="center"/>
                </w:tcPr>
                <w:p w14:paraId="5C67C17F">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固态</w:t>
                  </w:r>
                </w:p>
              </w:tc>
              <w:tc>
                <w:tcPr>
                  <w:tcW w:w="698" w:type="pct"/>
                  <w:noWrap w:val="0"/>
                  <w:vAlign w:val="center"/>
                </w:tcPr>
                <w:p w14:paraId="20E350EE">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2.04</w:t>
                  </w:r>
                </w:p>
              </w:tc>
              <w:tc>
                <w:tcPr>
                  <w:tcW w:w="1141" w:type="pct"/>
                  <w:noWrap w:val="0"/>
                  <w:vAlign w:val="center"/>
                </w:tcPr>
                <w:p w14:paraId="72AC940E">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委托环卫部门清运处置。</w:t>
                  </w:r>
                </w:p>
              </w:tc>
            </w:tr>
            <w:tr w14:paraId="4CA43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4" w:type="pct"/>
                  <w:vMerge w:val="restart"/>
                  <w:noWrap w:val="0"/>
                  <w:vAlign w:val="center"/>
                </w:tcPr>
                <w:p w14:paraId="345A2F4B">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生产</w:t>
                  </w:r>
                </w:p>
              </w:tc>
              <w:tc>
                <w:tcPr>
                  <w:tcW w:w="822" w:type="pct"/>
                  <w:noWrap w:val="0"/>
                  <w:vAlign w:val="center"/>
                </w:tcPr>
                <w:p w14:paraId="707AE637">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废</w:t>
                  </w:r>
                  <w:r>
                    <w:rPr>
                      <w:rFonts w:hint="eastAsia" w:ascii="Times New Roman" w:hAnsi="Times New Roman" w:cs="Times New Roman"/>
                      <w:color w:val="000000" w:themeColor="text1"/>
                      <w:sz w:val="21"/>
                      <w:szCs w:val="21"/>
                      <w:lang w:eastAsia="zh-CN"/>
                      <w14:textFill>
                        <w14:solidFill>
                          <w14:schemeClr w14:val="tx1"/>
                        </w14:solidFill>
                      </w14:textFill>
                    </w:rPr>
                    <w:t>液化石油气钢瓶</w:t>
                  </w:r>
                  <w:r>
                    <w:rPr>
                      <w:rFonts w:hint="default" w:ascii="Times New Roman" w:hAnsi="Times New Roman" w:eastAsia="宋体" w:cs="Times New Roman"/>
                      <w:color w:val="000000" w:themeColor="text1"/>
                      <w:sz w:val="21"/>
                      <w:szCs w:val="21"/>
                      <w:lang w:eastAsia="zh-CN"/>
                      <w14:textFill>
                        <w14:solidFill>
                          <w14:schemeClr w14:val="tx1"/>
                        </w14:solidFill>
                      </w14:textFill>
                    </w:rPr>
                    <w:t>、废瓶阀、废钢丸</w:t>
                  </w:r>
                </w:p>
              </w:tc>
              <w:tc>
                <w:tcPr>
                  <w:tcW w:w="419" w:type="pct"/>
                  <w:vMerge w:val="restart"/>
                  <w:noWrap w:val="0"/>
                  <w:vAlign w:val="center"/>
                </w:tcPr>
                <w:p w14:paraId="1DA03D7A">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一般工业固废</w:t>
                  </w:r>
                </w:p>
              </w:tc>
              <w:tc>
                <w:tcPr>
                  <w:tcW w:w="864" w:type="pct"/>
                  <w:noWrap w:val="0"/>
                  <w:vAlign w:val="center"/>
                </w:tcPr>
                <w:p w14:paraId="0723CAE2">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900-001-S17</w:t>
                  </w:r>
                </w:p>
              </w:tc>
              <w:tc>
                <w:tcPr>
                  <w:tcW w:w="408" w:type="pct"/>
                  <w:noWrap w:val="0"/>
                  <w:vAlign w:val="center"/>
                </w:tcPr>
                <w:p w14:paraId="528CE3DB">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固态</w:t>
                  </w:r>
                </w:p>
              </w:tc>
              <w:tc>
                <w:tcPr>
                  <w:tcW w:w="698" w:type="pct"/>
                  <w:noWrap w:val="0"/>
                  <w:vAlign w:val="center"/>
                </w:tcPr>
                <w:p w14:paraId="22D19385">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2253.25</w:t>
                  </w:r>
                </w:p>
              </w:tc>
              <w:tc>
                <w:tcPr>
                  <w:tcW w:w="1141" w:type="pct"/>
                  <w:noWrap w:val="0"/>
                  <w:vAlign w:val="center"/>
                </w:tcPr>
                <w:p w14:paraId="48D0F073">
                  <w:pPr>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液化石油气钢瓶</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进入压扁区压扁后，同废瓶阀、废钢丸经收集至</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一般固废暂存区</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暂存，</w:t>
                  </w:r>
                  <w:r>
                    <w:rPr>
                      <w:rFonts w:hint="eastAsia" w:cs="Times New Roman"/>
                      <w:b w:val="0"/>
                      <w:bCs w:val="0"/>
                      <w:color w:val="000000" w:themeColor="text1"/>
                      <w:sz w:val="21"/>
                      <w:szCs w:val="21"/>
                      <w:lang w:val="en-US" w:eastAsia="zh-CN"/>
                      <w14:textFill>
                        <w14:solidFill>
                          <w14:schemeClr w14:val="tx1"/>
                        </w14:solidFill>
                      </w14:textFill>
                    </w:rPr>
                    <w:t>定期外售废品回收商处置</w:t>
                  </w:r>
                </w:p>
              </w:tc>
            </w:tr>
            <w:tr w14:paraId="2C907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4" w:type="pct"/>
                  <w:vMerge w:val="continue"/>
                  <w:noWrap w:val="0"/>
                  <w:vAlign w:val="center"/>
                </w:tcPr>
                <w:p w14:paraId="46AAD6C9">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822" w:type="pct"/>
                  <w:noWrap w:val="0"/>
                  <w:vAlign w:val="center"/>
                </w:tcPr>
                <w:p w14:paraId="4228103B">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废橡胶圈</w:t>
                  </w:r>
                </w:p>
              </w:tc>
              <w:tc>
                <w:tcPr>
                  <w:tcW w:w="419" w:type="pct"/>
                  <w:vMerge w:val="continue"/>
                  <w:noWrap w:val="0"/>
                  <w:vAlign w:val="center"/>
                </w:tcPr>
                <w:p w14:paraId="3B67D610">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4" w:type="pct"/>
                  <w:noWrap w:val="0"/>
                  <w:vAlign w:val="center"/>
                </w:tcPr>
                <w:p w14:paraId="3B46E81C">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900-006-S17</w:t>
                  </w:r>
                </w:p>
              </w:tc>
              <w:tc>
                <w:tcPr>
                  <w:tcW w:w="408" w:type="pct"/>
                  <w:noWrap w:val="0"/>
                  <w:vAlign w:val="center"/>
                </w:tcPr>
                <w:p w14:paraId="42699CFC">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固态</w:t>
                  </w:r>
                </w:p>
              </w:tc>
              <w:tc>
                <w:tcPr>
                  <w:tcW w:w="698" w:type="pct"/>
                  <w:noWrap w:val="0"/>
                  <w:vAlign w:val="center"/>
                </w:tcPr>
                <w:p w14:paraId="53D3680E">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0.3</w:t>
                  </w:r>
                </w:p>
              </w:tc>
              <w:tc>
                <w:tcPr>
                  <w:tcW w:w="1141" w:type="pct"/>
                  <w:vMerge w:val="restart"/>
                  <w:noWrap w:val="0"/>
                  <w:vAlign w:val="center"/>
                </w:tcPr>
                <w:p w14:paraId="17C97B72">
                  <w:pPr>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废橡胶圈、焚烧炉燃灰、废滤筒</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脱硫废渣</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经收集至</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一般固废暂存区</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暂存，</w:t>
                  </w:r>
                  <w:r>
                    <w:rPr>
                      <w:rFonts w:hint="eastAsia" w:cs="Times New Roman"/>
                      <w:b w:val="0"/>
                      <w:bCs w:val="0"/>
                      <w:color w:val="000000" w:themeColor="text1"/>
                      <w:sz w:val="21"/>
                      <w:szCs w:val="21"/>
                      <w:lang w:val="en-US" w:eastAsia="zh-CN"/>
                      <w14:textFill>
                        <w14:solidFill>
                          <w14:schemeClr w14:val="tx1"/>
                        </w14:solidFill>
                      </w14:textFill>
                    </w:rPr>
                    <w:t>定期外售废品回收商处置</w:t>
                  </w:r>
                </w:p>
              </w:tc>
            </w:tr>
            <w:tr w14:paraId="2D7DF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4" w:type="pct"/>
                  <w:vMerge w:val="continue"/>
                  <w:noWrap w:val="0"/>
                  <w:vAlign w:val="center"/>
                </w:tcPr>
                <w:p w14:paraId="51755AD9">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822" w:type="pct"/>
                  <w:noWrap w:val="0"/>
                  <w:vAlign w:val="center"/>
                </w:tcPr>
                <w:p w14:paraId="38188687">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焚烧炉燃灰</w:t>
                  </w:r>
                </w:p>
              </w:tc>
              <w:tc>
                <w:tcPr>
                  <w:tcW w:w="419" w:type="pct"/>
                  <w:vMerge w:val="continue"/>
                  <w:noWrap w:val="0"/>
                  <w:vAlign w:val="center"/>
                </w:tcPr>
                <w:p w14:paraId="5C3D4FF7">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4" w:type="pct"/>
                  <w:noWrap w:val="0"/>
                  <w:vAlign w:val="center"/>
                </w:tcPr>
                <w:p w14:paraId="2A1B79DD">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900-099-S03</w:t>
                  </w:r>
                </w:p>
              </w:tc>
              <w:tc>
                <w:tcPr>
                  <w:tcW w:w="408" w:type="pct"/>
                  <w:noWrap w:val="0"/>
                  <w:vAlign w:val="center"/>
                </w:tcPr>
                <w:p w14:paraId="4C24881F">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固态</w:t>
                  </w:r>
                </w:p>
              </w:tc>
              <w:tc>
                <w:tcPr>
                  <w:tcW w:w="698" w:type="pct"/>
                  <w:noWrap w:val="0"/>
                  <w:vAlign w:val="center"/>
                </w:tcPr>
                <w:p w14:paraId="740C6964">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9.06</w:t>
                  </w:r>
                </w:p>
              </w:tc>
              <w:tc>
                <w:tcPr>
                  <w:tcW w:w="1141" w:type="pct"/>
                  <w:vMerge w:val="continue"/>
                  <w:noWrap w:val="0"/>
                  <w:vAlign w:val="center"/>
                </w:tcPr>
                <w:p w14:paraId="7A504BEF">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662F8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4" w:type="pct"/>
                  <w:vMerge w:val="continue"/>
                  <w:noWrap w:val="0"/>
                  <w:vAlign w:val="center"/>
                </w:tcPr>
                <w:p w14:paraId="01D1CE48">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822" w:type="pct"/>
                  <w:noWrap w:val="0"/>
                  <w:vAlign w:val="center"/>
                </w:tcPr>
                <w:p w14:paraId="5A9DD9F4">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废滤筒</w:t>
                  </w:r>
                </w:p>
              </w:tc>
              <w:tc>
                <w:tcPr>
                  <w:tcW w:w="419" w:type="pct"/>
                  <w:vMerge w:val="continue"/>
                  <w:noWrap w:val="0"/>
                  <w:vAlign w:val="center"/>
                </w:tcPr>
                <w:p w14:paraId="52FD5AA6">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864" w:type="pct"/>
                  <w:noWrap w:val="0"/>
                  <w:vAlign w:val="center"/>
                </w:tcPr>
                <w:p w14:paraId="75392E8B">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900-099-S59</w:t>
                  </w:r>
                </w:p>
              </w:tc>
              <w:tc>
                <w:tcPr>
                  <w:tcW w:w="408" w:type="pct"/>
                  <w:vMerge w:val="restart"/>
                  <w:noWrap w:val="0"/>
                  <w:vAlign w:val="center"/>
                </w:tcPr>
                <w:p w14:paraId="1274A14F">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固态</w:t>
                  </w:r>
                </w:p>
              </w:tc>
              <w:tc>
                <w:tcPr>
                  <w:tcW w:w="698" w:type="pct"/>
                  <w:noWrap w:val="0"/>
                  <w:vAlign w:val="center"/>
                </w:tcPr>
                <w:p w14:paraId="25934D6A">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0.05</w:t>
                  </w:r>
                </w:p>
              </w:tc>
              <w:tc>
                <w:tcPr>
                  <w:tcW w:w="1141" w:type="pct"/>
                  <w:vMerge w:val="continue"/>
                  <w:noWrap w:val="0"/>
                  <w:vAlign w:val="center"/>
                </w:tcPr>
                <w:p w14:paraId="050BB2F7">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0E010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4" w:type="pct"/>
                  <w:vMerge w:val="continue"/>
                  <w:noWrap w:val="0"/>
                  <w:vAlign w:val="center"/>
                </w:tcPr>
                <w:p w14:paraId="2614D0D1">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822" w:type="pct"/>
                  <w:noWrap w:val="0"/>
                  <w:vAlign w:val="center"/>
                </w:tcPr>
                <w:p w14:paraId="43F7B495">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脱硫废渣</w:t>
                  </w:r>
                </w:p>
              </w:tc>
              <w:tc>
                <w:tcPr>
                  <w:tcW w:w="419" w:type="pct"/>
                  <w:vMerge w:val="continue"/>
                  <w:noWrap w:val="0"/>
                  <w:vAlign w:val="center"/>
                </w:tcPr>
                <w:p w14:paraId="4350C9D3">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4" w:type="pct"/>
                  <w:noWrap w:val="0"/>
                  <w:vAlign w:val="center"/>
                </w:tcPr>
                <w:p w14:paraId="1B40CD87">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900-099-S06</w:t>
                  </w:r>
                </w:p>
              </w:tc>
              <w:tc>
                <w:tcPr>
                  <w:tcW w:w="408" w:type="pct"/>
                  <w:vMerge w:val="continue"/>
                  <w:noWrap w:val="0"/>
                  <w:vAlign w:val="center"/>
                </w:tcPr>
                <w:p w14:paraId="0D3032F6">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98" w:type="pct"/>
                  <w:noWrap w:val="0"/>
                  <w:vAlign w:val="center"/>
                </w:tcPr>
                <w:p w14:paraId="1D6C2898">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0.2284</w:t>
                  </w:r>
                </w:p>
              </w:tc>
              <w:tc>
                <w:tcPr>
                  <w:tcW w:w="1141" w:type="pct"/>
                  <w:vMerge w:val="continue"/>
                  <w:noWrap w:val="0"/>
                  <w:vAlign w:val="center"/>
                </w:tcPr>
                <w:p w14:paraId="13767998">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01CD1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4" w:type="pct"/>
                  <w:vMerge w:val="continue"/>
                  <w:noWrap w:val="0"/>
                  <w:vAlign w:val="center"/>
                </w:tcPr>
                <w:p w14:paraId="7CCF255F">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822" w:type="pct"/>
                  <w:noWrap w:val="0"/>
                  <w:vAlign w:val="center"/>
                </w:tcPr>
                <w:p w14:paraId="3418E784">
                  <w:pPr>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除尘灰</w:t>
                  </w:r>
                </w:p>
              </w:tc>
              <w:tc>
                <w:tcPr>
                  <w:tcW w:w="419" w:type="pct"/>
                  <w:vMerge w:val="continue"/>
                  <w:noWrap w:val="0"/>
                  <w:vAlign w:val="center"/>
                </w:tcPr>
                <w:p w14:paraId="7881E256">
                  <w:pPr>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864" w:type="pct"/>
                  <w:noWrap w:val="0"/>
                  <w:vAlign w:val="center"/>
                </w:tcPr>
                <w:p w14:paraId="0943BFC9">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900-099-S59</w:t>
                  </w:r>
                </w:p>
              </w:tc>
              <w:tc>
                <w:tcPr>
                  <w:tcW w:w="408" w:type="pct"/>
                  <w:noWrap w:val="0"/>
                  <w:vAlign w:val="center"/>
                </w:tcPr>
                <w:p w14:paraId="5A87E180">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固态</w:t>
                  </w:r>
                </w:p>
              </w:tc>
              <w:tc>
                <w:tcPr>
                  <w:tcW w:w="698" w:type="pct"/>
                  <w:noWrap w:val="0"/>
                  <w:vAlign w:val="center"/>
                </w:tcPr>
                <w:p w14:paraId="499446B9">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27.2125</w:t>
                  </w:r>
                </w:p>
              </w:tc>
              <w:tc>
                <w:tcPr>
                  <w:tcW w:w="1141" w:type="pct"/>
                  <w:noWrap w:val="0"/>
                  <w:vAlign w:val="center"/>
                </w:tcPr>
                <w:p w14:paraId="6FCA454D">
                  <w:pPr>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抛丸除锈</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环节</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收集粉尘</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焚烧</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环节</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收集粉</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尘经</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收集后暂存于一般固废暂存区，</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定期</w:t>
                  </w:r>
                  <w:r>
                    <w:rPr>
                      <w:rFonts w:hint="eastAsia" w:cs="Times New Roman"/>
                      <w:b w:val="0"/>
                      <w:bCs w:val="0"/>
                      <w:color w:val="000000" w:themeColor="text1"/>
                      <w:sz w:val="21"/>
                      <w:szCs w:val="21"/>
                      <w:lang w:val="en-US" w:eastAsia="zh-CN"/>
                      <w14:textFill>
                        <w14:solidFill>
                          <w14:schemeClr w14:val="tx1"/>
                        </w14:solidFill>
                      </w14:textFill>
                    </w:rPr>
                    <w:t>外售废品回收商</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处置</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喷塑环节收集粉尘经收集后回用于生产环节。</w:t>
                  </w:r>
                </w:p>
              </w:tc>
            </w:tr>
            <w:tr w14:paraId="505AE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4" w:type="pct"/>
                  <w:vMerge w:val="continue"/>
                  <w:noWrap w:val="0"/>
                  <w:vAlign w:val="center"/>
                </w:tcPr>
                <w:p w14:paraId="57465074">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822" w:type="pct"/>
                  <w:noWrap w:val="0"/>
                  <w:vAlign w:val="center"/>
                </w:tcPr>
                <w:p w14:paraId="625E1B69">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废油墨桶</w:t>
                  </w:r>
                </w:p>
              </w:tc>
              <w:tc>
                <w:tcPr>
                  <w:tcW w:w="419" w:type="pct"/>
                  <w:vMerge w:val="restart"/>
                  <w:noWrap w:val="0"/>
                  <w:vAlign w:val="center"/>
                </w:tcPr>
                <w:p w14:paraId="464A3537">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危险废物</w:t>
                  </w:r>
                </w:p>
              </w:tc>
              <w:tc>
                <w:tcPr>
                  <w:tcW w:w="864" w:type="pct"/>
                  <w:noWrap w:val="0"/>
                  <w:vAlign w:val="center"/>
                </w:tcPr>
                <w:p w14:paraId="5E2BD18E">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HW49；900-041-49</w:t>
                  </w:r>
                </w:p>
              </w:tc>
              <w:tc>
                <w:tcPr>
                  <w:tcW w:w="408" w:type="pct"/>
                  <w:noWrap w:val="0"/>
                  <w:vAlign w:val="center"/>
                </w:tcPr>
                <w:p w14:paraId="09F0AFEE">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固态</w:t>
                  </w:r>
                </w:p>
              </w:tc>
              <w:tc>
                <w:tcPr>
                  <w:tcW w:w="698" w:type="pct"/>
                  <w:noWrap w:val="0"/>
                  <w:vAlign w:val="center"/>
                </w:tcPr>
                <w:p w14:paraId="69962E2E">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0.02</w:t>
                  </w:r>
                </w:p>
              </w:tc>
              <w:tc>
                <w:tcPr>
                  <w:tcW w:w="1141" w:type="pct"/>
                  <w:vMerge w:val="restart"/>
                  <w:noWrap w:val="0"/>
                  <w:vAlign w:val="center"/>
                </w:tcPr>
                <w:p w14:paraId="120CE38B">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危险废物</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经收集后分类暂存于危废暂存间，定期委托有资质单位清运处置</w:t>
                  </w:r>
                </w:p>
              </w:tc>
            </w:tr>
            <w:tr w14:paraId="03518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4" w:type="pct"/>
                  <w:vMerge w:val="continue"/>
                  <w:noWrap w:val="0"/>
                  <w:vAlign w:val="center"/>
                </w:tcPr>
                <w:p w14:paraId="209E87A6">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822" w:type="pct"/>
                  <w:noWrap w:val="0"/>
                  <w:vAlign w:val="center"/>
                </w:tcPr>
                <w:p w14:paraId="14292F45">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废网板</w:t>
                  </w:r>
                </w:p>
              </w:tc>
              <w:tc>
                <w:tcPr>
                  <w:tcW w:w="419" w:type="pct"/>
                  <w:vMerge w:val="continue"/>
                  <w:noWrap w:val="0"/>
                  <w:vAlign w:val="center"/>
                </w:tcPr>
                <w:p w14:paraId="2F2AB449">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864" w:type="pct"/>
                  <w:noWrap w:val="0"/>
                  <w:vAlign w:val="center"/>
                </w:tcPr>
                <w:p w14:paraId="228A5D6F">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HW12 ；900-253-12</w:t>
                  </w:r>
                </w:p>
              </w:tc>
              <w:tc>
                <w:tcPr>
                  <w:tcW w:w="408" w:type="pct"/>
                  <w:noWrap w:val="0"/>
                  <w:vAlign w:val="center"/>
                </w:tcPr>
                <w:p w14:paraId="77FEF11C">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固态</w:t>
                  </w:r>
                </w:p>
              </w:tc>
              <w:tc>
                <w:tcPr>
                  <w:tcW w:w="698" w:type="pct"/>
                  <w:noWrap w:val="0"/>
                  <w:vAlign w:val="center"/>
                </w:tcPr>
                <w:p w14:paraId="0A7C4E22">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w:t>
                  </w:r>
                </w:p>
              </w:tc>
              <w:tc>
                <w:tcPr>
                  <w:tcW w:w="1141" w:type="pct"/>
                  <w:vMerge w:val="continue"/>
                  <w:noWrap w:val="0"/>
                  <w:vAlign w:val="center"/>
                </w:tcPr>
                <w:p w14:paraId="48D3B211">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7359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4" w:type="pct"/>
                  <w:vMerge w:val="continue"/>
                  <w:noWrap w:val="0"/>
                  <w:vAlign w:val="center"/>
                </w:tcPr>
                <w:p w14:paraId="324C0C51">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822" w:type="pct"/>
                  <w:noWrap w:val="0"/>
                  <w:vAlign w:val="center"/>
                </w:tcPr>
                <w:p w14:paraId="65AA81F8">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喷淋废水</w:t>
                  </w:r>
                </w:p>
              </w:tc>
              <w:tc>
                <w:tcPr>
                  <w:tcW w:w="419" w:type="pct"/>
                  <w:vMerge w:val="continue"/>
                  <w:noWrap w:val="0"/>
                  <w:vAlign w:val="center"/>
                </w:tcPr>
                <w:p w14:paraId="35D5FAF7">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864" w:type="pct"/>
                  <w:noWrap w:val="0"/>
                  <w:vAlign w:val="center"/>
                </w:tcPr>
                <w:p w14:paraId="58A38B67">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w:t>
                  </w:r>
                  <w:r>
                    <w:rPr>
                      <w:rFonts w:hint="default" w:ascii="Times New Roman" w:hAnsi="Times New Roman" w:cs="Times New Roman"/>
                      <w:color w:val="000000" w:themeColor="text1"/>
                      <w:sz w:val="21"/>
                      <w:szCs w:val="21"/>
                      <w:lang w:val="en-US" w:eastAsia="zh-CN"/>
                      <w14:textFill>
                        <w14:solidFill>
                          <w14:schemeClr w14:val="tx1"/>
                        </w14:solidFill>
                      </w14:textFill>
                    </w:rPr>
                    <w:t>35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；900-399-35</w:t>
                  </w:r>
                </w:p>
              </w:tc>
              <w:tc>
                <w:tcPr>
                  <w:tcW w:w="408" w:type="pct"/>
                  <w:noWrap w:val="0"/>
                  <w:vAlign w:val="center"/>
                </w:tcPr>
                <w:p w14:paraId="145F8B1B">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液态</w:t>
                  </w:r>
                </w:p>
              </w:tc>
              <w:tc>
                <w:tcPr>
                  <w:tcW w:w="698" w:type="pct"/>
                  <w:noWrap w:val="0"/>
                  <w:vAlign w:val="center"/>
                </w:tcPr>
                <w:p w14:paraId="3482908A">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2</w:t>
                  </w:r>
                </w:p>
              </w:tc>
              <w:tc>
                <w:tcPr>
                  <w:tcW w:w="1141" w:type="pct"/>
                  <w:vMerge w:val="continue"/>
                  <w:noWrap w:val="0"/>
                  <w:vAlign w:val="center"/>
                </w:tcPr>
                <w:p w14:paraId="7CAD8DB4">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107A6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4" w:type="pct"/>
                  <w:noWrap w:val="0"/>
                  <w:vAlign w:val="center"/>
                </w:tcPr>
                <w:p w14:paraId="1CE0EE88">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设备维护保养</w:t>
                  </w:r>
                </w:p>
              </w:tc>
              <w:tc>
                <w:tcPr>
                  <w:tcW w:w="822" w:type="pct"/>
                  <w:noWrap w:val="0"/>
                  <w:vAlign w:val="center"/>
                </w:tcPr>
                <w:p w14:paraId="7F766DE9">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废</w:t>
                  </w:r>
                  <w:r>
                    <w:rPr>
                      <w:rFonts w:hint="default" w:ascii="Times New Roman" w:hAnsi="Times New Roman" w:cs="Times New Roman"/>
                      <w:color w:val="000000" w:themeColor="text1"/>
                      <w:sz w:val="21"/>
                      <w:szCs w:val="21"/>
                      <w:lang w:eastAsia="zh-CN"/>
                      <w14:textFill>
                        <w14:solidFill>
                          <w14:schemeClr w14:val="tx1"/>
                        </w14:solidFill>
                      </w14:textFill>
                    </w:rPr>
                    <w:t>机油</w:t>
                  </w:r>
                </w:p>
              </w:tc>
              <w:tc>
                <w:tcPr>
                  <w:tcW w:w="419" w:type="pct"/>
                  <w:vMerge w:val="continue"/>
                  <w:noWrap w:val="0"/>
                  <w:vAlign w:val="center"/>
                </w:tcPr>
                <w:p w14:paraId="21956CC1">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864" w:type="pct"/>
                  <w:noWrap w:val="0"/>
                  <w:vAlign w:val="center"/>
                </w:tcPr>
                <w:p w14:paraId="2560BE1A">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HW08；900-214-08</w:t>
                  </w:r>
                </w:p>
              </w:tc>
              <w:tc>
                <w:tcPr>
                  <w:tcW w:w="408" w:type="pct"/>
                  <w:noWrap w:val="0"/>
                  <w:vAlign w:val="center"/>
                </w:tcPr>
                <w:p w14:paraId="3BD8AF42">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液态</w:t>
                  </w:r>
                </w:p>
              </w:tc>
              <w:tc>
                <w:tcPr>
                  <w:tcW w:w="698" w:type="pct"/>
                  <w:noWrap w:val="0"/>
                  <w:vAlign w:val="center"/>
                </w:tcPr>
                <w:p w14:paraId="165F024D">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05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w:t>
                  </w:r>
                </w:p>
              </w:tc>
              <w:tc>
                <w:tcPr>
                  <w:tcW w:w="1141" w:type="pct"/>
                  <w:vMerge w:val="continue"/>
                  <w:noWrap w:val="0"/>
                  <w:vAlign w:val="center"/>
                </w:tcPr>
                <w:p w14:paraId="177BB5F1">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bl>
          <w:p w14:paraId="743B0A66">
            <w:pPr>
              <w:keepNext w:val="0"/>
              <w:keepLines/>
              <w:pageBreakBefore w:val="0"/>
              <w:widowControl/>
              <w:kinsoku/>
              <w:overflowPunct/>
              <w:bidi w:val="0"/>
              <w:adjustRightInd/>
              <w:spacing w:line="360" w:lineRule="auto"/>
              <w:ind w:firstLine="482" w:firstLineChars="200"/>
              <w:jc w:val="left"/>
              <w:rPr>
                <w:rFonts w:hint="default" w:ascii="Times New Roman" w:hAnsi="Times New Roman" w:cs="Times New Roman"/>
                <w:b/>
                <w:bCs/>
                <w:color w:val="000000" w:themeColor="text1"/>
                <w:kern w:val="0"/>
                <w:sz w:val="24"/>
                <w14:textFill>
                  <w14:solidFill>
                    <w14:schemeClr w14:val="tx1"/>
                  </w14:solidFill>
                </w14:textFill>
              </w:rPr>
            </w:pPr>
            <w:r>
              <w:rPr>
                <w:rFonts w:hint="default" w:ascii="Times New Roman" w:hAnsi="Times New Roman" w:cs="Times New Roman"/>
                <w:b/>
                <w:bCs/>
                <w:color w:val="000000" w:themeColor="text1"/>
                <w:kern w:val="0"/>
                <w:sz w:val="24"/>
                <w14:textFill>
                  <w14:solidFill>
                    <w14:schemeClr w14:val="tx1"/>
                  </w14:solidFill>
                </w14:textFill>
              </w:rPr>
              <w:t>（2）危险废物属性及环境危险特性</w:t>
            </w:r>
          </w:p>
          <w:p w14:paraId="7C44AFED">
            <w:pPr>
              <w:pStyle w:val="19"/>
              <w:keepNext w:val="0"/>
              <w:keepLines/>
              <w:pageBreakBefore w:val="0"/>
              <w:kinsoku/>
              <w:overflowPunct/>
              <w:bidi w:val="0"/>
              <w:adjustRightInd/>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1</w:t>
            </w:r>
            <w:r>
              <w:rPr>
                <w:rFonts w:hint="default" w:ascii="Times New Roman" w:hAnsi="Times New Roman" w:cs="Times New Roman"/>
                <w:b/>
                <w:bCs/>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b/>
                <w:bCs/>
                <w:color w:val="000000" w:themeColor="text1"/>
                <w:sz w:val="21"/>
                <w:szCs w:val="21"/>
                <w14:textFill>
                  <w14:solidFill>
                    <w14:schemeClr w14:val="tx1"/>
                  </w14:solidFill>
                </w14:textFill>
              </w:rPr>
              <w:t xml:space="preserve"> 危险废物属性及环境危险特性一览表</w:t>
            </w:r>
          </w:p>
          <w:tbl>
            <w:tblPr>
              <w:tblStyle w:val="33"/>
              <w:tblW w:w="4992"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773"/>
              <w:gridCol w:w="1321"/>
              <w:gridCol w:w="881"/>
              <w:gridCol w:w="1196"/>
              <w:gridCol w:w="3173"/>
              <w:gridCol w:w="718"/>
            </w:tblGrid>
            <w:tr w14:paraId="71773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787" w:type="dxa"/>
                  <w:tcBorders>
                    <w:tl2br w:val="nil"/>
                    <w:tr2bl w:val="nil"/>
                  </w:tcBorders>
                  <w:vAlign w:val="center"/>
                </w:tcPr>
                <w:p w14:paraId="0004C1D1">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名称</w:t>
                  </w:r>
                </w:p>
              </w:tc>
              <w:tc>
                <w:tcPr>
                  <w:tcW w:w="1343" w:type="dxa"/>
                  <w:tcBorders>
                    <w:tl2br w:val="nil"/>
                    <w:tr2bl w:val="nil"/>
                  </w:tcBorders>
                  <w:vAlign w:val="center"/>
                </w:tcPr>
                <w:p w14:paraId="7F1E365C">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废物类别</w:t>
                  </w:r>
                </w:p>
              </w:tc>
              <w:tc>
                <w:tcPr>
                  <w:tcW w:w="900" w:type="dxa"/>
                  <w:tcBorders>
                    <w:tl2br w:val="nil"/>
                    <w:tr2bl w:val="nil"/>
                  </w:tcBorders>
                  <w:vAlign w:val="center"/>
                </w:tcPr>
                <w:p w14:paraId="4232409F">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行业来源</w:t>
                  </w:r>
                </w:p>
              </w:tc>
              <w:tc>
                <w:tcPr>
                  <w:tcW w:w="1016" w:type="dxa"/>
                  <w:tcBorders>
                    <w:tl2br w:val="nil"/>
                    <w:tr2bl w:val="nil"/>
                  </w:tcBorders>
                  <w:vAlign w:val="center"/>
                </w:tcPr>
                <w:p w14:paraId="26518431">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废物代码</w:t>
                  </w:r>
                </w:p>
              </w:tc>
              <w:tc>
                <w:tcPr>
                  <w:tcW w:w="3278" w:type="dxa"/>
                  <w:tcBorders>
                    <w:tl2br w:val="nil"/>
                    <w:tr2bl w:val="nil"/>
                  </w:tcBorders>
                  <w:vAlign w:val="center"/>
                </w:tcPr>
                <w:p w14:paraId="01162C0A">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危险废物</w:t>
                  </w:r>
                </w:p>
              </w:tc>
              <w:tc>
                <w:tcPr>
                  <w:tcW w:w="724" w:type="dxa"/>
                  <w:tcBorders>
                    <w:tl2br w:val="nil"/>
                    <w:tr2bl w:val="nil"/>
                  </w:tcBorders>
                  <w:vAlign w:val="center"/>
                </w:tcPr>
                <w:p w14:paraId="7FB673A5">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危险特性</w:t>
                  </w:r>
                </w:p>
              </w:tc>
            </w:tr>
            <w:tr w14:paraId="35CB0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787" w:type="dxa"/>
                  <w:tcBorders>
                    <w:tl2br w:val="nil"/>
                    <w:tr2bl w:val="nil"/>
                  </w:tcBorders>
                  <w:vAlign w:val="center"/>
                </w:tcPr>
                <w:p w14:paraId="07F4522B">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废油墨桶</w:t>
                  </w:r>
                </w:p>
              </w:tc>
              <w:tc>
                <w:tcPr>
                  <w:tcW w:w="1343" w:type="dxa"/>
                  <w:tcBorders>
                    <w:tl2br w:val="nil"/>
                    <w:tr2bl w:val="nil"/>
                  </w:tcBorders>
                  <w:vAlign w:val="center"/>
                </w:tcPr>
                <w:p w14:paraId="149E59FF">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HW49其他废物</w:t>
                  </w:r>
                </w:p>
              </w:tc>
              <w:tc>
                <w:tcPr>
                  <w:tcW w:w="900" w:type="dxa"/>
                  <w:tcBorders>
                    <w:tl2br w:val="nil"/>
                    <w:tr2bl w:val="nil"/>
                  </w:tcBorders>
                  <w:vAlign w:val="center"/>
                </w:tcPr>
                <w:p w14:paraId="082C7CCF">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非特定行业</w:t>
                  </w:r>
                </w:p>
              </w:tc>
              <w:tc>
                <w:tcPr>
                  <w:tcW w:w="1016" w:type="dxa"/>
                  <w:tcBorders>
                    <w:tl2br w:val="nil"/>
                    <w:tr2bl w:val="nil"/>
                  </w:tcBorders>
                  <w:vAlign w:val="center"/>
                </w:tcPr>
                <w:p w14:paraId="512D781A">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900-041-49</w:t>
                  </w:r>
                </w:p>
              </w:tc>
              <w:tc>
                <w:tcPr>
                  <w:tcW w:w="3278" w:type="dxa"/>
                  <w:tcBorders>
                    <w:tl2br w:val="nil"/>
                    <w:tr2bl w:val="nil"/>
                  </w:tcBorders>
                  <w:vAlign w:val="center"/>
                </w:tcPr>
                <w:p w14:paraId="386CEB9A">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含有或者沾染毒性、感染性危险废物的废弃的包装物、容器、过滤吸附介质</w:t>
                  </w:r>
                </w:p>
              </w:tc>
              <w:tc>
                <w:tcPr>
                  <w:tcW w:w="724" w:type="dxa"/>
                  <w:tcBorders>
                    <w:tl2br w:val="nil"/>
                    <w:tr2bl w:val="nil"/>
                  </w:tcBorders>
                  <w:vAlign w:val="center"/>
                </w:tcPr>
                <w:p w14:paraId="6806FBD8">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T/In</w:t>
                  </w:r>
                </w:p>
                <w:p w14:paraId="582706FB">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1C3D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787" w:type="dxa"/>
                  <w:tcBorders>
                    <w:tl2br w:val="nil"/>
                    <w:tr2bl w:val="nil"/>
                  </w:tcBorders>
                  <w:vAlign w:val="center"/>
                </w:tcPr>
                <w:p w14:paraId="475E8CE8">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废网板</w:t>
                  </w:r>
                </w:p>
              </w:tc>
              <w:tc>
                <w:tcPr>
                  <w:tcW w:w="1343" w:type="dxa"/>
                  <w:tcBorders>
                    <w:tl2br w:val="nil"/>
                    <w:tr2bl w:val="nil"/>
                  </w:tcBorders>
                  <w:vAlign w:val="center"/>
                </w:tcPr>
                <w:p w14:paraId="5FE607B5">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HW12染料、涂料废物</w:t>
                  </w:r>
                </w:p>
              </w:tc>
              <w:tc>
                <w:tcPr>
                  <w:tcW w:w="900" w:type="dxa"/>
                  <w:tcBorders>
                    <w:tl2br w:val="nil"/>
                    <w:tr2bl w:val="nil"/>
                  </w:tcBorders>
                  <w:vAlign w:val="center"/>
                </w:tcPr>
                <w:p w14:paraId="16B2A391">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非特定行业</w:t>
                  </w:r>
                </w:p>
              </w:tc>
              <w:tc>
                <w:tcPr>
                  <w:tcW w:w="1016" w:type="dxa"/>
                  <w:tcBorders>
                    <w:tl2br w:val="nil"/>
                    <w:tr2bl w:val="nil"/>
                  </w:tcBorders>
                  <w:vAlign w:val="center"/>
                </w:tcPr>
                <w:p w14:paraId="5394773B">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900-253-12</w:t>
                  </w:r>
                </w:p>
              </w:tc>
              <w:tc>
                <w:tcPr>
                  <w:tcW w:w="3278" w:type="dxa"/>
                  <w:tcBorders>
                    <w:tl2br w:val="nil"/>
                    <w:tr2bl w:val="nil"/>
                  </w:tcBorders>
                  <w:vAlign w:val="center"/>
                </w:tcPr>
                <w:p w14:paraId="078B0BC7">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使用油墨和有机溶剂进行刷、涂布过程中产生的废物</w:t>
                  </w:r>
                </w:p>
              </w:tc>
              <w:tc>
                <w:tcPr>
                  <w:tcW w:w="724" w:type="dxa"/>
                  <w:tcBorders>
                    <w:tl2br w:val="nil"/>
                    <w:tr2bl w:val="nil"/>
                  </w:tcBorders>
                  <w:vAlign w:val="center"/>
                </w:tcPr>
                <w:p w14:paraId="09506ADA">
                  <w:pPr>
                    <w:keepNext w:val="0"/>
                    <w:keepLines w:val="0"/>
                    <w:widowControl/>
                    <w:suppressLineNumbers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0"/>
                      <w:szCs w:val="20"/>
                      <w:lang w:val="en-US" w:eastAsia="zh-CN" w:bidi="ar"/>
                      <w14:textFill>
                        <w14:solidFill>
                          <w14:schemeClr w14:val="tx1"/>
                        </w14:solidFill>
                      </w14:textFill>
                    </w:rPr>
                    <w:t>T，I</w:t>
                  </w:r>
                </w:p>
                <w:p w14:paraId="29E3FF73">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6566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787" w:type="dxa"/>
                  <w:tcBorders>
                    <w:tl2br w:val="nil"/>
                    <w:tr2bl w:val="nil"/>
                  </w:tcBorders>
                  <w:vAlign w:val="center"/>
                </w:tcPr>
                <w:p w14:paraId="0E1CE5F6">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喷淋废水</w:t>
                  </w:r>
                </w:p>
              </w:tc>
              <w:tc>
                <w:tcPr>
                  <w:tcW w:w="1343" w:type="dxa"/>
                  <w:tcBorders>
                    <w:tl2br w:val="nil"/>
                    <w:tr2bl w:val="nil"/>
                  </w:tcBorders>
                  <w:vAlign w:val="center"/>
                </w:tcPr>
                <w:p w14:paraId="664FA867">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HW35废碱</w:t>
                  </w:r>
                </w:p>
              </w:tc>
              <w:tc>
                <w:tcPr>
                  <w:tcW w:w="900" w:type="dxa"/>
                  <w:tcBorders>
                    <w:tl2br w:val="nil"/>
                    <w:tr2bl w:val="nil"/>
                  </w:tcBorders>
                  <w:vAlign w:val="center"/>
                </w:tcPr>
                <w:p w14:paraId="6EAF16A7">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非特定行业</w:t>
                  </w:r>
                </w:p>
              </w:tc>
              <w:tc>
                <w:tcPr>
                  <w:tcW w:w="1016" w:type="dxa"/>
                  <w:tcBorders>
                    <w:tl2br w:val="nil"/>
                    <w:tr2bl w:val="nil"/>
                  </w:tcBorders>
                  <w:vAlign w:val="center"/>
                </w:tcPr>
                <w:p w14:paraId="70F521E1">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900-399-35</w:t>
                  </w:r>
                </w:p>
              </w:tc>
              <w:tc>
                <w:tcPr>
                  <w:tcW w:w="3278" w:type="dxa"/>
                  <w:tcBorders>
                    <w:tl2br w:val="nil"/>
                    <w:tr2bl w:val="nil"/>
                  </w:tcBorders>
                  <w:vAlign w:val="center"/>
                </w:tcPr>
                <w:p w14:paraId="2C596834">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zh-CN"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生产、销售及使用过程中产生的失效、变质、不合格、淘汰、伪劣的强碱性擦洗粉、清洁剂、污迹去除剂以及其他强碱性废碱液、固态碱和碱渣</w:t>
                  </w:r>
                </w:p>
              </w:tc>
              <w:tc>
                <w:tcPr>
                  <w:tcW w:w="724" w:type="dxa"/>
                  <w:tcBorders>
                    <w:tl2br w:val="nil"/>
                    <w:tr2bl w:val="nil"/>
                  </w:tcBorders>
                  <w:vAlign w:val="center"/>
                </w:tcPr>
                <w:p w14:paraId="2E565205">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C，T</w:t>
                  </w:r>
                </w:p>
              </w:tc>
            </w:tr>
            <w:tr w14:paraId="58749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787" w:type="dxa"/>
                  <w:tcBorders>
                    <w:tl2br w:val="nil"/>
                    <w:tr2bl w:val="nil"/>
                  </w:tcBorders>
                  <w:vAlign w:val="center"/>
                </w:tcPr>
                <w:p w14:paraId="57CB0637">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废</w:t>
                  </w:r>
                  <w:r>
                    <w:rPr>
                      <w:rFonts w:hint="default" w:ascii="Times New Roman" w:hAnsi="Times New Roman" w:cs="Times New Roman"/>
                      <w:color w:val="000000" w:themeColor="text1"/>
                      <w:sz w:val="21"/>
                      <w:szCs w:val="21"/>
                      <w:lang w:eastAsia="zh-CN"/>
                      <w14:textFill>
                        <w14:solidFill>
                          <w14:schemeClr w14:val="tx1"/>
                        </w14:solidFill>
                      </w14:textFill>
                    </w:rPr>
                    <w:t>机油</w:t>
                  </w:r>
                </w:p>
              </w:tc>
              <w:tc>
                <w:tcPr>
                  <w:tcW w:w="1343" w:type="dxa"/>
                  <w:tcBorders>
                    <w:tl2br w:val="nil"/>
                    <w:tr2bl w:val="nil"/>
                  </w:tcBorders>
                  <w:vAlign w:val="center"/>
                </w:tcPr>
                <w:p w14:paraId="1DEDF710">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HW08废矿物油</w:t>
                  </w:r>
                </w:p>
              </w:tc>
              <w:tc>
                <w:tcPr>
                  <w:tcW w:w="900" w:type="dxa"/>
                  <w:tcBorders>
                    <w:tl2br w:val="nil"/>
                    <w:tr2bl w:val="nil"/>
                  </w:tcBorders>
                  <w:vAlign w:val="center"/>
                </w:tcPr>
                <w:p w14:paraId="42A5876B">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非特定行业</w:t>
                  </w:r>
                </w:p>
              </w:tc>
              <w:tc>
                <w:tcPr>
                  <w:tcW w:w="1016" w:type="dxa"/>
                  <w:tcBorders>
                    <w:tl2br w:val="nil"/>
                    <w:tr2bl w:val="nil"/>
                  </w:tcBorders>
                  <w:vAlign w:val="center"/>
                </w:tcPr>
                <w:p w14:paraId="21E33EE6">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900-214-08</w:t>
                  </w:r>
                </w:p>
              </w:tc>
              <w:tc>
                <w:tcPr>
                  <w:tcW w:w="3278" w:type="dxa"/>
                  <w:tcBorders>
                    <w:tl2br w:val="nil"/>
                    <w:tr2bl w:val="nil"/>
                  </w:tcBorders>
                  <w:vAlign w:val="center"/>
                </w:tcPr>
                <w:p w14:paraId="68708CED">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车辆、轮船及其它机械维修过程中产生的废发动机油、制动器油、自动变速器油、齿轮油等废润滑油</w:t>
                  </w:r>
                </w:p>
              </w:tc>
              <w:tc>
                <w:tcPr>
                  <w:tcW w:w="724" w:type="dxa"/>
                  <w:tcBorders>
                    <w:tl2br w:val="nil"/>
                    <w:tr2bl w:val="nil"/>
                  </w:tcBorders>
                  <w:vAlign w:val="center"/>
                </w:tcPr>
                <w:p w14:paraId="673A401E">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T，I</w:t>
                  </w:r>
                </w:p>
              </w:tc>
            </w:tr>
          </w:tbl>
          <w:p w14:paraId="11E90060">
            <w:pPr>
              <w:pStyle w:val="146"/>
              <w:ind w:firstLine="482"/>
              <w:rPr>
                <w:rFonts w:hint="default" w:ascii="Times New Roman" w:hAnsi="Times New Roman" w:cs="Times New Roman"/>
                <w:b/>
                <w:bCs/>
                <w:color w:val="000000" w:themeColor="text1"/>
                <w:szCs w:val="24"/>
                <w14:textFill>
                  <w14:solidFill>
                    <w14:schemeClr w14:val="tx1"/>
                  </w14:solidFill>
                </w14:textFill>
              </w:rPr>
            </w:pPr>
            <w:r>
              <w:rPr>
                <w:rFonts w:hint="default" w:ascii="Times New Roman" w:hAnsi="Times New Roman" w:cs="Times New Roman"/>
                <w:b/>
                <w:bCs/>
                <w:color w:val="000000" w:themeColor="text1"/>
                <w:szCs w:val="24"/>
                <w14:textFill>
                  <w14:solidFill>
                    <w14:schemeClr w14:val="tx1"/>
                  </w14:solidFill>
                </w14:textFill>
              </w:rPr>
              <w:t>（3）环境管理要求</w:t>
            </w:r>
          </w:p>
          <w:p w14:paraId="2006757A">
            <w:pPr>
              <w:pStyle w:val="32"/>
              <w:wordWrap w:val="0"/>
              <w:spacing w:line="360" w:lineRule="auto"/>
              <w:ind w:firstLine="48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固体废物贮存、处置场按《环境保护图形标志固体废物贮存（处置）场（GB15562.2-1995）》及修改单要求，设置图形标志。危险废物装载容器和包装物张贴标签；收集、贮存、运输、利用、处置危险废物的设施、场所设置危险废物警示标志和危险废物标签，标识标志正确、清晰、完好。</w:t>
            </w:r>
          </w:p>
          <w:p w14:paraId="7F67D1AF">
            <w:pPr>
              <w:pStyle w:val="32"/>
              <w:wordWrap w:val="0"/>
              <w:spacing w:line="360" w:lineRule="auto"/>
              <w:ind w:firstLine="48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2）应制定危险废物管理计划，管理计划内容包括所产生的全部危险废物种类，根据实际生产情况预测产生量并提出减少产生量的措施。</w:t>
            </w:r>
          </w:p>
          <w:p w14:paraId="3951E908">
            <w:pPr>
              <w:pStyle w:val="32"/>
              <w:wordWrap w:val="0"/>
              <w:spacing w:line="360" w:lineRule="auto"/>
              <w:ind w:firstLine="48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3）危险废物贮存设施符合《危险废物贮存污染控制标准》（GB18597-2023）的有关要求。危险废物暂存间采取必要的防风、防晒、防雨、防漏、防渗、防腐以及其他环境污染防治措施，不应露天堆放危险废物。</w:t>
            </w:r>
          </w:p>
          <w:p w14:paraId="74A5FB0A">
            <w:pPr>
              <w:pStyle w:val="32"/>
              <w:wordWrap w:val="0"/>
              <w:spacing w:line="360" w:lineRule="auto"/>
              <w:ind w:firstLine="48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4）按照危险废物特性分类进行收集、贮存。不同种类的危险废物分开存放，有明显间隔，摆放整齐划一，每一类危险废物单独设置标识牌，不存放除危险废物和应急工具以外的物品。</w:t>
            </w:r>
          </w:p>
          <w:p w14:paraId="40F14F58">
            <w:pPr>
              <w:pStyle w:val="32"/>
              <w:wordWrap w:val="0"/>
              <w:spacing w:line="360" w:lineRule="auto"/>
              <w:ind w:firstLine="48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5）建设单位应结合自身实际生产情况，如实记载危险废物的种类、产生量、流向、贮存、利用处置等信息，定期汇总，并分类装订成册，由专人管理，防止遗失。可通过“固体废物管理信息平台”对危险废物管理台账进行信息化管理。具体要求详见《危险废物产生单位建立台账的要求》。</w:t>
            </w:r>
          </w:p>
          <w:p w14:paraId="4FBC90BB">
            <w:pPr>
              <w:pStyle w:val="32"/>
              <w:wordWrap w:val="0"/>
              <w:spacing w:line="360" w:lineRule="auto"/>
              <w:ind w:firstLine="48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6）签订危险废物转移合同，且合同在有效期内。并办理危险废物转移联单，且转移联单上的危险废物种类、数量与实际产生情况相符，至少保存5年。</w:t>
            </w:r>
          </w:p>
          <w:p w14:paraId="3BCF4867">
            <w:pPr>
              <w:pStyle w:val="146"/>
              <w:keepNext w:val="0"/>
              <w:keepLines/>
              <w:pageBreakBefore w:val="0"/>
              <w:kinsoku/>
              <w:overflowPunct/>
              <w:bidi w:val="0"/>
              <w:adjustRightInd/>
              <w:ind w:firstLine="482"/>
              <w:rPr>
                <w:rFonts w:hint="default" w:ascii="Times New Roman" w:hAnsi="Times New Roman" w:cs="Times New Roman"/>
                <w:b/>
                <w:bCs/>
                <w:color w:val="000000" w:themeColor="text1"/>
                <w:szCs w:val="24"/>
                <w14:textFill>
                  <w14:solidFill>
                    <w14:schemeClr w14:val="tx1"/>
                  </w14:solidFill>
                </w14:textFill>
              </w:rPr>
            </w:pPr>
            <w:r>
              <w:rPr>
                <w:rFonts w:hint="default" w:ascii="Times New Roman" w:hAnsi="Times New Roman" w:cs="Times New Roman"/>
                <w:b/>
                <w:bCs/>
                <w:color w:val="000000" w:themeColor="text1"/>
                <w:szCs w:val="24"/>
                <w:lang w:val="en-US" w:eastAsia="zh-CN"/>
                <w14:textFill>
                  <w14:solidFill>
                    <w14:schemeClr w14:val="tx1"/>
                  </w14:solidFill>
                </w14:textFill>
              </w:rPr>
              <w:t>5</w:t>
            </w:r>
            <w:r>
              <w:rPr>
                <w:rFonts w:hint="default" w:ascii="Times New Roman" w:hAnsi="Times New Roman" w:cs="Times New Roman"/>
                <w:b/>
                <w:bCs/>
                <w:color w:val="000000" w:themeColor="text1"/>
                <w:szCs w:val="24"/>
                <w14:textFill>
                  <w14:solidFill>
                    <w14:schemeClr w14:val="tx1"/>
                  </w14:solidFill>
                </w14:textFill>
              </w:rPr>
              <w:t>、土壤、地下水环境影响</w:t>
            </w:r>
          </w:p>
          <w:p w14:paraId="17FDD8A9">
            <w:pPr>
              <w:pStyle w:val="20"/>
              <w:pageBreakBefore w:val="0"/>
              <w:kinsoku/>
              <w:overflowPunct/>
              <w:topLinePunct w:val="0"/>
              <w:autoSpaceDE/>
              <w:autoSpaceDN/>
              <w:bidi w:val="0"/>
              <w:adjustRightInd/>
              <w:spacing w:line="360" w:lineRule="auto"/>
              <w:ind w:left="0" w:leftChars="0" w:right="0" w:firstLine="482" w:firstLineChars="20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（1）污染源分析</w:t>
            </w:r>
          </w:p>
          <w:p w14:paraId="32EDCE63">
            <w:pPr>
              <w:pStyle w:val="20"/>
              <w:pageBreakBefore w:val="0"/>
              <w:kinsoku/>
              <w:overflowPunct/>
              <w:topLinePunct w:val="0"/>
              <w:autoSpaceDE/>
              <w:autoSpaceDN/>
              <w:bidi w:val="0"/>
              <w:adjustRightInd/>
              <w:spacing w:line="360" w:lineRule="auto"/>
              <w:ind w:left="0" w:leftChars="0" w:right="0" w:firstLine="480" w:firstLineChars="200"/>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根据水文地质图，本项目周边地下水类型主要为基岩裂隙水。本项目同一水文地质单元内涉及</w:t>
            </w:r>
            <w:r>
              <w:rPr>
                <w:rFonts w:hint="default" w:ascii="Times New Roman" w:hAnsi="Times New Roman" w:cs="Times New Roman"/>
                <w:color w:val="000000" w:themeColor="text1"/>
                <w:sz w:val="24"/>
                <w:highlight w:val="none"/>
                <w:lang w:val="en-US" w:eastAsia="zh-CN"/>
                <w14:textFill>
                  <w14:solidFill>
                    <w14:schemeClr w14:val="tx1"/>
                  </w14:solidFill>
                </w14:textFill>
              </w:rPr>
              <w:t>1个</w:t>
            </w:r>
            <w:r>
              <w:rPr>
                <w:rFonts w:hint="default" w:ascii="Times New Roman" w:hAnsi="Times New Roman" w:cs="Times New Roman"/>
                <w:color w:val="000000" w:themeColor="text1"/>
                <w:sz w:val="24"/>
                <w:highlight w:val="none"/>
                <w:lang w:eastAsia="zh-CN"/>
                <w14:textFill>
                  <w14:solidFill>
                    <w14:schemeClr w14:val="tx1"/>
                  </w14:solidFill>
                </w14:textFill>
              </w:rPr>
              <w:t>地下水出露点，该位于项目区西南侧约</w:t>
            </w:r>
            <w:r>
              <w:rPr>
                <w:rFonts w:hint="default" w:ascii="Times New Roman" w:hAnsi="Times New Roman" w:cs="Times New Roman"/>
                <w:color w:val="000000" w:themeColor="text1"/>
                <w:sz w:val="24"/>
                <w:highlight w:val="none"/>
                <w:lang w:val="en-US" w:eastAsia="zh-CN"/>
                <w14:textFill>
                  <w14:solidFill>
                    <w14:schemeClr w14:val="tx1"/>
                  </w14:solidFill>
                </w14:textFill>
              </w:rPr>
              <w:t>1.2km处</w:t>
            </w:r>
            <w:r>
              <w:rPr>
                <w:rFonts w:hint="default" w:ascii="Times New Roman" w:hAnsi="Times New Roman" w:cs="Times New Roman"/>
                <w:color w:val="000000" w:themeColor="text1"/>
                <w:sz w:val="24"/>
                <w:highlight w:val="none"/>
                <w:lang w:eastAsia="zh-CN"/>
                <w14:textFill>
                  <w14:solidFill>
                    <w14:schemeClr w14:val="tx1"/>
                  </w14:solidFill>
                </w14:textFill>
              </w:rPr>
              <w:t>，不在厂界外</w:t>
            </w:r>
            <w:r>
              <w:rPr>
                <w:rFonts w:hint="default" w:ascii="Times New Roman" w:hAnsi="Times New Roman" w:cs="Times New Roman"/>
                <w:color w:val="000000" w:themeColor="text1"/>
                <w:sz w:val="24"/>
                <w:highlight w:val="none"/>
                <w:lang w:val="en-US" w:eastAsia="zh-CN"/>
                <w14:textFill>
                  <w14:solidFill>
                    <w14:schemeClr w14:val="tx1"/>
                  </w14:solidFill>
                </w14:textFill>
              </w:rPr>
              <w:t>500米范围内。</w:t>
            </w:r>
          </w:p>
          <w:p w14:paraId="6956055C">
            <w:pPr>
              <w:pStyle w:val="20"/>
              <w:pageBreakBefore w:val="0"/>
              <w:kinsoku/>
              <w:overflowPunct/>
              <w:topLinePunct w:val="0"/>
              <w:autoSpaceDE/>
              <w:autoSpaceDN/>
              <w:bidi w:val="0"/>
              <w:adjustRightInd/>
              <w:spacing w:line="360" w:lineRule="auto"/>
              <w:ind w:left="0" w:leftChars="0" w:right="0" w:firstLine="480" w:firstLineChars="20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本项目生产设备均布设于密闭式生产车间内，生产车间地面已进行水泥硬化处理，正常工况下，项目不会产生地下水、土壤污染。</w:t>
            </w:r>
          </w:p>
          <w:p w14:paraId="3F8A3416">
            <w:pPr>
              <w:adjustRightInd w:val="0"/>
              <w:snapToGrid w:val="0"/>
              <w:spacing w:line="360" w:lineRule="auto"/>
              <w:ind w:firstLine="480" w:firstLineChars="200"/>
              <w:rPr>
                <w:rFonts w:hint="default" w:ascii="Times New Roman" w:hAnsi="Times New Roman" w:cs="Times New Roman"/>
                <w:color w:val="000000" w:themeColor="text1"/>
                <w:sz w:val="24"/>
                <w:lang w:val="zh-CN"/>
                <w14:textFill>
                  <w14:solidFill>
                    <w14:schemeClr w14:val="tx1"/>
                  </w14:solidFill>
                </w14:textFill>
              </w:rPr>
            </w:pPr>
            <w:r>
              <w:rPr>
                <w:rFonts w:hint="default" w:ascii="Times New Roman" w:hAnsi="Times New Roman" w:cs="Times New Roman"/>
                <w:color w:val="000000" w:themeColor="text1"/>
                <w:sz w:val="24"/>
                <w:lang w:val="zh-CN"/>
                <w14:textFill>
                  <w14:solidFill>
                    <w14:schemeClr w14:val="tx1"/>
                  </w14:solidFill>
                </w14:textFill>
              </w:rPr>
              <w:t>在事故状态下，</w:t>
            </w:r>
            <w:r>
              <w:rPr>
                <w:rFonts w:hint="default" w:ascii="Times New Roman" w:hAnsi="Times New Roman" w:cs="Times New Roman"/>
                <w:color w:val="000000" w:themeColor="text1"/>
                <w:sz w:val="24"/>
                <w14:textFill>
                  <w14:solidFill>
                    <w14:schemeClr w14:val="tx1"/>
                  </w14:solidFill>
                </w14:textFill>
              </w:rPr>
              <w:t>生产废水</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zh-CN"/>
                <w14:textFill>
                  <w14:solidFill>
                    <w14:schemeClr w14:val="tx1"/>
                  </w14:solidFill>
                </w14:textFill>
              </w:rPr>
              <w:t>项目内暂存的危险废物可能会发生</w:t>
            </w:r>
            <w:r>
              <w:rPr>
                <w:rFonts w:hint="default" w:ascii="Times New Roman" w:hAnsi="Times New Roman" w:cs="Times New Roman"/>
                <w:color w:val="000000" w:themeColor="text1"/>
                <w:sz w:val="24"/>
                <w14:textFill>
                  <w14:solidFill>
                    <w14:schemeClr w14:val="tx1"/>
                  </w14:solidFill>
                </w14:textFill>
              </w:rPr>
              <w:t>泄漏</w:t>
            </w:r>
            <w:r>
              <w:rPr>
                <w:rFonts w:hint="default" w:ascii="Times New Roman" w:hAnsi="Times New Roman" w:cs="Times New Roman"/>
                <w:color w:val="000000" w:themeColor="text1"/>
                <w:sz w:val="24"/>
                <w:lang w:val="zh-CN"/>
                <w14:textFill>
                  <w14:solidFill>
                    <w14:schemeClr w14:val="tx1"/>
                  </w14:solidFill>
                </w14:textFill>
              </w:rPr>
              <w:t>等情况，可能对周边土壤造成污染，长时间</w:t>
            </w:r>
            <w:r>
              <w:rPr>
                <w:rFonts w:hint="default" w:ascii="Times New Roman" w:hAnsi="Times New Roman" w:cs="Times New Roman"/>
                <w:color w:val="000000" w:themeColor="text1"/>
                <w:sz w:val="24"/>
                <w14:textFill>
                  <w14:solidFill>
                    <w14:schemeClr w14:val="tx1"/>
                  </w14:solidFill>
                </w14:textFill>
              </w:rPr>
              <w:t>泄漏</w:t>
            </w:r>
            <w:r>
              <w:rPr>
                <w:rFonts w:hint="default" w:ascii="Times New Roman" w:hAnsi="Times New Roman" w:cs="Times New Roman"/>
                <w:color w:val="000000" w:themeColor="text1"/>
                <w:sz w:val="24"/>
                <w:lang w:val="zh-CN"/>
                <w14:textFill>
                  <w14:solidFill>
                    <w14:schemeClr w14:val="tx1"/>
                  </w14:solidFill>
                </w14:textFill>
              </w:rPr>
              <w:t>可能深入地下对地下水造成污染。</w:t>
            </w:r>
          </w:p>
          <w:p w14:paraId="24C2CEC0">
            <w:pPr>
              <w:adjustRightInd w:val="0"/>
              <w:snapToGrid w:val="0"/>
              <w:spacing w:line="360" w:lineRule="auto"/>
              <w:ind w:firstLine="480" w:firstLineChars="200"/>
              <w:rPr>
                <w:rFonts w:hint="default" w:ascii="Times New Roman" w:hAnsi="Times New Roman" w:cs="Times New Roman"/>
                <w:color w:val="000000" w:themeColor="text1"/>
                <w:sz w:val="24"/>
                <w:lang w:val="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项目对</w:t>
            </w:r>
            <w:r>
              <w:rPr>
                <w:rFonts w:hint="default" w:ascii="Times New Roman" w:hAnsi="Times New Roman" w:cs="Times New Roman"/>
                <w:color w:val="000000" w:themeColor="text1"/>
                <w:sz w:val="24"/>
                <w:lang w:val="zh-CN"/>
                <w14:textFill>
                  <w14:solidFill>
                    <w14:schemeClr w14:val="tx1"/>
                  </w14:solidFill>
                </w14:textFill>
              </w:rPr>
              <w:t>土壤、</w:t>
            </w:r>
            <w:r>
              <w:rPr>
                <w:rFonts w:hint="default" w:ascii="Times New Roman" w:hAnsi="Times New Roman" w:cs="Times New Roman"/>
                <w:color w:val="000000" w:themeColor="text1"/>
                <w:sz w:val="24"/>
                <w14:textFill>
                  <w14:solidFill>
                    <w14:schemeClr w14:val="tx1"/>
                  </w14:solidFill>
                </w14:textFill>
              </w:rPr>
              <w:t>地下水</w:t>
            </w:r>
            <w:r>
              <w:rPr>
                <w:rFonts w:hint="default" w:ascii="Times New Roman" w:hAnsi="Times New Roman" w:cs="Times New Roman"/>
                <w:color w:val="000000" w:themeColor="text1"/>
                <w:sz w:val="24"/>
                <w:lang w:val="zh-CN"/>
                <w14:textFill>
                  <w14:solidFill>
                    <w14:schemeClr w14:val="tx1"/>
                  </w14:solidFill>
                </w14:textFill>
              </w:rPr>
              <w:t>环境</w:t>
            </w:r>
            <w:r>
              <w:rPr>
                <w:rFonts w:hint="default" w:ascii="Times New Roman" w:hAnsi="Times New Roman" w:cs="Times New Roman"/>
                <w:color w:val="000000" w:themeColor="text1"/>
                <w:sz w:val="24"/>
                <w14:textFill>
                  <w14:solidFill>
                    <w14:schemeClr w14:val="tx1"/>
                  </w14:solidFill>
                </w14:textFill>
              </w:rPr>
              <w:t>的</w:t>
            </w:r>
            <w:r>
              <w:rPr>
                <w:rFonts w:hint="default" w:ascii="Times New Roman" w:hAnsi="Times New Roman" w:cs="Times New Roman"/>
                <w:color w:val="000000" w:themeColor="text1"/>
                <w:sz w:val="24"/>
                <w:lang w:val="zh-CN"/>
                <w14:textFill>
                  <w14:solidFill>
                    <w14:schemeClr w14:val="tx1"/>
                  </w14:solidFill>
                </w14:textFill>
              </w:rPr>
              <w:t>影响</w:t>
            </w:r>
            <w:r>
              <w:rPr>
                <w:rFonts w:hint="default" w:ascii="Times New Roman" w:hAnsi="Times New Roman" w:cs="Times New Roman"/>
                <w:color w:val="000000" w:themeColor="text1"/>
                <w:sz w:val="24"/>
                <w14:textFill>
                  <w14:solidFill>
                    <w14:schemeClr w14:val="tx1"/>
                  </w14:solidFill>
                </w14:textFill>
              </w:rPr>
              <w:t>源及影响因子</w:t>
            </w:r>
            <w:r>
              <w:rPr>
                <w:rFonts w:hint="default" w:ascii="Times New Roman" w:hAnsi="Times New Roman" w:cs="Times New Roman"/>
                <w:color w:val="000000" w:themeColor="text1"/>
                <w:sz w:val="24"/>
                <w:lang w:val="zh-CN"/>
                <w14:textFill>
                  <w14:solidFill>
                    <w14:schemeClr w14:val="tx1"/>
                  </w14:solidFill>
                </w14:textFill>
              </w:rPr>
              <w:t>见下表。</w:t>
            </w:r>
          </w:p>
          <w:p w14:paraId="1D302A80">
            <w:pPr>
              <w:pStyle w:val="60"/>
              <w:adjustRightInd w:val="0"/>
              <w:snapToGrid w:val="0"/>
              <w:rPr>
                <w:rStyle w:val="57"/>
                <w:rFonts w:hint="default" w:ascii="Times New Roman" w:hAnsi="Times New Roman" w:cs="Times New Roman"/>
                <w:b/>
                <w:color w:val="000000" w:themeColor="text1"/>
                <w:szCs w:val="21"/>
                <w14:textFill>
                  <w14:solidFill>
                    <w14:schemeClr w14:val="tx1"/>
                  </w14:solidFill>
                </w14:textFill>
              </w:rPr>
            </w:pPr>
            <w:r>
              <w:rPr>
                <w:rStyle w:val="57"/>
                <w:rFonts w:hint="default" w:ascii="Times New Roman" w:hAnsi="Times New Roman" w:cs="Times New Roman"/>
                <w:b/>
                <w:color w:val="000000" w:themeColor="text1"/>
                <w:szCs w:val="21"/>
                <w14:textFill>
                  <w14:solidFill>
                    <w14:schemeClr w14:val="tx1"/>
                  </w14:solidFill>
                </w14:textFill>
              </w:rPr>
              <w:t>表4-</w:t>
            </w:r>
            <w:r>
              <w:rPr>
                <w:rStyle w:val="57"/>
                <w:rFonts w:hint="default" w:ascii="Times New Roman" w:hAnsi="Times New Roman" w:cs="Times New Roman"/>
                <w:b/>
                <w:color w:val="000000" w:themeColor="text1"/>
                <w:szCs w:val="21"/>
                <w:lang w:val="en-US" w:eastAsia="zh-CN"/>
                <w14:textFill>
                  <w14:solidFill>
                    <w14:schemeClr w14:val="tx1"/>
                  </w14:solidFill>
                </w14:textFill>
              </w:rPr>
              <w:t>17</w:t>
            </w:r>
            <w:r>
              <w:rPr>
                <w:rStyle w:val="57"/>
                <w:rFonts w:hint="default" w:ascii="Times New Roman" w:hAnsi="Times New Roman" w:cs="Times New Roman"/>
                <w:b/>
                <w:color w:val="000000" w:themeColor="text1"/>
                <w:szCs w:val="21"/>
                <w14:textFill>
                  <w14:solidFill>
                    <w14:schemeClr w14:val="tx1"/>
                  </w14:solidFill>
                </w14:textFill>
              </w:rPr>
              <w:t xml:space="preserve">   项目土壤、地下水环境影响源及影响因子识别表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1535"/>
              <w:gridCol w:w="1222"/>
              <w:gridCol w:w="1232"/>
              <w:gridCol w:w="2783"/>
            </w:tblGrid>
            <w:tr w14:paraId="26BC8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vAlign w:val="center"/>
                </w:tcPr>
                <w:p w14:paraId="5CA9B43B">
                  <w:pPr>
                    <w:pStyle w:val="60"/>
                    <w:adjustRightInd w:val="0"/>
                    <w:snapToGrid w:val="0"/>
                    <w:rPr>
                      <w:rStyle w:val="57"/>
                      <w:rFonts w:hint="default" w:ascii="Times New Roman" w:hAnsi="Times New Roman" w:cs="Times New Roman"/>
                      <w:b/>
                      <w:color w:val="000000" w:themeColor="text1"/>
                      <w:szCs w:val="21"/>
                      <w14:textFill>
                        <w14:solidFill>
                          <w14:schemeClr w14:val="tx1"/>
                        </w14:solidFill>
                      </w14:textFill>
                    </w:rPr>
                  </w:pPr>
                  <w:r>
                    <w:rPr>
                      <w:rStyle w:val="57"/>
                      <w:rFonts w:hint="default" w:ascii="Times New Roman" w:hAnsi="Times New Roman" w:cs="Times New Roman"/>
                      <w:b/>
                      <w:color w:val="000000" w:themeColor="text1"/>
                      <w:szCs w:val="21"/>
                      <w14:textFill>
                        <w14:solidFill>
                          <w14:schemeClr w14:val="tx1"/>
                        </w14:solidFill>
                      </w14:textFill>
                    </w:rPr>
                    <w:t>污染源</w:t>
                  </w:r>
                </w:p>
              </w:tc>
              <w:tc>
                <w:tcPr>
                  <w:tcW w:w="1543" w:type="dxa"/>
                  <w:vAlign w:val="center"/>
                </w:tcPr>
                <w:p w14:paraId="19F87FE8">
                  <w:pPr>
                    <w:pStyle w:val="60"/>
                    <w:adjustRightInd w:val="0"/>
                    <w:snapToGrid w:val="0"/>
                    <w:rPr>
                      <w:rStyle w:val="57"/>
                      <w:rFonts w:hint="default" w:ascii="Times New Roman" w:hAnsi="Times New Roman" w:cs="Times New Roman"/>
                      <w:b/>
                      <w:color w:val="000000" w:themeColor="text1"/>
                      <w:szCs w:val="21"/>
                      <w14:textFill>
                        <w14:solidFill>
                          <w14:schemeClr w14:val="tx1"/>
                        </w14:solidFill>
                      </w14:textFill>
                    </w:rPr>
                  </w:pPr>
                  <w:r>
                    <w:rPr>
                      <w:rStyle w:val="57"/>
                      <w:rFonts w:hint="default" w:ascii="Times New Roman" w:hAnsi="Times New Roman" w:cs="Times New Roman"/>
                      <w:b/>
                      <w:color w:val="000000" w:themeColor="text1"/>
                      <w:szCs w:val="21"/>
                      <w14:textFill>
                        <w14:solidFill>
                          <w14:schemeClr w14:val="tx1"/>
                        </w14:solidFill>
                      </w14:textFill>
                    </w:rPr>
                    <w:t>工艺流程/环节</w:t>
                  </w:r>
                </w:p>
              </w:tc>
              <w:tc>
                <w:tcPr>
                  <w:tcW w:w="1227" w:type="dxa"/>
                  <w:vAlign w:val="center"/>
                </w:tcPr>
                <w:p w14:paraId="63AC8BBB">
                  <w:pPr>
                    <w:pStyle w:val="60"/>
                    <w:adjustRightInd w:val="0"/>
                    <w:snapToGrid w:val="0"/>
                    <w:rPr>
                      <w:rStyle w:val="57"/>
                      <w:rFonts w:hint="default" w:ascii="Times New Roman" w:hAnsi="Times New Roman" w:cs="Times New Roman"/>
                      <w:b/>
                      <w:color w:val="000000" w:themeColor="text1"/>
                      <w:szCs w:val="21"/>
                      <w14:textFill>
                        <w14:solidFill>
                          <w14:schemeClr w14:val="tx1"/>
                        </w14:solidFill>
                      </w14:textFill>
                    </w:rPr>
                  </w:pPr>
                  <w:r>
                    <w:rPr>
                      <w:rStyle w:val="57"/>
                      <w:rFonts w:hint="default" w:ascii="Times New Roman" w:hAnsi="Times New Roman" w:cs="Times New Roman"/>
                      <w:b/>
                      <w:color w:val="000000" w:themeColor="text1"/>
                      <w:szCs w:val="21"/>
                      <w14:textFill>
                        <w14:solidFill>
                          <w14:schemeClr w14:val="tx1"/>
                        </w14:solidFill>
                      </w14:textFill>
                    </w:rPr>
                    <w:t>污染途径</w:t>
                  </w:r>
                </w:p>
              </w:tc>
              <w:tc>
                <w:tcPr>
                  <w:tcW w:w="1235" w:type="dxa"/>
                  <w:vAlign w:val="center"/>
                </w:tcPr>
                <w:p w14:paraId="6B80642B">
                  <w:pPr>
                    <w:pStyle w:val="60"/>
                    <w:adjustRightInd w:val="0"/>
                    <w:snapToGrid w:val="0"/>
                    <w:rPr>
                      <w:rStyle w:val="57"/>
                      <w:rFonts w:hint="default" w:ascii="Times New Roman" w:hAnsi="Times New Roman" w:cs="Times New Roman"/>
                      <w:b/>
                      <w:color w:val="000000" w:themeColor="text1"/>
                      <w:szCs w:val="21"/>
                      <w14:textFill>
                        <w14:solidFill>
                          <w14:schemeClr w14:val="tx1"/>
                        </w14:solidFill>
                      </w14:textFill>
                    </w:rPr>
                  </w:pPr>
                  <w:r>
                    <w:rPr>
                      <w:rStyle w:val="57"/>
                      <w:rFonts w:hint="default" w:ascii="Times New Roman" w:hAnsi="Times New Roman" w:cs="Times New Roman"/>
                      <w:b/>
                      <w:color w:val="000000" w:themeColor="text1"/>
                      <w:szCs w:val="21"/>
                      <w14:textFill>
                        <w14:solidFill>
                          <w14:schemeClr w14:val="tx1"/>
                        </w14:solidFill>
                      </w14:textFill>
                    </w:rPr>
                    <w:t>污染物</w:t>
                  </w:r>
                </w:p>
              </w:tc>
              <w:tc>
                <w:tcPr>
                  <w:tcW w:w="2803" w:type="dxa"/>
                  <w:vAlign w:val="center"/>
                </w:tcPr>
                <w:p w14:paraId="2F8BD901">
                  <w:pPr>
                    <w:pStyle w:val="60"/>
                    <w:adjustRightInd w:val="0"/>
                    <w:snapToGrid w:val="0"/>
                    <w:rPr>
                      <w:rStyle w:val="57"/>
                      <w:rFonts w:hint="default" w:ascii="Times New Roman" w:hAnsi="Times New Roman" w:cs="Times New Roman"/>
                      <w:b/>
                      <w:color w:val="000000" w:themeColor="text1"/>
                      <w:szCs w:val="21"/>
                      <w14:textFill>
                        <w14:solidFill>
                          <w14:schemeClr w14:val="tx1"/>
                        </w14:solidFill>
                      </w14:textFill>
                    </w:rPr>
                  </w:pPr>
                  <w:r>
                    <w:rPr>
                      <w:rStyle w:val="57"/>
                      <w:rFonts w:hint="default" w:ascii="Times New Roman" w:hAnsi="Times New Roman" w:cs="Times New Roman"/>
                      <w:b/>
                      <w:color w:val="000000" w:themeColor="text1"/>
                      <w:szCs w:val="21"/>
                      <w14:textFill>
                        <w14:solidFill>
                          <w14:schemeClr w14:val="tx1"/>
                        </w14:solidFill>
                      </w14:textFill>
                    </w:rPr>
                    <w:t>备注</w:t>
                  </w:r>
                </w:p>
              </w:tc>
            </w:tr>
            <w:tr w14:paraId="34908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vAlign w:val="center"/>
                </w:tcPr>
                <w:p w14:paraId="5AA5A13A">
                  <w:pPr>
                    <w:pStyle w:val="60"/>
                    <w:adjustRightInd w:val="0"/>
                    <w:snapToGrid w:val="0"/>
                    <w:rPr>
                      <w:rStyle w:val="57"/>
                      <w:rFonts w:hint="default" w:ascii="Times New Roman" w:hAnsi="Times New Roman" w:cs="Times New Roman"/>
                      <w:bCs/>
                      <w:color w:val="000000" w:themeColor="text1"/>
                      <w:szCs w:val="21"/>
                      <w14:textFill>
                        <w14:solidFill>
                          <w14:schemeClr w14:val="tx1"/>
                        </w14:solidFill>
                      </w14:textFill>
                    </w:rPr>
                  </w:pPr>
                  <w:r>
                    <w:rPr>
                      <w:rStyle w:val="57"/>
                      <w:rFonts w:hint="default" w:ascii="Times New Roman" w:hAnsi="Times New Roman" w:cs="Times New Roman"/>
                      <w:bCs/>
                      <w:color w:val="000000" w:themeColor="text1"/>
                      <w:szCs w:val="21"/>
                      <w14:textFill>
                        <w14:solidFill>
                          <w14:schemeClr w14:val="tx1"/>
                        </w14:solidFill>
                      </w14:textFill>
                    </w:rPr>
                    <w:t>危险废物暂存间</w:t>
                  </w:r>
                </w:p>
              </w:tc>
              <w:tc>
                <w:tcPr>
                  <w:tcW w:w="1543" w:type="dxa"/>
                  <w:vAlign w:val="center"/>
                </w:tcPr>
                <w:p w14:paraId="3EE407BC">
                  <w:pPr>
                    <w:pStyle w:val="60"/>
                    <w:adjustRightInd w:val="0"/>
                    <w:snapToGrid w:val="0"/>
                    <w:rPr>
                      <w:rStyle w:val="57"/>
                      <w:rFonts w:hint="default" w:ascii="Times New Roman" w:hAnsi="Times New Roman" w:cs="Times New Roman"/>
                      <w:bCs/>
                      <w:color w:val="000000" w:themeColor="text1"/>
                      <w:szCs w:val="21"/>
                      <w14:textFill>
                        <w14:solidFill>
                          <w14:schemeClr w14:val="tx1"/>
                        </w14:solidFill>
                      </w14:textFill>
                    </w:rPr>
                  </w:pPr>
                  <w:r>
                    <w:rPr>
                      <w:rStyle w:val="57"/>
                      <w:rFonts w:hint="default" w:ascii="Times New Roman" w:hAnsi="Times New Roman" w:cs="Times New Roman"/>
                      <w:bCs/>
                      <w:color w:val="000000" w:themeColor="text1"/>
                      <w:szCs w:val="21"/>
                      <w14:textFill>
                        <w14:solidFill>
                          <w14:schemeClr w14:val="tx1"/>
                        </w14:solidFill>
                      </w14:textFill>
                    </w:rPr>
                    <w:t>危险废物暂存</w:t>
                  </w:r>
                </w:p>
              </w:tc>
              <w:tc>
                <w:tcPr>
                  <w:tcW w:w="1227" w:type="dxa"/>
                  <w:vAlign w:val="center"/>
                </w:tcPr>
                <w:p w14:paraId="3BCC0C66">
                  <w:pPr>
                    <w:pStyle w:val="60"/>
                    <w:adjustRightInd w:val="0"/>
                    <w:snapToGrid w:val="0"/>
                    <w:rPr>
                      <w:rStyle w:val="57"/>
                      <w:rFonts w:hint="default" w:ascii="Times New Roman" w:hAnsi="Times New Roman" w:cs="Times New Roman"/>
                      <w:bCs/>
                      <w:color w:val="000000" w:themeColor="text1"/>
                      <w:szCs w:val="21"/>
                      <w14:textFill>
                        <w14:solidFill>
                          <w14:schemeClr w14:val="tx1"/>
                        </w14:solidFill>
                      </w14:textFill>
                    </w:rPr>
                  </w:pPr>
                  <w:r>
                    <w:rPr>
                      <w:rStyle w:val="57"/>
                      <w:rFonts w:hint="default" w:ascii="Times New Roman" w:hAnsi="Times New Roman" w:cs="Times New Roman"/>
                      <w:bCs/>
                      <w:color w:val="000000" w:themeColor="text1"/>
                      <w:szCs w:val="21"/>
                      <w14:textFill>
                        <w14:solidFill>
                          <w14:schemeClr w14:val="tx1"/>
                        </w14:solidFill>
                      </w14:textFill>
                    </w:rPr>
                    <w:t>垂直入渗</w:t>
                  </w:r>
                </w:p>
              </w:tc>
              <w:tc>
                <w:tcPr>
                  <w:tcW w:w="1235" w:type="dxa"/>
                  <w:vAlign w:val="center"/>
                </w:tcPr>
                <w:p w14:paraId="55DF8D7F">
                  <w:pPr>
                    <w:pStyle w:val="60"/>
                    <w:adjustRightInd w:val="0"/>
                    <w:snapToGrid w:val="0"/>
                    <w:rPr>
                      <w:rStyle w:val="57"/>
                      <w:rFonts w:hint="default" w:ascii="Times New Roman" w:hAnsi="Times New Roman" w:eastAsia="宋体" w:cs="Times New Roman"/>
                      <w:bCs/>
                      <w:color w:val="000000" w:themeColor="text1"/>
                      <w:szCs w:val="21"/>
                      <w:lang w:eastAsia="zh-CN"/>
                      <w14:textFill>
                        <w14:solidFill>
                          <w14:schemeClr w14:val="tx1"/>
                        </w14:solidFill>
                      </w14:textFill>
                    </w:rPr>
                  </w:pPr>
                  <w:r>
                    <w:rPr>
                      <w:rStyle w:val="57"/>
                      <w:rFonts w:hint="default" w:ascii="Times New Roman" w:hAnsi="Times New Roman" w:cs="Times New Roman"/>
                      <w:bCs/>
                      <w:color w:val="000000" w:themeColor="text1"/>
                      <w:szCs w:val="21"/>
                      <w:lang w:eastAsia="zh-CN"/>
                      <w14:textFill>
                        <w14:solidFill>
                          <w14:schemeClr w14:val="tx1"/>
                        </w14:solidFill>
                      </w14:textFill>
                    </w:rPr>
                    <w:t>危险废物</w:t>
                  </w:r>
                </w:p>
              </w:tc>
              <w:tc>
                <w:tcPr>
                  <w:tcW w:w="2803" w:type="dxa"/>
                  <w:vAlign w:val="center"/>
                </w:tcPr>
                <w:p w14:paraId="36F8F33E">
                  <w:pPr>
                    <w:pStyle w:val="60"/>
                    <w:adjustRightInd w:val="0"/>
                    <w:snapToGrid w:val="0"/>
                    <w:rPr>
                      <w:rStyle w:val="57"/>
                      <w:rFonts w:hint="default" w:ascii="Times New Roman" w:hAnsi="Times New Roman" w:cs="Times New Roman"/>
                      <w:bCs/>
                      <w:color w:val="000000" w:themeColor="text1"/>
                      <w:szCs w:val="21"/>
                      <w14:textFill>
                        <w14:solidFill>
                          <w14:schemeClr w14:val="tx1"/>
                        </w14:solidFill>
                      </w14:textFill>
                    </w:rPr>
                  </w:pPr>
                  <w:r>
                    <w:rPr>
                      <w:rStyle w:val="57"/>
                      <w:rFonts w:hint="default" w:ascii="Times New Roman" w:hAnsi="Times New Roman" w:cs="Times New Roman"/>
                      <w:bCs/>
                      <w:color w:val="000000" w:themeColor="text1"/>
                      <w:szCs w:val="21"/>
                      <w14:textFill>
                        <w14:solidFill>
                          <w14:schemeClr w14:val="tx1"/>
                        </w14:solidFill>
                      </w14:textFill>
                    </w:rPr>
                    <w:t>危废收集容器损坏，废矿物油泄漏渗入土壤造成污染</w:t>
                  </w:r>
                </w:p>
              </w:tc>
            </w:tr>
            <w:tr w14:paraId="3683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vAlign w:val="center"/>
                </w:tcPr>
                <w:p w14:paraId="1226FD5F">
                  <w:pPr>
                    <w:pStyle w:val="60"/>
                    <w:adjustRightInd w:val="0"/>
                    <w:snapToGrid w:val="0"/>
                    <w:rPr>
                      <w:rStyle w:val="57"/>
                      <w:rFonts w:hint="default" w:ascii="Times New Roman" w:hAnsi="Times New Roman" w:cs="Times New Roman"/>
                      <w:bCs/>
                      <w:color w:val="000000" w:themeColor="text1"/>
                      <w:szCs w:val="21"/>
                      <w14:textFill>
                        <w14:solidFill>
                          <w14:schemeClr w14:val="tx1"/>
                        </w14:solidFill>
                      </w14:textFill>
                    </w:rPr>
                  </w:pPr>
                  <w:r>
                    <w:rPr>
                      <w:rStyle w:val="57"/>
                      <w:rFonts w:hint="default" w:ascii="Times New Roman" w:hAnsi="Times New Roman" w:cs="Times New Roman"/>
                      <w:bCs/>
                      <w:color w:val="000000" w:themeColor="text1"/>
                      <w:szCs w:val="21"/>
                      <w14:textFill>
                        <w14:solidFill>
                          <w14:schemeClr w14:val="tx1"/>
                        </w14:solidFill>
                      </w14:textFill>
                    </w:rPr>
                    <w:t>生产废水</w:t>
                  </w:r>
                </w:p>
              </w:tc>
              <w:tc>
                <w:tcPr>
                  <w:tcW w:w="1543" w:type="dxa"/>
                  <w:vAlign w:val="center"/>
                </w:tcPr>
                <w:p w14:paraId="11B18D1B">
                  <w:pPr>
                    <w:pStyle w:val="60"/>
                    <w:adjustRightInd w:val="0"/>
                    <w:snapToGrid w:val="0"/>
                    <w:rPr>
                      <w:rStyle w:val="57"/>
                      <w:rFonts w:hint="default" w:ascii="Times New Roman" w:hAnsi="Times New Roman" w:eastAsia="宋体" w:cs="Times New Roman"/>
                      <w:bCs/>
                      <w:color w:val="000000" w:themeColor="text1"/>
                      <w:szCs w:val="21"/>
                      <w:lang w:eastAsia="zh-CN"/>
                      <w14:textFill>
                        <w14:solidFill>
                          <w14:schemeClr w14:val="tx1"/>
                        </w14:solidFill>
                      </w14:textFill>
                    </w:rPr>
                  </w:pPr>
                  <w:r>
                    <w:rPr>
                      <w:rStyle w:val="57"/>
                      <w:rFonts w:hint="default" w:ascii="Times New Roman" w:hAnsi="Times New Roman" w:cs="Times New Roman"/>
                      <w:bCs/>
                      <w:color w:val="000000" w:themeColor="text1"/>
                      <w:szCs w:val="21"/>
                      <w:lang w:eastAsia="zh-CN"/>
                      <w14:textFill>
                        <w14:solidFill>
                          <w14:schemeClr w14:val="tx1"/>
                        </w14:solidFill>
                      </w14:textFill>
                    </w:rPr>
                    <w:t>水压试验、气密试验用水、喷淋塔用水</w:t>
                  </w:r>
                </w:p>
              </w:tc>
              <w:tc>
                <w:tcPr>
                  <w:tcW w:w="1227" w:type="dxa"/>
                  <w:vAlign w:val="center"/>
                </w:tcPr>
                <w:p w14:paraId="7E792B06">
                  <w:pPr>
                    <w:pStyle w:val="60"/>
                    <w:adjustRightInd w:val="0"/>
                    <w:snapToGrid w:val="0"/>
                    <w:rPr>
                      <w:rStyle w:val="57"/>
                      <w:rFonts w:hint="default" w:ascii="Times New Roman" w:hAnsi="Times New Roman" w:cs="Times New Roman"/>
                      <w:bCs/>
                      <w:color w:val="000000" w:themeColor="text1"/>
                      <w:szCs w:val="21"/>
                      <w14:textFill>
                        <w14:solidFill>
                          <w14:schemeClr w14:val="tx1"/>
                        </w14:solidFill>
                      </w14:textFill>
                    </w:rPr>
                  </w:pPr>
                  <w:r>
                    <w:rPr>
                      <w:rStyle w:val="57"/>
                      <w:rFonts w:hint="default" w:ascii="Times New Roman" w:hAnsi="Times New Roman" w:cs="Times New Roman"/>
                      <w:bCs/>
                      <w:color w:val="000000" w:themeColor="text1"/>
                      <w:szCs w:val="21"/>
                      <w14:textFill>
                        <w14:solidFill>
                          <w14:schemeClr w14:val="tx1"/>
                        </w14:solidFill>
                      </w14:textFill>
                    </w:rPr>
                    <w:t>垂直入渗、地面漫流</w:t>
                  </w:r>
                </w:p>
              </w:tc>
              <w:tc>
                <w:tcPr>
                  <w:tcW w:w="1235" w:type="dxa"/>
                  <w:vAlign w:val="center"/>
                </w:tcPr>
                <w:p w14:paraId="55F8FF57">
                  <w:pPr>
                    <w:pStyle w:val="60"/>
                    <w:adjustRightInd w:val="0"/>
                    <w:snapToGrid w:val="0"/>
                    <w:rPr>
                      <w:rStyle w:val="57"/>
                      <w:rFonts w:hint="default" w:ascii="Times New Roman" w:hAnsi="Times New Roman" w:eastAsia="宋体" w:cs="Times New Roman"/>
                      <w:bCs/>
                      <w:color w:val="000000" w:themeColor="text1"/>
                      <w:szCs w:val="21"/>
                      <w:lang w:eastAsia="zh-CN"/>
                      <w14:textFill>
                        <w14:solidFill>
                          <w14:schemeClr w14:val="tx1"/>
                        </w14:solidFill>
                      </w14:textFill>
                    </w:rPr>
                  </w:pPr>
                  <w:r>
                    <w:rPr>
                      <w:rStyle w:val="57"/>
                      <w:rFonts w:hint="default" w:ascii="Times New Roman" w:hAnsi="Times New Roman" w:cs="Times New Roman"/>
                      <w:bCs/>
                      <w:color w:val="000000" w:themeColor="text1"/>
                      <w:szCs w:val="21"/>
                      <w:lang w:val="en-US" w:eastAsia="zh-CN"/>
                      <w14:textFill>
                        <w14:solidFill>
                          <w14:schemeClr w14:val="tx1"/>
                        </w14:solidFill>
                      </w14:textFill>
                    </w:rPr>
                    <w:t>pH、COD</w:t>
                  </w:r>
                  <w:r>
                    <w:rPr>
                      <w:rStyle w:val="57"/>
                      <w:rFonts w:hint="default" w:ascii="Times New Roman" w:hAnsi="Times New Roman" w:cs="Times New Roman"/>
                      <w:bCs/>
                      <w:color w:val="000000" w:themeColor="text1"/>
                      <w:szCs w:val="21"/>
                      <w14:textFill>
                        <w14:solidFill>
                          <w14:schemeClr w14:val="tx1"/>
                        </w14:solidFill>
                      </w14:textFill>
                    </w:rPr>
                    <w:t>、氨氮、SS</w:t>
                  </w:r>
                  <w:r>
                    <w:rPr>
                      <w:rStyle w:val="57"/>
                      <w:rFonts w:hint="default" w:ascii="Times New Roman" w:hAnsi="Times New Roman" w:cs="Times New Roman"/>
                      <w:bCs/>
                      <w:color w:val="000000" w:themeColor="text1"/>
                      <w:szCs w:val="21"/>
                      <w:lang w:eastAsia="zh-CN"/>
                      <w14:textFill>
                        <w14:solidFill>
                          <w14:schemeClr w14:val="tx1"/>
                        </w14:solidFill>
                      </w14:textFill>
                    </w:rPr>
                    <w:t>等</w:t>
                  </w:r>
                </w:p>
              </w:tc>
              <w:tc>
                <w:tcPr>
                  <w:tcW w:w="2803" w:type="dxa"/>
                  <w:vAlign w:val="center"/>
                </w:tcPr>
                <w:p w14:paraId="1E8FBFE8">
                  <w:pPr>
                    <w:pStyle w:val="60"/>
                    <w:adjustRightInd w:val="0"/>
                    <w:snapToGrid w:val="0"/>
                    <w:rPr>
                      <w:rStyle w:val="57"/>
                      <w:rFonts w:hint="default" w:ascii="Times New Roman" w:hAnsi="Times New Roman" w:cs="Times New Roman"/>
                      <w:bCs/>
                      <w:color w:val="000000" w:themeColor="text1"/>
                      <w:szCs w:val="21"/>
                      <w14:textFill>
                        <w14:solidFill>
                          <w14:schemeClr w14:val="tx1"/>
                        </w14:solidFill>
                      </w14:textFill>
                    </w:rPr>
                  </w:pPr>
                  <w:r>
                    <w:rPr>
                      <w:rStyle w:val="57"/>
                      <w:rFonts w:hint="default" w:ascii="Times New Roman" w:hAnsi="Times New Roman" w:cs="Times New Roman"/>
                      <w:bCs/>
                      <w:color w:val="000000" w:themeColor="text1"/>
                      <w:szCs w:val="21"/>
                      <w14:textFill>
                        <w14:solidFill>
                          <w14:schemeClr w14:val="tx1"/>
                        </w14:solidFill>
                      </w14:textFill>
                    </w:rPr>
                    <w:t>污水外溢通过地表漫流、垂直入渗进入土壤、地下水造成污染</w:t>
                  </w:r>
                </w:p>
              </w:tc>
            </w:tr>
          </w:tbl>
          <w:p w14:paraId="445D4BED">
            <w:pPr>
              <w:pStyle w:val="20"/>
              <w:pageBreakBefore w:val="0"/>
              <w:kinsoku/>
              <w:overflowPunct/>
              <w:topLinePunct w:val="0"/>
              <w:autoSpaceDE/>
              <w:autoSpaceDN/>
              <w:bidi w:val="0"/>
              <w:adjustRightInd/>
              <w:spacing w:line="360" w:lineRule="auto"/>
              <w:ind w:left="0" w:leftChars="0" w:right="0" w:firstLine="482" w:firstLineChars="20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（2）分区防控措施</w:t>
            </w:r>
          </w:p>
          <w:p w14:paraId="2BA68B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zh-CN"/>
                <w14:textFill>
                  <w14:solidFill>
                    <w14:schemeClr w14:val="tx1"/>
                  </w14:solidFill>
                </w14:textFill>
              </w:rPr>
            </w:pPr>
            <w:r>
              <w:rPr>
                <w:rFonts w:hint="default" w:ascii="Times New Roman" w:hAnsi="Times New Roman" w:eastAsia="宋体" w:cs="Times New Roman"/>
                <w:color w:val="000000" w:themeColor="text1"/>
                <w:sz w:val="24"/>
                <w:lang w:val="zh-CN"/>
                <w14:textFill>
                  <w14:solidFill>
                    <w14:schemeClr w14:val="tx1"/>
                  </w14:solidFill>
                </w14:textFill>
              </w:rPr>
              <w:t>项目存在土壤、地下水污染源的区域主要为生产废水收集池及危险废物暂存间，项目分区防控措施具体如下：</w:t>
            </w:r>
          </w:p>
          <w:p w14:paraId="237AB9AA">
            <w:pPr>
              <w:pStyle w:val="60"/>
              <w:adjustRightInd w:val="0"/>
              <w:snapToGrid w:val="0"/>
              <w:rPr>
                <w:rStyle w:val="57"/>
                <w:rFonts w:hint="default" w:ascii="Times New Roman" w:hAnsi="Times New Roman" w:eastAsia="宋体" w:cs="Times New Roman"/>
                <w:b/>
                <w:color w:val="000000" w:themeColor="text1"/>
                <w:szCs w:val="21"/>
                <w14:textFill>
                  <w14:solidFill>
                    <w14:schemeClr w14:val="tx1"/>
                  </w14:solidFill>
                </w14:textFill>
              </w:rPr>
            </w:pPr>
            <w:r>
              <w:rPr>
                <w:rStyle w:val="57"/>
                <w:rFonts w:hint="default" w:ascii="Times New Roman" w:hAnsi="Times New Roman" w:eastAsia="宋体" w:cs="Times New Roman"/>
                <w:b/>
                <w:color w:val="000000" w:themeColor="text1"/>
                <w:szCs w:val="21"/>
                <w14:textFill>
                  <w14:solidFill>
                    <w14:schemeClr w14:val="tx1"/>
                  </w14:solidFill>
                </w14:textFill>
              </w:rPr>
              <w:t>表4-</w:t>
            </w:r>
            <w:r>
              <w:rPr>
                <w:rStyle w:val="57"/>
                <w:rFonts w:hint="default" w:ascii="Times New Roman" w:hAnsi="Times New Roman" w:eastAsia="宋体" w:cs="Times New Roman"/>
                <w:b/>
                <w:color w:val="000000" w:themeColor="text1"/>
                <w:szCs w:val="21"/>
                <w:lang w:val="en-US" w:eastAsia="zh-CN"/>
                <w14:textFill>
                  <w14:solidFill>
                    <w14:schemeClr w14:val="tx1"/>
                  </w14:solidFill>
                </w14:textFill>
              </w:rPr>
              <w:t>18</w:t>
            </w:r>
            <w:r>
              <w:rPr>
                <w:rStyle w:val="57"/>
                <w:rFonts w:hint="default" w:ascii="Times New Roman" w:hAnsi="Times New Roman" w:eastAsia="宋体" w:cs="Times New Roman"/>
                <w:b/>
                <w:color w:val="000000" w:themeColor="text1"/>
                <w:szCs w:val="21"/>
                <w14:textFill>
                  <w14:solidFill>
                    <w14:schemeClr w14:val="tx1"/>
                  </w14:solidFill>
                </w14:textFill>
              </w:rPr>
              <w:t xml:space="preserve"> 项目分区防渗一览表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3095"/>
              <w:gridCol w:w="3612"/>
            </w:tblGrid>
            <w:tr w14:paraId="2B971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pct"/>
                  <w:vAlign w:val="center"/>
                </w:tcPr>
                <w:p w14:paraId="7C59B186">
                  <w:pPr>
                    <w:kinsoku w:val="0"/>
                    <w:overflowPunct w:val="0"/>
                    <w:autoSpaceDE w:val="0"/>
                    <w:autoSpaceDN w:val="0"/>
                    <w:adjustRightInd w:val="0"/>
                    <w:snapToGrid w:val="0"/>
                    <w:jc w:val="center"/>
                    <w:textAlignment w:val="baseline"/>
                    <w:rPr>
                      <w:rFonts w:hint="default" w:ascii="Times New Roman" w:hAnsi="Times New Roman" w:cs="Times New Roman"/>
                      <w:color w:val="000000" w:themeColor="text1"/>
                      <w:kern w:val="0"/>
                      <w:szCs w:val="21"/>
                      <w:lang w:val="zh-CN"/>
                      <w14:textFill>
                        <w14:solidFill>
                          <w14:schemeClr w14:val="tx1"/>
                        </w14:solidFill>
                      </w14:textFill>
                    </w:rPr>
                  </w:pPr>
                  <w:r>
                    <w:rPr>
                      <w:rFonts w:hint="default" w:ascii="Times New Roman" w:hAnsi="Times New Roman" w:cs="Times New Roman"/>
                      <w:color w:val="000000" w:themeColor="text1"/>
                      <w:kern w:val="0"/>
                      <w:szCs w:val="21"/>
                      <w:lang w:val="zh-CN"/>
                      <w14:textFill>
                        <w14:solidFill>
                          <w14:schemeClr w14:val="tx1"/>
                        </w14:solidFill>
                      </w14:textFill>
                    </w:rPr>
                    <w:t>分区防渗</w:t>
                  </w:r>
                </w:p>
              </w:tc>
              <w:tc>
                <w:tcPr>
                  <w:tcW w:w="1917" w:type="pct"/>
                  <w:vAlign w:val="center"/>
                </w:tcPr>
                <w:p w14:paraId="76B5F16C">
                  <w:pPr>
                    <w:kinsoku w:val="0"/>
                    <w:overflowPunct w:val="0"/>
                    <w:autoSpaceDE w:val="0"/>
                    <w:autoSpaceDN w:val="0"/>
                    <w:adjustRightInd w:val="0"/>
                    <w:snapToGrid w:val="0"/>
                    <w:jc w:val="center"/>
                    <w:textAlignment w:val="baseline"/>
                    <w:rPr>
                      <w:rFonts w:hint="default" w:ascii="Times New Roman" w:hAnsi="Times New Roman" w:cs="Times New Roman"/>
                      <w:color w:val="000000" w:themeColor="text1"/>
                      <w:kern w:val="0"/>
                      <w:szCs w:val="21"/>
                      <w:lang w:val="zh-CN"/>
                      <w14:textFill>
                        <w14:solidFill>
                          <w14:schemeClr w14:val="tx1"/>
                        </w14:solidFill>
                      </w14:textFill>
                    </w:rPr>
                  </w:pPr>
                  <w:r>
                    <w:rPr>
                      <w:rFonts w:hint="default" w:ascii="Times New Roman" w:hAnsi="Times New Roman" w:cs="Times New Roman"/>
                      <w:color w:val="000000" w:themeColor="text1"/>
                      <w:kern w:val="0"/>
                      <w:szCs w:val="21"/>
                      <w:lang w:val="zh-CN"/>
                      <w14:textFill>
                        <w14:solidFill>
                          <w14:schemeClr w14:val="tx1"/>
                        </w14:solidFill>
                      </w14:textFill>
                    </w:rPr>
                    <w:t>装置或构筑物名称</w:t>
                  </w:r>
                </w:p>
              </w:tc>
              <w:tc>
                <w:tcPr>
                  <w:tcW w:w="2237" w:type="pct"/>
                  <w:vAlign w:val="center"/>
                </w:tcPr>
                <w:p w14:paraId="59B56413">
                  <w:pPr>
                    <w:kinsoku w:val="0"/>
                    <w:overflowPunct w:val="0"/>
                    <w:autoSpaceDE w:val="0"/>
                    <w:autoSpaceDN w:val="0"/>
                    <w:adjustRightInd w:val="0"/>
                    <w:snapToGrid w:val="0"/>
                    <w:jc w:val="center"/>
                    <w:textAlignment w:val="baseline"/>
                    <w:rPr>
                      <w:rFonts w:hint="default" w:ascii="Times New Roman" w:hAnsi="Times New Roman" w:cs="Times New Roman"/>
                      <w:color w:val="000000" w:themeColor="text1"/>
                      <w:kern w:val="0"/>
                      <w:szCs w:val="21"/>
                      <w:lang w:val="zh-CN"/>
                      <w14:textFill>
                        <w14:solidFill>
                          <w14:schemeClr w14:val="tx1"/>
                        </w14:solidFill>
                      </w14:textFill>
                    </w:rPr>
                  </w:pPr>
                  <w:r>
                    <w:rPr>
                      <w:rFonts w:hint="default" w:ascii="Times New Roman" w:hAnsi="Times New Roman" w:cs="Times New Roman"/>
                      <w:color w:val="000000" w:themeColor="text1"/>
                      <w:kern w:val="0"/>
                      <w:szCs w:val="21"/>
                      <w:lang w:val="zh-CN"/>
                      <w14:textFill>
                        <w14:solidFill>
                          <w14:schemeClr w14:val="tx1"/>
                        </w14:solidFill>
                      </w14:textFill>
                    </w:rPr>
                    <w:t>防渗技术要求</w:t>
                  </w:r>
                </w:p>
              </w:tc>
            </w:tr>
            <w:tr w14:paraId="1434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pct"/>
                  <w:vAlign w:val="center"/>
                </w:tcPr>
                <w:p w14:paraId="0C87F558">
                  <w:pPr>
                    <w:kinsoku w:val="0"/>
                    <w:overflowPunct w:val="0"/>
                    <w:autoSpaceDE w:val="0"/>
                    <w:autoSpaceDN w:val="0"/>
                    <w:adjustRightInd w:val="0"/>
                    <w:snapToGrid w:val="0"/>
                    <w:jc w:val="center"/>
                    <w:textAlignment w:val="baseline"/>
                    <w:rPr>
                      <w:rFonts w:hint="default" w:ascii="Times New Roman" w:hAnsi="Times New Roman" w:cs="Times New Roman"/>
                      <w:color w:val="000000" w:themeColor="text1"/>
                      <w:kern w:val="0"/>
                      <w:szCs w:val="21"/>
                      <w:lang w:val="zh-CN"/>
                      <w14:textFill>
                        <w14:solidFill>
                          <w14:schemeClr w14:val="tx1"/>
                        </w14:solidFill>
                      </w14:textFill>
                    </w:rPr>
                  </w:pPr>
                  <w:r>
                    <w:rPr>
                      <w:rFonts w:hint="default" w:ascii="Times New Roman" w:hAnsi="Times New Roman" w:cs="Times New Roman"/>
                      <w:color w:val="000000" w:themeColor="text1"/>
                      <w:kern w:val="0"/>
                      <w:szCs w:val="21"/>
                      <w:lang w:val="zh-CN"/>
                      <w14:textFill>
                        <w14:solidFill>
                          <w14:schemeClr w14:val="tx1"/>
                        </w14:solidFill>
                      </w14:textFill>
                    </w:rPr>
                    <w:t>重点防渗区</w:t>
                  </w:r>
                </w:p>
              </w:tc>
              <w:tc>
                <w:tcPr>
                  <w:tcW w:w="1917" w:type="pct"/>
                  <w:vAlign w:val="center"/>
                </w:tcPr>
                <w:p w14:paraId="0AF6E459">
                  <w:pPr>
                    <w:pStyle w:val="124"/>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b w:val="0"/>
                      <w:bCs w:val="0"/>
                      <w:color w:val="000000" w:themeColor="text1"/>
                      <w:sz w:val="21"/>
                      <w:szCs w:val="21"/>
                      <w:lang w:eastAsia="zh-CN"/>
                      <w14:textFill>
                        <w14:solidFill>
                          <w14:schemeClr w14:val="tx1"/>
                        </w14:solidFill>
                      </w14:textFill>
                    </w:rPr>
                    <w:t>液化气瓶区、</w:t>
                  </w:r>
                  <w:r>
                    <w:rPr>
                      <w:rFonts w:hint="default" w:ascii="Times New Roman" w:hAnsi="Times New Roman" w:eastAsia="宋体" w:cs="Times New Roman"/>
                      <w:b w:val="0"/>
                      <w:bCs w:val="0"/>
                      <w:color w:val="000000" w:themeColor="text1"/>
                      <w:sz w:val="21"/>
                      <w:szCs w:val="21"/>
                      <w14:textFill>
                        <w14:solidFill>
                          <w14:schemeClr w14:val="tx1"/>
                        </w14:solidFill>
                      </w14:textFill>
                    </w:rPr>
                    <w:t>危</w:t>
                  </w:r>
                  <w:r>
                    <w:rPr>
                      <w:rFonts w:hint="default" w:ascii="Times New Roman" w:hAnsi="Times New Roman" w:eastAsia="宋体" w:cs="Times New Roman"/>
                      <w:color w:val="000000" w:themeColor="text1"/>
                      <w:sz w:val="21"/>
                      <w:szCs w:val="21"/>
                      <w14:textFill>
                        <w14:solidFill>
                          <w14:schemeClr w14:val="tx1"/>
                        </w14:solidFill>
                      </w14:textFill>
                    </w:rPr>
                    <w:t>废暂存间</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废气喷淋设施</w:t>
                  </w:r>
                  <w:r>
                    <w:rPr>
                      <w:rFonts w:hint="eastAsia" w:ascii="Times New Roman" w:hAnsi="Times New Roman" w:eastAsia="宋体" w:cs="Times New Roman"/>
                      <w:color w:val="000000" w:themeColor="text1"/>
                      <w:sz w:val="21"/>
                      <w:szCs w:val="21"/>
                      <w:lang w:eastAsia="zh-CN"/>
                      <w14:textFill>
                        <w14:solidFill>
                          <w14:schemeClr w14:val="tx1"/>
                        </w14:solidFill>
                      </w14:textFill>
                    </w:rPr>
                    <w:t>（包含塔体、喷淋系统、循环系统）</w:t>
                  </w:r>
                  <w:r>
                    <w:rPr>
                      <w:rFonts w:hint="default" w:ascii="Times New Roman" w:hAnsi="Times New Roman" w:cs="Times New Roman"/>
                      <w:color w:val="000000" w:themeColor="text1"/>
                      <w:sz w:val="21"/>
                      <w:szCs w:val="21"/>
                      <w:lang w:eastAsia="zh-CN"/>
                      <w14:textFill>
                        <w14:solidFill>
                          <w14:schemeClr w14:val="tx1"/>
                        </w14:solidFill>
                      </w14:textFill>
                    </w:rPr>
                    <w:t>作为</w:t>
                  </w:r>
                  <w:r>
                    <w:rPr>
                      <w:rFonts w:hint="default" w:ascii="Times New Roman" w:hAnsi="Times New Roman" w:eastAsia="宋体" w:cs="Times New Roman"/>
                      <w:color w:val="000000" w:themeColor="text1"/>
                      <w:sz w:val="21"/>
                      <w:szCs w:val="21"/>
                      <w14:textFill>
                        <w14:solidFill>
                          <w14:schemeClr w14:val="tx1"/>
                        </w14:solidFill>
                      </w14:textFill>
                    </w:rPr>
                    <w:t>重点防渗</w:t>
                  </w:r>
                  <w:r>
                    <w:rPr>
                      <w:rFonts w:hint="default" w:ascii="Times New Roman" w:hAnsi="Times New Roman" w:cs="Times New Roman"/>
                      <w:color w:val="000000" w:themeColor="text1"/>
                      <w:sz w:val="21"/>
                      <w:szCs w:val="21"/>
                      <w:lang w:eastAsia="zh-CN"/>
                      <w14:textFill>
                        <w14:solidFill>
                          <w14:schemeClr w14:val="tx1"/>
                        </w14:solidFill>
                      </w14:textFill>
                    </w:rPr>
                    <w:t>区</w:t>
                  </w:r>
                </w:p>
              </w:tc>
              <w:tc>
                <w:tcPr>
                  <w:tcW w:w="2237" w:type="pct"/>
                  <w:vAlign w:val="center"/>
                </w:tcPr>
                <w:p w14:paraId="331A37FB">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液化气瓶区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按照</w:t>
                  </w:r>
                  <w:r>
                    <w:rPr>
                      <w:rFonts w:hint="default" w:ascii="Times New Roman" w:hAnsi="Times New Roman" w:eastAsia="宋体" w:cs="Times New Roman"/>
                      <w:color w:val="000000" w:themeColor="text1"/>
                      <w:sz w:val="21"/>
                      <w:szCs w:val="21"/>
                      <w14:textFill>
                        <w14:solidFill>
                          <w14:schemeClr w14:val="tx1"/>
                        </w14:solidFill>
                      </w14:textFill>
                    </w:rPr>
                    <w:t>《环境影响评价技术导则 地下水环境》（HJ610-2016）中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重点</w:t>
                  </w:r>
                  <w:r>
                    <w:rPr>
                      <w:rFonts w:hint="default" w:ascii="Times New Roman" w:hAnsi="Times New Roman" w:eastAsia="宋体" w:cs="Times New Roman"/>
                      <w:color w:val="000000" w:themeColor="text1"/>
                      <w:sz w:val="21"/>
                      <w:szCs w:val="21"/>
                      <w14:textFill>
                        <w14:solidFill>
                          <w14:schemeClr w14:val="tx1"/>
                        </w14:solidFill>
                      </w14:textFill>
                    </w:rPr>
                    <w:t>防渗区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进行防渗</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等效黏土防渗层 Mb≥6.0m，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color w:val="000000" w:themeColor="text1"/>
                      <w:sz w:val="21"/>
                      <w:szCs w:val="21"/>
                      <w14:textFill>
                        <w14:solidFill>
                          <w14:schemeClr w14:val="tx1"/>
                        </w14:solidFill>
                      </w14:textFill>
                    </w:rPr>
                    <w:t>&lt;1.0×10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cm/s</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或参照 GB 18598 执行。</w:t>
                  </w:r>
                </w:p>
                <w:p w14:paraId="7206656D">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Cs w:val="21"/>
                      <w:lang w:val="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危</w:t>
                  </w:r>
                  <w:r>
                    <w:rPr>
                      <w:rFonts w:hint="default" w:ascii="Times New Roman" w:hAnsi="Times New Roman" w:eastAsia="宋体" w:cs="Times New Roman"/>
                      <w:color w:val="000000" w:themeColor="text1"/>
                      <w:sz w:val="21"/>
                      <w:szCs w:val="21"/>
                      <w14:textFill>
                        <w14:solidFill>
                          <w14:schemeClr w14:val="tx1"/>
                        </w14:solidFill>
                      </w14:textFill>
                    </w:rPr>
                    <w:t>废暂存间、废气喷淋设施</w:t>
                  </w:r>
                  <w:r>
                    <w:rPr>
                      <w:rFonts w:hint="eastAsia" w:cs="Times New Roman"/>
                      <w:color w:val="000000" w:themeColor="text1"/>
                      <w:sz w:val="21"/>
                      <w:szCs w:val="21"/>
                      <w:lang w:eastAsia="zh-CN"/>
                      <w14:textFill>
                        <w14:solidFill>
                          <w14:schemeClr w14:val="tx1"/>
                        </w14:solidFill>
                      </w14:textFill>
                    </w:rPr>
                    <w:t>区域</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参照执行《危险废物贮存污染控制标准》（GB18597-20</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23</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）相关要求，防渗层为至少1 m厚黏土层（渗透系数不大于10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cm/s），或至少2 mm厚高密度聚乙烯膜等人工防渗材料（渗透系数不大于10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cm/s）。</w:t>
                  </w:r>
                </w:p>
              </w:tc>
            </w:tr>
            <w:tr w14:paraId="1A570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844" w:type="pct"/>
                  <w:vAlign w:val="center"/>
                </w:tcPr>
                <w:p w14:paraId="371A6FAA">
                  <w:pPr>
                    <w:kinsoku w:val="0"/>
                    <w:overflowPunct w:val="0"/>
                    <w:autoSpaceDE w:val="0"/>
                    <w:autoSpaceDN w:val="0"/>
                    <w:adjustRightInd w:val="0"/>
                    <w:snapToGrid w:val="0"/>
                    <w:jc w:val="center"/>
                    <w:textAlignment w:val="baseline"/>
                    <w:rPr>
                      <w:rFonts w:hint="default" w:ascii="Times New Roman" w:hAnsi="Times New Roman" w:cs="Times New Roman"/>
                      <w:color w:val="000000" w:themeColor="text1"/>
                      <w:kern w:val="0"/>
                      <w:szCs w:val="21"/>
                      <w:lang w:val="zh-CN"/>
                      <w14:textFill>
                        <w14:solidFill>
                          <w14:schemeClr w14:val="tx1"/>
                        </w14:solidFill>
                      </w14:textFill>
                    </w:rPr>
                  </w:pPr>
                  <w:r>
                    <w:rPr>
                      <w:rFonts w:hint="default" w:ascii="Times New Roman" w:hAnsi="Times New Roman" w:cs="Times New Roman"/>
                      <w:color w:val="000000" w:themeColor="text1"/>
                      <w:kern w:val="0"/>
                      <w:szCs w:val="21"/>
                      <w:lang w:val="zh-CN"/>
                      <w14:textFill>
                        <w14:solidFill>
                          <w14:schemeClr w14:val="tx1"/>
                        </w14:solidFill>
                      </w14:textFill>
                    </w:rPr>
                    <w:t>一般防渗区</w:t>
                  </w:r>
                </w:p>
              </w:tc>
              <w:tc>
                <w:tcPr>
                  <w:tcW w:w="1917" w:type="pct"/>
                  <w:vAlign w:val="center"/>
                </w:tcPr>
                <w:p w14:paraId="7A5897B7">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生产区、待检区、成品区、压扁区、一般固废暂存区、辅料库、化粪池、一体化生活污水处理设施、收集池等区域地面为一般防渗区</w:t>
                  </w:r>
                </w:p>
              </w:tc>
              <w:tc>
                <w:tcPr>
                  <w:tcW w:w="2237" w:type="pct"/>
                  <w:vAlign w:val="center"/>
                </w:tcPr>
                <w:p w14:paraId="20A71819">
                  <w:pPr>
                    <w:kinsoku w:val="0"/>
                    <w:overflowPunct w:val="0"/>
                    <w:autoSpaceDE w:val="0"/>
                    <w:autoSpaceDN w:val="0"/>
                    <w:adjustRightInd w:val="0"/>
                    <w:snapToGrid w:val="0"/>
                    <w:jc w:val="center"/>
                    <w:textAlignment w:val="baseline"/>
                    <w:rPr>
                      <w:rFonts w:hint="default" w:ascii="Times New Roman" w:hAnsi="Times New Roman" w:cs="Times New Roman"/>
                      <w:color w:val="000000" w:themeColor="text1"/>
                      <w:kern w:val="0"/>
                      <w:szCs w:val="21"/>
                      <w:lang w:val="zh-CN"/>
                      <w14:textFill>
                        <w14:solidFill>
                          <w14:schemeClr w14:val="tx1"/>
                        </w14:solidFill>
                      </w14:textFill>
                    </w:rPr>
                  </w:pPr>
                  <w:r>
                    <w:rPr>
                      <w:rFonts w:hint="default" w:ascii="Times New Roman" w:hAnsi="Times New Roman" w:cs="Times New Roman"/>
                      <w:color w:val="000000" w:themeColor="text1"/>
                      <w:sz w:val="21"/>
                      <w:szCs w:val="18"/>
                      <w:highlight w:val="none"/>
                      <w14:textFill>
                        <w14:solidFill>
                          <w14:schemeClr w14:val="tx1"/>
                        </w14:solidFill>
                      </w14:textFill>
                    </w:rPr>
                    <w:t>按照《环境影响评价技术导则 地下水环境》（HJ610-2016）中一般防渗区的防渗要求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进行防渗</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等效黏土防渗层 Mb≥</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color w:val="000000" w:themeColor="text1"/>
                      <w:sz w:val="21"/>
                      <w:szCs w:val="21"/>
                      <w14:textFill>
                        <w14:solidFill>
                          <w14:schemeClr w14:val="tx1"/>
                        </w14:solidFill>
                      </w14:textFill>
                    </w:rPr>
                    <w:t>&lt;1.0×10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cm/s</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 xml:space="preserve">或参照 GB </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16889</w:t>
                  </w:r>
                  <w:r>
                    <w:rPr>
                      <w:rFonts w:hint="default" w:ascii="Times New Roman" w:hAnsi="Times New Roman" w:eastAsia="宋体" w:cs="Times New Roman"/>
                      <w:color w:val="000000" w:themeColor="text1"/>
                      <w:sz w:val="21"/>
                      <w:szCs w:val="21"/>
                      <w14:textFill>
                        <w14:solidFill>
                          <w14:schemeClr w14:val="tx1"/>
                        </w14:solidFill>
                      </w14:textFill>
                    </w:rPr>
                    <w:t>执行</w:t>
                  </w:r>
                  <w:r>
                    <w:rPr>
                      <w:rFonts w:hint="default" w:ascii="Times New Roman" w:hAnsi="Times New Roman" w:cs="Times New Roman"/>
                      <w:color w:val="000000" w:themeColor="text1"/>
                      <w:sz w:val="21"/>
                      <w:szCs w:val="21"/>
                      <w14:textFill>
                        <w14:solidFill>
                          <w14:schemeClr w14:val="tx1"/>
                        </w14:solidFill>
                      </w14:textFill>
                    </w:rPr>
                    <w:t>。</w:t>
                  </w:r>
                </w:p>
              </w:tc>
            </w:tr>
            <w:tr w14:paraId="089D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pct"/>
                  <w:vAlign w:val="center"/>
                </w:tcPr>
                <w:p w14:paraId="54BBCF45">
                  <w:pPr>
                    <w:kinsoku w:val="0"/>
                    <w:overflowPunct w:val="0"/>
                    <w:autoSpaceDE w:val="0"/>
                    <w:autoSpaceDN w:val="0"/>
                    <w:adjustRightInd w:val="0"/>
                    <w:snapToGrid w:val="0"/>
                    <w:jc w:val="center"/>
                    <w:textAlignment w:val="baseline"/>
                    <w:rPr>
                      <w:rFonts w:hint="default" w:ascii="Times New Roman" w:hAnsi="Times New Roman" w:cs="Times New Roman"/>
                      <w:color w:val="000000" w:themeColor="text1"/>
                      <w:kern w:val="0"/>
                      <w:szCs w:val="21"/>
                      <w:lang w:val="zh-CN"/>
                      <w14:textFill>
                        <w14:solidFill>
                          <w14:schemeClr w14:val="tx1"/>
                        </w14:solidFill>
                      </w14:textFill>
                    </w:rPr>
                  </w:pPr>
                  <w:r>
                    <w:rPr>
                      <w:rFonts w:hint="default" w:ascii="Times New Roman" w:hAnsi="Times New Roman" w:cs="Times New Roman"/>
                      <w:color w:val="000000" w:themeColor="text1"/>
                      <w:kern w:val="0"/>
                      <w:szCs w:val="21"/>
                      <w:lang w:val="zh-CN"/>
                      <w14:textFill>
                        <w14:solidFill>
                          <w14:schemeClr w14:val="tx1"/>
                        </w14:solidFill>
                      </w14:textFill>
                    </w:rPr>
                    <w:t>简单防渗区</w:t>
                  </w:r>
                </w:p>
              </w:tc>
              <w:tc>
                <w:tcPr>
                  <w:tcW w:w="1917" w:type="pct"/>
                  <w:vAlign w:val="center"/>
                </w:tcPr>
                <w:p w14:paraId="7C6496B7">
                  <w:pPr>
                    <w:pStyle w:val="124"/>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车间运输通道、办公区等区域地面</w:t>
                  </w:r>
                  <w:r>
                    <w:rPr>
                      <w:rFonts w:hint="default" w:ascii="Times New Roman" w:hAnsi="Times New Roman" w:cs="Times New Roman"/>
                      <w:color w:val="000000" w:themeColor="text1"/>
                      <w:sz w:val="21"/>
                      <w:szCs w:val="21"/>
                      <w14:textFill>
                        <w14:solidFill>
                          <w14:schemeClr w14:val="tx1"/>
                        </w14:solidFill>
                      </w14:textFill>
                    </w:rPr>
                    <w:t>为简单防渗区</w:t>
                  </w:r>
                </w:p>
              </w:tc>
              <w:tc>
                <w:tcPr>
                  <w:tcW w:w="2237" w:type="pct"/>
                  <w:vAlign w:val="center"/>
                </w:tcPr>
                <w:p w14:paraId="3B45658E">
                  <w:pPr>
                    <w:kinsoku w:val="0"/>
                    <w:overflowPunct w:val="0"/>
                    <w:autoSpaceDE w:val="0"/>
                    <w:autoSpaceDN w:val="0"/>
                    <w:adjustRightInd w:val="0"/>
                    <w:snapToGrid w:val="0"/>
                    <w:jc w:val="center"/>
                    <w:textAlignment w:val="baseline"/>
                    <w:rPr>
                      <w:rFonts w:hint="default" w:ascii="Times New Roman" w:hAnsi="Times New Roman" w:cs="Times New Roman"/>
                      <w:color w:val="000000" w:themeColor="text1"/>
                      <w:kern w:val="0"/>
                      <w:szCs w:val="21"/>
                      <w:lang w:val="zh-CN"/>
                      <w14:textFill>
                        <w14:solidFill>
                          <w14:schemeClr w14:val="tx1"/>
                        </w14:solidFill>
                      </w14:textFill>
                    </w:rPr>
                  </w:pPr>
                  <w:r>
                    <w:rPr>
                      <w:rFonts w:hint="default" w:ascii="Times New Roman" w:hAnsi="Times New Roman" w:cs="Times New Roman"/>
                      <w:color w:val="000000" w:themeColor="text1"/>
                      <w:kern w:val="0"/>
                      <w:szCs w:val="21"/>
                      <w:lang w:val="zh-CN"/>
                      <w14:textFill>
                        <w14:solidFill>
                          <w14:schemeClr w14:val="tx1"/>
                        </w14:solidFill>
                      </w14:textFill>
                    </w:rPr>
                    <w:t>一般</w:t>
                  </w:r>
                  <w:r>
                    <w:rPr>
                      <w:rFonts w:hint="default" w:ascii="Times New Roman" w:hAnsi="Times New Roman" w:cs="Times New Roman"/>
                      <w:color w:val="000000" w:themeColor="text1"/>
                      <w:sz w:val="21"/>
                      <w:szCs w:val="21"/>
                      <w14:textFill>
                        <w14:solidFill>
                          <w14:schemeClr w14:val="tx1"/>
                        </w14:solidFill>
                      </w14:textFill>
                    </w:rPr>
                    <w:t>地面硬化</w:t>
                  </w:r>
                  <w:r>
                    <w:rPr>
                      <w:rFonts w:hint="default" w:ascii="Times New Roman" w:hAnsi="Times New Roman" w:cs="Times New Roman"/>
                      <w:color w:val="000000" w:themeColor="text1"/>
                      <w:sz w:val="21"/>
                      <w:szCs w:val="21"/>
                      <w:lang w:eastAsia="zh-CN"/>
                      <w14:textFill>
                        <w14:solidFill>
                          <w14:schemeClr w14:val="tx1"/>
                        </w14:solidFill>
                      </w14:textFill>
                    </w:rPr>
                    <w:t>处理</w:t>
                  </w:r>
                </w:p>
              </w:tc>
            </w:tr>
          </w:tbl>
          <w:p w14:paraId="5F1E4218">
            <w:pPr>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项目建设过程中采取防渗措施可有效防止风险物质下渗进入地下水，通过加强定期检查消除污染隐患；发现有污染物泄漏或渗漏，及时修补。</w:t>
            </w:r>
          </w:p>
          <w:p w14:paraId="2B863F69">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产生的危险废物经收集后暂存于危废暂存间，危废暂存间地面防渗，设置围堰并铺设防水漆；本项目危险废物分类分区收集于收集桶中，且产生量不大，若发生泄漏事故，经危废暂存间围堰收集后，可将风险控制在危废暂存间内，对周边环境影响较小。</w:t>
            </w:r>
          </w:p>
          <w:p w14:paraId="01225266">
            <w:pPr>
              <w:pStyle w:val="152"/>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项目建设过程中采取了防渗措施，可有效防止风险物质下渗进入地下水，通过加强定期检查消除污染隐患；发现有污染物泄漏或渗漏，及时修补，可将风险控制在</w:t>
            </w:r>
            <w:r>
              <w:rPr>
                <w:rFonts w:hint="default" w:ascii="Times New Roman" w:hAnsi="Times New Roman" w:cs="Times New Roman"/>
                <w:color w:val="000000" w:themeColor="text1"/>
                <w:lang w:eastAsia="zh-CN"/>
                <w14:textFill>
                  <w14:solidFill>
                    <w14:schemeClr w14:val="tx1"/>
                  </w14:solidFill>
                </w14:textFill>
              </w:rPr>
              <w:t>厂区范围</w:t>
            </w:r>
            <w:r>
              <w:rPr>
                <w:rFonts w:hint="default" w:ascii="Times New Roman" w:hAnsi="Times New Roman" w:cs="Times New Roman"/>
                <w:color w:val="000000" w:themeColor="text1"/>
                <w14:textFill>
                  <w14:solidFill>
                    <w14:schemeClr w14:val="tx1"/>
                  </w14:solidFill>
                </w14:textFill>
              </w:rPr>
              <w:t>内，对周边土壤、地下水环境影响较小。</w:t>
            </w:r>
            <w:r>
              <w:rPr>
                <w:rFonts w:hint="default" w:ascii="Times New Roman" w:hAnsi="Times New Roman" w:eastAsia="宋体" w:cs="Times New Roman"/>
                <w:color w:val="000000" w:themeColor="text1"/>
                <w:sz w:val="24"/>
                <w:lang w:val="en-US" w:eastAsia="zh-CN"/>
                <w14:textFill>
                  <w14:solidFill>
                    <w14:schemeClr w14:val="tx1"/>
                  </w14:solidFill>
                </w14:textFill>
              </w:rPr>
              <w:t>因此本项目的建设运行对土壤、地下水影响可控的。</w:t>
            </w:r>
          </w:p>
          <w:p w14:paraId="18D87B23">
            <w:pPr>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6</w:t>
            </w:r>
            <w:r>
              <w:rPr>
                <w:rFonts w:hint="default" w:ascii="Times New Roman" w:hAnsi="Times New Roman" w:cs="Times New Roman"/>
                <w:b/>
                <w:bCs/>
                <w:color w:val="000000" w:themeColor="text1"/>
                <w:sz w:val="24"/>
                <w14:textFill>
                  <w14:solidFill>
                    <w14:schemeClr w14:val="tx1"/>
                  </w14:solidFill>
                </w14:textFill>
              </w:rPr>
              <w:t>、环境风险分析</w:t>
            </w:r>
          </w:p>
          <w:p w14:paraId="2F98352B">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按照《建设项目环境风险评价技术导则》（HJ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14:paraId="513D4651">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物质环境急性损害防控为目标，对建设项目的环境风险进行分析、预测和评估，提出环境风险预防、控制、减缓措施，明确环境风险监控及应急要求，为建设项目环境风险防控提供科学依据。</w:t>
            </w:r>
          </w:p>
          <w:p w14:paraId="691FD543">
            <w:pPr>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（1）环境风险识别</w:t>
            </w:r>
          </w:p>
          <w:p w14:paraId="43C1B2EE">
            <w:pPr>
              <w:spacing w:line="360" w:lineRule="auto"/>
              <w:ind w:firstLine="480" w:firstLineChars="200"/>
              <w:rPr>
                <w:rFonts w:hint="default" w:ascii="Times New Roman" w:hAnsi="Times New Roman" w:cs="Times New Roman"/>
                <w:color w:val="000000" w:themeColor="text1"/>
                <w:kern w:val="24"/>
                <w:sz w:val="24"/>
                <w14:textFill>
                  <w14:solidFill>
                    <w14:schemeClr w14:val="tx1"/>
                  </w14:solidFill>
                </w14:textFill>
              </w:rPr>
            </w:pPr>
            <w:r>
              <w:rPr>
                <w:rFonts w:hint="default" w:ascii="Times New Roman" w:hAnsi="Times New Roman" w:cs="Times New Roman"/>
                <w:color w:val="000000" w:themeColor="text1"/>
                <w:kern w:val="24"/>
                <w:sz w:val="24"/>
                <w14:textFill>
                  <w14:solidFill>
                    <w14:schemeClr w14:val="tx1"/>
                  </w14:solidFill>
                </w14:textFill>
              </w:rPr>
              <w:t>项目生产中使用的原辅料、生产中产污及产品对照《建设项目环境风险评价技术导则》（HJ169-2018）附录B核查。</w:t>
            </w:r>
          </w:p>
          <w:p w14:paraId="115ECC30">
            <w:pPr>
              <w:spacing w:line="360" w:lineRule="auto"/>
              <w:ind w:firstLine="480" w:firstLineChars="200"/>
              <w:rPr>
                <w:rFonts w:hint="default" w:ascii="Times New Roman" w:hAnsi="Times New Roman" w:eastAsia="宋体" w:cs="Times New Roman"/>
                <w:color w:val="000000" w:themeColor="text1"/>
                <w:kern w:val="24"/>
                <w:sz w:val="24"/>
                <w:lang w:eastAsia="zh-CN"/>
                <w14:textFill>
                  <w14:solidFill>
                    <w14:schemeClr w14:val="tx1"/>
                  </w14:solidFill>
                </w14:textFill>
              </w:rPr>
            </w:pPr>
            <w:r>
              <w:rPr>
                <w:rFonts w:hint="default" w:ascii="Times New Roman" w:hAnsi="Times New Roman" w:cs="Times New Roman"/>
                <w:color w:val="000000" w:themeColor="text1"/>
                <w:kern w:val="24"/>
                <w:sz w:val="24"/>
                <w14:textFill>
                  <w14:solidFill>
                    <w14:schemeClr w14:val="tx1"/>
                  </w14:solidFill>
                </w14:textFill>
              </w:rPr>
              <w:t>项目涉及风险物质为</w:t>
            </w:r>
            <w:r>
              <w:rPr>
                <w:rFonts w:hint="default" w:ascii="Times New Roman" w:hAnsi="Times New Roman" w:cs="Times New Roman"/>
                <w:color w:val="000000" w:themeColor="text1"/>
                <w:kern w:val="24"/>
                <w:sz w:val="24"/>
                <w:lang w:eastAsia="zh-CN"/>
                <w14:textFill>
                  <w14:solidFill>
                    <w14:schemeClr w14:val="tx1"/>
                  </w14:solidFill>
                </w14:textFill>
              </w:rPr>
              <w:t>液化石油气、废机油、油墨</w:t>
            </w:r>
            <w:r>
              <w:rPr>
                <w:rFonts w:hint="eastAsia" w:cs="Times New Roman"/>
                <w:color w:val="000000" w:themeColor="text1"/>
                <w:kern w:val="24"/>
                <w:sz w:val="24"/>
                <w:lang w:eastAsia="zh-CN"/>
                <w14:textFill>
                  <w14:solidFill>
                    <w14:schemeClr w14:val="tx1"/>
                  </w14:solidFill>
                </w14:textFill>
              </w:rPr>
              <w:t>。</w:t>
            </w:r>
          </w:p>
          <w:p w14:paraId="20374FF4">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机油，外购桶装机油，每桶约</w:t>
            </w:r>
            <w:r>
              <w:rPr>
                <w:rFonts w:hint="default" w:ascii="Times New Roman" w:hAnsi="Times New Roman" w:cs="Times New Roman"/>
                <w:color w:val="000000" w:themeColor="text1"/>
                <w:sz w:val="24"/>
                <w:lang w:val="en-US" w:eastAsia="zh-CN"/>
                <w14:textFill>
                  <w14:solidFill>
                    <w14:schemeClr w14:val="tx1"/>
                  </w14:solidFill>
                </w14:textFill>
              </w:rPr>
              <w:t>25kg，</w:t>
            </w:r>
            <w:r>
              <w:rPr>
                <w:rFonts w:hint="default" w:ascii="Times New Roman" w:hAnsi="Times New Roman" w:eastAsia="宋体" w:cs="Times New Roman"/>
                <w:color w:val="000000" w:themeColor="text1"/>
                <w:sz w:val="24"/>
                <w:lang w:val="en-US" w:eastAsia="zh-CN"/>
                <w14:textFill>
                  <w14:solidFill>
                    <w14:schemeClr w14:val="tx1"/>
                  </w14:solidFill>
                </w14:textFill>
              </w:rPr>
              <w:t>单次购买量为4桶，即最大存储量为0.</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t。</w:t>
            </w:r>
          </w:p>
          <w:p w14:paraId="71EA8286">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废机油</w:t>
            </w:r>
            <w:r>
              <w:rPr>
                <w:rFonts w:hint="default" w:ascii="Times New Roman" w:hAnsi="Times New Roman" w:cs="Times New Roman"/>
                <w:color w:val="000000" w:themeColor="text1"/>
                <w:sz w:val="24"/>
                <w14:textFill>
                  <w14:solidFill>
                    <w14:schemeClr w14:val="tx1"/>
                  </w14:solidFill>
                </w14:textFill>
              </w:rPr>
              <w:t>（密度0.8</w:t>
            </w:r>
            <w:r>
              <w:rPr>
                <w:rFonts w:hint="default" w:ascii="Times New Roman" w:hAnsi="Times New Roman" w:cs="Times New Roman"/>
                <w:color w:val="000000" w:themeColor="text1"/>
                <w:sz w:val="24"/>
                <w:shd w:val="clear" w:color="auto" w:fill="FFFFFF"/>
                <w14:textFill>
                  <w14:solidFill>
                    <w14:schemeClr w14:val="tx1"/>
                  </w14:solidFill>
                </w14:textFill>
              </w:rPr>
              <w:t>g/ml</w:t>
            </w:r>
            <w:r>
              <w:rPr>
                <w:rFonts w:hint="default" w:ascii="Times New Roman" w:hAnsi="Times New Roman" w:cs="Times New Roman"/>
                <w:color w:val="000000" w:themeColor="text1"/>
                <w:sz w:val="24"/>
                <w14:textFill>
                  <w14:solidFill>
                    <w14:schemeClr w14:val="tx1"/>
                  </w14:solidFill>
                </w14:textFill>
              </w:rPr>
              <w:t>）产生量为0.</w:t>
            </w:r>
            <w:r>
              <w:rPr>
                <w:rFonts w:hint="default" w:ascii="Times New Roman" w:hAnsi="Times New Roman" w:cs="Times New Roman"/>
                <w:color w:val="000000" w:themeColor="text1"/>
                <w:sz w:val="24"/>
                <w:lang w:val="en-US" w:eastAsia="zh-CN"/>
                <w14:textFill>
                  <w14:solidFill>
                    <w14:schemeClr w14:val="tx1"/>
                  </w14:solidFill>
                </w14:textFill>
              </w:rPr>
              <w:t>05</w:t>
            </w:r>
            <w:r>
              <w:rPr>
                <w:rFonts w:hint="default" w:ascii="Times New Roman" w:hAnsi="Times New Roman" w:cs="Times New Roman"/>
                <w:color w:val="000000" w:themeColor="text1"/>
                <w:sz w:val="24"/>
                <w14:textFill>
                  <w14:solidFill>
                    <w14:schemeClr w14:val="tx1"/>
                  </w14:solidFill>
                </w14:textFill>
              </w:rPr>
              <w:t>t/a。本项目设置5m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危废暂存间，危废暂存间内设1个</w:t>
            </w:r>
            <w:r>
              <w:rPr>
                <w:rFonts w:hint="default" w:ascii="Times New Roman" w:hAnsi="Times New Roman" w:cs="Times New Roman"/>
                <w:color w:val="000000" w:themeColor="text1"/>
                <w:sz w:val="24"/>
                <w:lang w:eastAsia="zh-CN"/>
                <w14:textFill>
                  <w14:solidFill>
                    <w14:schemeClr w14:val="tx1"/>
                  </w14:solidFill>
                </w14:textFill>
              </w:rPr>
              <w:t>废机油</w:t>
            </w:r>
            <w:r>
              <w:rPr>
                <w:rFonts w:hint="default" w:ascii="Times New Roman" w:hAnsi="Times New Roman" w:cs="Times New Roman"/>
                <w:color w:val="000000" w:themeColor="text1"/>
                <w:sz w:val="24"/>
                <w14:textFill>
                  <w14:solidFill>
                    <w14:schemeClr w14:val="tx1"/>
                  </w14:solidFill>
                </w14:textFill>
              </w:rPr>
              <w:t>收集桶，收集桶容积为200L，</w:t>
            </w:r>
            <w:r>
              <w:rPr>
                <w:rFonts w:hint="default" w:ascii="Times New Roman" w:hAnsi="Times New Roman" w:cs="Times New Roman"/>
                <w:color w:val="000000" w:themeColor="text1"/>
                <w:sz w:val="24"/>
                <w:lang w:eastAsia="zh-CN"/>
                <w14:textFill>
                  <w14:solidFill>
                    <w14:schemeClr w14:val="tx1"/>
                  </w14:solidFill>
                </w14:textFill>
              </w:rPr>
              <w:t>废机油</w:t>
            </w:r>
            <w:r>
              <w:rPr>
                <w:rFonts w:hint="default" w:ascii="Times New Roman" w:hAnsi="Times New Roman" w:cs="Times New Roman"/>
                <w:color w:val="000000" w:themeColor="text1"/>
                <w:sz w:val="24"/>
                <w14:textFill>
                  <w14:solidFill>
                    <w14:schemeClr w14:val="tx1"/>
                  </w14:solidFill>
                </w14:textFill>
              </w:rPr>
              <w:t>密度约0.9g/ml，即收集桶能够收集约0.18t废油</w:t>
            </w:r>
            <w:r>
              <w:rPr>
                <w:rFonts w:hint="default" w:ascii="Times New Roman" w:hAnsi="Times New Roman" w:cs="Times New Roman"/>
                <w:color w:val="000000" w:themeColor="text1"/>
                <w:sz w:val="24"/>
                <w:lang w:eastAsia="zh-CN"/>
                <w14:textFill>
                  <w14:solidFill>
                    <w14:schemeClr w14:val="tx1"/>
                  </w14:solidFill>
                </w14:textFill>
              </w:rPr>
              <w:t>，收集桶能够收集废机油，最大存储量为</w:t>
            </w:r>
            <w:r>
              <w:rPr>
                <w:rFonts w:hint="default" w:ascii="Times New Roman" w:hAnsi="Times New Roman" w:cs="Times New Roman"/>
                <w:color w:val="000000" w:themeColor="text1"/>
                <w:sz w:val="24"/>
                <w:lang w:val="en-US" w:eastAsia="zh-CN"/>
                <w14:textFill>
                  <w14:solidFill>
                    <w14:schemeClr w14:val="tx1"/>
                  </w14:solidFill>
                </w14:textFill>
              </w:rPr>
              <w:t>0.05t</w:t>
            </w:r>
            <w:r>
              <w:rPr>
                <w:rFonts w:hint="default" w:ascii="Times New Roman" w:hAnsi="Times New Roman" w:cs="Times New Roman"/>
                <w:color w:val="000000" w:themeColor="text1"/>
                <w:sz w:val="24"/>
                <w14:textFill>
                  <w14:solidFill>
                    <w14:schemeClr w14:val="tx1"/>
                  </w14:solidFill>
                </w14:textFill>
              </w:rPr>
              <w:t>。</w:t>
            </w:r>
          </w:p>
          <w:p w14:paraId="64F80416">
            <w:pPr>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根据工程分析，</w:t>
            </w:r>
            <w:r>
              <w:rPr>
                <w:rFonts w:hint="default" w:ascii="Times New Roman" w:hAnsi="Times New Roman" w:eastAsia="宋体" w:cs="Times New Roman"/>
                <w:color w:val="000000" w:themeColor="text1"/>
                <w:kern w:val="24"/>
                <w:sz w:val="24"/>
                <w:lang w:eastAsia="zh-CN"/>
                <w14:textFill>
                  <w14:solidFill>
                    <w14:schemeClr w14:val="tx1"/>
                  </w14:solidFill>
                </w14:textFill>
              </w:rPr>
              <w:t>本项目液化气残液收集罐为</w:t>
            </w:r>
            <w:r>
              <w:rPr>
                <w:rFonts w:hint="default" w:ascii="Times New Roman" w:hAnsi="Times New Roman" w:eastAsia="宋体" w:cs="Times New Roman"/>
                <w:color w:val="000000" w:themeColor="text1"/>
                <w:kern w:val="24"/>
                <w:sz w:val="24"/>
                <w:lang w:val="en-US" w:eastAsia="zh-CN"/>
                <w14:textFill>
                  <w14:solidFill>
                    <w14:schemeClr w14:val="tx1"/>
                  </w14:solidFill>
                </w14:textFill>
              </w:rPr>
              <w:t>0.47m</w:t>
            </w:r>
            <w:r>
              <w:rPr>
                <w:rFonts w:hint="default" w:ascii="Times New Roman" w:hAnsi="Times New Roman" w:eastAsia="宋体" w:cs="Times New Roman"/>
                <w:color w:val="000000" w:themeColor="text1"/>
                <w:kern w:val="24"/>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液化石油气密度为</w:t>
            </w:r>
            <w:r>
              <w:rPr>
                <w:rFonts w:hint="default" w:ascii="Times New Roman" w:hAnsi="Times New Roman" w:cs="Times New Roman"/>
                <w:color w:val="000000" w:themeColor="text1"/>
                <w:sz w:val="24"/>
                <w:lang w:val="en-US" w:eastAsia="zh-CN"/>
                <w14:textFill>
                  <w14:solidFill>
                    <w14:schemeClr w14:val="tx1"/>
                  </w14:solidFill>
                </w14:textFill>
              </w:rPr>
              <w:t>580kg/m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lang w:eastAsia="zh-CN"/>
                <w14:textFill>
                  <w14:solidFill>
                    <w14:schemeClr w14:val="tx1"/>
                  </w14:solidFill>
                </w14:textFill>
              </w:rPr>
              <w:t>，即最大收集量为</w:t>
            </w:r>
            <w:r>
              <w:rPr>
                <w:rFonts w:hint="default" w:ascii="Times New Roman" w:hAnsi="Times New Roman" w:cs="Times New Roman"/>
                <w:color w:val="000000" w:themeColor="text1"/>
                <w:sz w:val="24"/>
                <w:lang w:val="en-US" w:eastAsia="zh-CN"/>
                <w14:textFill>
                  <w14:solidFill>
                    <w14:schemeClr w14:val="tx1"/>
                  </w14:solidFill>
                </w14:textFill>
              </w:rPr>
              <w:t>0.2726t；</w:t>
            </w:r>
            <w:r>
              <w:rPr>
                <w:rFonts w:hint="default" w:ascii="Times New Roman" w:hAnsi="Times New Roman" w:eastAsia="宋体" w:cs="Times New Roman"/>
                <w:color w:val="000000" w:themeColor="text1"/>
                <w:kern w:val="24"/>
                <w:sz w:val="24"/>
                <w:lang w:val="en-US" w:eastAsia="zh-CN"/>
                <w14:textFill>
                  <w14:solidFill>
                    <w14:schemeClr w14:val="tx1"/>
                  </w14:solidFill>
                </w14:textFill>
              </w:rPr>
              <w:t>本项目外购50kg（118L）液化石油气瓶使用，单次外购最大量为5瓶，即最大收集量为0.59m</w:t>
            </w:r>
            <w:r>
              <w:rPr>
                <w:rFonts w:hint="default" w:ascii="Times New Roman" w:hAnsi="Times New Roman" w:eastAsia="宋体" w:cs="Times New Roman"/>
                <w:color w:val="000000" w:themeColor="text1"/>
                <w:kern w:val="24"/>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液化石油气密度为</w:t>
            </w:r>
            <w:r>
              <w:rPr>
                <w:rFonts w:hint="default" w:ascii="Times New Roman" w:hAnsi="Times New Roman" w:cs="Times New Roman"/>
                <w:color w:val="000000" w:themeColor="text1"/>
                <w:sz w:val="24"/>
                <w:lang w:val="en-US" w:eastAsia="zh-CN"/>
                <w14:textFill>
                  <w14:solidFill>
                    <w14:schemeClr w14:val="tx1"/>
                  </w14:solidFill>
                </w14:textFill>
              </w:rPr>
              <w:t>580kg/m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lang w:eastAsia="zh-CN"/>
                <w14:textFill>
                  <w14:solidFill>
                    <w14:schemeClr w14:val="tx1"/>
                  </w14:solidFill>
                </w14:textFill>
              </w:rPr>
              <w:t>，即最大外购量为</w:t>
            </w:r>
            <w:r>
              <w:rPr>
                <w:rFonts w:hint="default" w:ascii="Times New Roman" w:hAnsi="Times New Roman" w:cs="Times New Roman"/>
                <w:color w:val="000000" w:themeColor="text1"/>
                <w:sz w:val="24"/>
                <w:lang w:val="en-US" w:eastAsia="zh-CN"/>
                <w14:textFill>
                  <w14:solidFill>
                    <w14:schemeClr w14:val="tx1"/>
                  </w14:solidFill>
                </w14:textFill>
              </w:rPr>
              <w:t>0.3422t。厂区液化石油气最大储量为0.6148t/a。</w:t>
            </w:r>
          </w:p>
          <w:p w14:paraId="5964AB1C">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油墨为外购桶装油墨，每桶约2</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lang w:val="en-US" w:eastAsia="zh-CN"/>
                <w14:textFill>
                  <w14:solidFill>
                    <w14:schemeClr w14:val="tx1"/>
                  </w14:solidFill>
                </w14:textFill>
              </w:rPr>
              <w:t>kg，单次购买量为5桶，即最大存储量为0.</w:t>
            </w:r>
            <w:r>
              <w:rPr>
                <w:rFonts w:hint="default" w:ascii="Times New Roman" w:hAnsi="Times New Roman" w:cs="Times New Roman"/>
                <w:color w:val="000000" w:themeColor="text1"/>
                <w:sz w:val="24"/>
                <w:lang w:val="en-US" w:eastAsia="zh-CN"/>
                <w14:textFill>
                  <w14:solidFill>
                    <w14:schemeClr w14:val="tx1"/>
                  </w14:solidFill>
                </w14:textFill>
              </w:rPr>
              <w:t>125</w:t>
            </w:r>
            <w:r>
              <w:rPr>
                <w:rFonts w:hint="default" w:ascii="Times New Roman" w:hAnsi="Times New Roman" w:eastAsia="宋体" w:cs="Times New Roman"/>
                <w:color w:val="000000" w:themeColor="text1"/>
                <w:sz w:val="24"/>
                <w:lang w:val="en-US" w:eastAsia="zh-CN"/>
                <w14:textFill>
                  <w14:solidFill>
                    <w14:schemeClr w14:val="tx1"/>
                  </w14:solidFill>
                </w14:textFill>
              </w:rPr>
              <w:t>t。</w:t>
            </w:r>
          </w:p>
          <w:p w14:paraId="14477013">
            <w:pPr>
              <w:spacing w:line="360" w:lineRule="auto"/>
              <w:ind w:firstLine="480" w:firstLineChars="200"/>
              <w:rPr>
                <w:rFonts w:hint="default" w:ascii="Times New Roman" w:hAnsi="Times New Roman" w:cs="Times New Roman"/>
                <w:color w:val="000000" w:themeColor="text1"/>
                <w:kern w:val="24"/>
                <w:sz w:val="24"/>
                <w14:textFill>
                  <w14:solidFill>
                    <w14:schemeClr w14:val="tx1"/>
                  </w14:solidFill>
                </w14:textFill>
              </w:rPr>
            </w:pPr>
            <w:r>
              <w:rPr>
                <w:rFonts w:hint="default" w:ascii="Times New Roman" w:hAnsi="Times New Roman" w:cs="Times New Roman"/>
                <w:color w:val="000000" w:themeColor="text1"/>
                <w:kern w:val="24"/>
                <w:sz w:val="24"/>
                <w14:textFill>
                  <w14:solidFill>
                    <w14:schemeClr w14:val="tx1"/>
                  </w14:solidFill>
                </w14:textFill>
              </w:rPr>
              <w:t>根据此原则，对项目区内各环节涉及的主要物质进行识别，识别过程及结果见下表。</w:t>
            </w:r>
          </w:p>
          <w:p w14:paraId="340AC325">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w:t>
            </w:r>
            <w:r>
              <w:rPr>
                <w:rFonts w:hint="default" w:ascii="Times New Roman" w:hAnsi="Times New Roman" w:cs="Times New Roman"/>
                <w:b/>
                <w:bCs/>
                <w:color w:val="000000" w:themeColor="text1"/>
                <w:sz w:val="21"/>
                <w:szCs w:val="21"/>
                <w:lang w:val="en-US" w:eastAsia="zh-CN"/>
                <w14:textFill>
                  <w14:solidFill>
                    <w14:schemeClr w14:val="tx1"/>
                  </w14:solidFill>
                </w14:textFill>
              </w:rPr>
              <w:t>19</w:t>
            </w:r>
            <w:r>
              <w:rPr>
                <w:rFonts w:hint="default" w:ascii="Times New Roman" w:hAnsi="Times New Roman" w:eastAsia="宋体" w:cs="Times New Roman"/>
                <w:b/>
                <w:bCs/>
                <w:color w:val="000000" w:themeColor="text1"/>
                <w:sz w:val="21"/>
                <w:szCs w:val="21"/>
                <w14:textFill>
                  <w14:solidFill>
                    <w14:schemeClr w14:val="tx1"/>
                  </w14:solidFill>
                </w14:textFill>
              </w:rPr>
              <w:t xml:space="preserve"> 环境风险物质识别表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8"/>
              <w:gridCol w:w="2712"/>
              <w:gridCol w:w="1483"/>
              <w:gridCol w:w="1424"/>
            </w:tblGrid>
            <w:tr w14:paraId="11F6C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7" w:type="pct"/>
                  <w:tcBorders>
                    <w:top w:val="single" w:color="auto" w:sz="4" w:space="0"/>
                    <w:left w:val="single" w:color="auto" w:sz="4" w:space="0"/>
                    <w:bottom w:val="single" w:color="auto" w:sz="4" w:space="0"/>
                    <w:right w:val="single" w:color="auto" w:sz="4" w:space="0"/>
                  </w:tcBorders>
                  <w:vAlign w:val="center"/>
                </w:tcPr>
                <w:p w14:paraId="4E19DDE6">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物质名称</w:t>
                  </w:r>
                </w:p>
              </w:tc>
              <w:tc>
                <w:tcPr>
                  <w:tcW w:w="1680" w:type="pct"/>
                  <w:tcBorders>
                    <w:top w:val="single" w:color="auto" w:sz="4" w:space="0"/>
                    <w:left w:val="single" w:color="auto" w:sz="4" w:space="0"/>
                    <w:bottom w:val="single" w:color="auto" w:sz="4" w:space="0"/>
                    <w:right w:val="single" w:color="auto" w:sz="4" w:space="0"/>
                  </w:tcBorders>
                  <w:vAlign w:val="center"/>
                </w:tcPr>
                <w:p w14:paraId="02E75045">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是否为（HJ169-2018）附录B中风险物质</w:t>
                  </w:r>
                </w:p>
              </w:tc>
              <w:tc>
                <w:tcPr>
                  <w:tcW w:w="919" w:type="pct"/>
                  <w:tcBorders>
                    <w:top w:val="single" w:color="auto" w:sz="4" w:space="0"/>
                    <w:left w:val="single" w:color="auto" w:sz="4" w:space="0"/>
                    <w:bottom w:val="single" w:color="auto" w:sz="4" w:space="0"/>
                    <w:right w:val="single" w:color="auto" w:sz="4" w:space="0"/>
                  </w:tcBorders>
                  <w:vAlign w:val="center"/>
                </w:tcPr>
                <w:p w14:paraId="5073E593">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存放位置</w:t>
                  </w:r>
                </w:p>
              </w:tc>
              <w:tc>
                <w:tcPr>
                  <w:tcW w:w="882" w:type="pct"/>
                  <w:tcBorders>
                    <w:top w:val="single" w:color="auto" w:sz="4" w:space="0"/>
                    <w:left w:val="single" w:color="auto" w:sz="4" w:space="0"/>
                    <w:bottom w:val="single" w:color="auto" w:sz="4" w:space="0"/>
                    <w:right w:val="single" w:color="auto" w:sz="4" w:space="0"/>
                  </w:tcBorders>
                  <w:vAlign w:val="center"/>
                </w:tcPr>
                <w:p w14:paraId="5AF0BE43">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CAS号</w:t>
                  </w:r>
                </w:p>
              </w:tc>
            </w:tr>
            <w:tr w14:paraId="33673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7" w:type="pct"/>
                  <w:tcBorders>
                    <w:top w:val="single" w:color="auto" w:sz="4" w:space="0"/>
                    <w:left w:val="single" w:color="auto" w:sz="4" w:space="0"/>
                    <w:bottom w:val="single" w:color="auto" w:sz="4" w:space="0"/>
                    <w:right w:val="single" w:color="auto" w:sz="4" w:space="0"/>
                  </w:tcBorders>
                  <w:vAlign w:val="center"/>
                </w:tcPr>
                <w:p w14:paraId="1A5087C7">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cs="Times New Roman"/>
                      <w:b w:val="0"/>
                      <w:bCs w:val="0"/>
                      <w:color w:val="000000" w:themeColor="text1"/>
                      <w:sz w:val="21"/>
                      <w:szCs w:val="21"/>
                      <w:lang w:eastAsia="zh-CN"/>
                      <w14:textFill>
                        <w14:solidFill>
                          <w14:schemeClr w14:val="tx1"/>
                        </w14:solidFill>
                      </w14:textFill>
                    </w:rPr>
                    <w:t>机油</w:t>
                  </w:r>
                </w:p>
              </w:tc>
              <w:tc>
                <w:tcPr>
                  <w:tcW w:w="1680" w:type="pct"/>
                  <w:tcBorders>
                    <w:top w:val="single" w:color="auto" w:sz="4" w:space="0"/>
                    <w:left w:val="single" w:color="auto" w:sz="4" w:space="0"/>
                    <w:bottom w:val="single" w:color="auto" w:sz="4" w:space="0"/>
                    <w:right w:val="single" w:color="auto" w:sz="4" w:space="0"/>
                  </w:tcBorders>
                  <w:vAlign w:val="center"/>
                </w:tcPr>
                <w:p w14:paraId="66D8411E">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是</w:t>
                  </w:r>
                </w:p>
              </w:tc>
              <w:tc>
                <w:tcPr>
                  <w:tcW w:w="919" w:type="pct"/>
                  <w:tcBorders>
                    <w:top w:val="single" w:color="auto" w:sz="4" w:space="0"/>
                    <w:left w:val="single" w:color="auto" w:sz="4" w:space="0"/>
                    <w:bottom w:val="single" w:color="auto" w:sz="4" w:space="0"/>
                    <w:right w:val="single" w:color="auto" w:sz="4" w:space="0"/>
                  </w:tcBorders>
                  <w:vAlign w:val="center"/>
                </w:tcPr>
                <w:p w14:paraId="248E710B">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cs="Times New Roman"/>
                      <w:b w:val="0"/>
                      <w:bCs w:val="0"/>
                      <w:color w:val="000000" w:themeColor="text1"/>
                      <w:sz w:val="21"/>
                      <w:szCs w:val="21"/>
                      <w:lang w:eastAsia="zh-CN"/>
                      <w14:textFill>
                        <w14:solidFill>
                          <w14:schemeClr w14:val="tx1"/>
                        </w14:solidFill>
                      </w14:textFill>
                    </w:rPr>
                    <w:t>辅料库</w:t>
                  </w:r>
                </w:p>
              </w:tc>
              <w:tc>
                <w:tcPr>
                  <w:tcW w:w="882" w:type="pct"/>
                  <w:tcBorders>
                    <w:top w:val="single" w:color="auto" w:sz="4" w:space="0"/>
                    <w:left w:val="single" w:color="auto" w:sz="4" w:space="0"/>
                    <w:bottom w:val="single" w:color="auto" w:sz="4" w:space="0"/>
                    <w:right w:val="single" w:color="auto" w:sz="4" w:space="0"/>
                  </w:tcBorders>
                  <w:vAlign w:val="center"/>
                </w:tcPr>
                <w:p w14:paraId="7F58D7E1">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r>
            <w:tr w14:paraId="3E362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517" w:type="pct"/>
                  <w:tcBorders>
                    <w:top w:val="single" w:color="auto" w:sz="4" w:space="0"/>
                    <w:left w:val="single" w:color="auto" w:sz="4" w:space="0"/>
                    <w:bottom w:val="single" w:color="auto" w:sz="4" w:space="0"/>
                    <w:right w:val="single" w:color="auto" w:sz="4" w:space="0"/>
                  </w:tcBorders>
                  <w:vAlign w:val="center"/>
                </w:tcPr>
                <w:p w14:paraId="5C75C534">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cs="Times New Roman"/>
                      <w:b w:val="0"/>
                      <w:bCs w:val="0"/>
                      <w:color w:val="000000" w:themeColor="text1"/>
                      <w:sz w:val="21"/>
                      <w:szCs w:val="21"/>
                      <w:lang w:eastAsia="zh-CN"/>
                      <w14:textFill>
                        <w14:solidFill>
                          <w14:schemeClr w14:val="tx1"/>
                        </w14:solidFill>
                      </w14:textFill>
                    </w:rPr>
                    <w:t>废机油</w:t>
                  </w:r>
                </w:p>
              </w:tc>
              <w:tc>
                <w:tcPr>
                  <w:tcW w:w="1680" w:type="pct"/>
                  <w:tcBorders>
                    <w:top w:val="single" w:color="auto" w:sz="4" w:space="0"/>
                    <w:left w:val="single" w:color="auto" w:sz="4" w:space="0"/>
                    <w:bottom w:val="single" w:color="auto" w:sz="4" w:space="0"/>
                    <w:right w:val="single" w:color="auto" w:sz="4" w:space="0"/>
                  </w:tcBorders>
                  <w:vAlign w:val="center"/>
                </w:tcPr>
                <w:p w14:paraId="439FCFF0">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是</w:t>
                  </w:r>
                </w:p>
              </w:tc>
              <w:tc>
                <w:tcPr>
                  <w:tcW w:w="919" w:type="pct"/>
                  <w:tcBorders>
                    <w:top w:val="single" w:color="auto" w:sz="4" w:space="0"/>
                    <w:left w:val="single" w:color="auto" w:sz="4" w:space="0"/>
                    <w:bottom w:val="single" w:color="auto" w:sz="4" w:space="0"/>
                    <w:right w:val="single" w:color="auto" w:sz="4" w:space="0"/>
                  </w:tcBorders>
                  <w:vAlign w:val="center"/>
                </w:tcPr>
                <w:p w14:paraId="77E1915D">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危废暂存间</w:t>
                  </w:r>
                </w:p>
              </w:tc>
              <w:tc>
                <w:tcPr>
                  <w:tcW w:w="882" w:type="pct"/>
                  <w:tcBorders>
                    <w:top w:val="single" w:color="auto" w:sz="4" w:space="0"/>
                    <w:left w:val="single" w:color="auto" w:sz="4" w:space="0"/>
                    <w:bottom w:val="single" w:color="auto" w:sz="4" w:space="0"/>
                    <w:right w:val="single" w:color="auto" w:sz="4" w:space="0"/>
                  </w:tcBorders>
                  <w:vAlign w:val="center"/>
                </w:tcPr>
                <w:p w14:paraId="3642FD4C">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r>
            <w:tr w14:paraId="20D9D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517" w:type="pct"/>
                  <w:tcBorders>
                    <w:top w:val="single" w:color="auto" w:sz="4" w:space="0"/>
                    <w:left w:val="single" w:color="auto" w:sz="4" w:space="0"/>
                    <w:bottom w:val="single" w:color="auto" w:sz="4" w:space="0"/>
                    <w:right w:val="single" w:color="auto" w:sz="4" w:space="0"/>
                  </w:tcBorders>
                  <w:vAlign w:val="center"/>
                </w:tcPr>
                <w:p w14:paraId="0FC6187A">
                  <w:pPr>
                    <w:pStyle w:val="19"/>
                    <w:keepNext w:val="0"/>
                    <w:keepLines/>
                    <w:pageBreakBefore w:val="0"/>
                    <w:kinsoku/>
                    <w:overflowPunct/>
                    <w:bidi w:val="0"/>
                    <w:adjustRightInd/>
                    <w:ind w:left="0" w:leftChars="0" w:firstLine="0" w:firstLineChars="0"/>
                    <w:jc w:val="center"/>
                    <w:rPr>
                      <w:rFonts w:hint="default" w:ascii="Times New Roman" w:hAnsi="Times New Roman" w:cs="Times New Roman"/>
                      <w:b w:val="0"/>
                      <w:bCs w:val="0"/>
                      <w:color w:val="000000" w:themeColor="text1"/>
                      <w:sz w:val="21"/>
                      <w:szCs w:val="21"/>
                      <w:lang w:eastAsia="zh-CN"/>
                      <w14:textFill>
                        <w14:solidFill>
                          <w14:schemeClr w14:val="tx1"/>
                        </w14:solidFill>
                      </w14:textFill>
                    </w:rPr>
                  </w:pPr>
                  <w:r>
                    <w:rPr>
                      <w:rFonts w:hint="default" w:ascii="Times New Roman" w:hAnsi="Times New Roman" w:cs="Times New Roman"/>
                      <w:b w:val="0"/>
                      <w:bCs w:val="0"/>
                      <w:color w:val="000000" w:themeColor="text1"/>
                      <w:sz w:val="21"/>
                      <w:szCs w:val="21"/>
                      <w:lang w:eastAsia="zh-CN"/>
                      <w14:textFill>
                        <w14:solidFill>
                          <w14:schemeClr w14:val="tx1"/>
                        </w14:solidFill>
                      </w14:textFill>
                    </w:rPr>
                    <w:t>液化石油气</w:t>
                  </w:r>
                </w:p>
              </w:tc>
              <w:tc>
                <w:tcPr>
                  <w:tcW w:w="1680" w:type="pct"/>
                  <w:tcBorders>
                    <w:top w:val="single" w:color="auto" w:sz="4" w:space="0"/>
                    <w:left w:val="single" w:color="auto" w:sz="4" w:space="0"/>
                    <w:bottom w:val="single" w:color="auto" w:sz="4" w:space="0"/>
                    <w:right w:val="single" w:color="auto" w:sz="4" w:space="0"/>
                  </w:tcBorders>
                  <w:vAlign w:val="center"/>
                </w:tcPr>
                <w:p w14:paraId="6754D8D4">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是</w:t>
                  </w:r>
                </w:p>
              </w:tc>
              <w:tc>
                <w:tcPr>
                  <w:tcW w:w="919" w:type="pct"/>
                  <w:tcBorders>
                    <w:top w:val="single" w:color="auto" w:sz="4" w:space="0"/>
                    <w:left w:val="single" w:color="auto" w:sz="4" w:space="0"/>
                    <w:bottom w:val="single" w:color="auto" w:sz="4" w:space="0"/>
                    <w:right w:val="single" w:color="auto" w:sz="4" w:space="0"/>
                  </w:tcBorders>
                  <w:vAlign w:val="center"/>
                </w:tcPr>
                <w:p w14:paraId="4F59DAEB">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cs="Times New Roman"/>
                      <w:b w:val="0"/>
                      <w:bCs w:val="0"/>
                      <w:color w:val="000000" w:themeColor="text1"/>
                      <w:sz w:val="21"/>
                      <w:szCs w:val="21"/>
                      <w:lang w:eastAsia="zh-CN"/>
                      <w14:textFill>
                        <w14:solidFill>
                          <w14:schemeClr w14:val="tx1"/>
                        </w14:solidFill>
                      </w14:textFill>
                    </w:rPr>
                    <w:t>液化气瓶区</w:t>
                  </w:r>
                </w:p>
              </w:tc>
              <w:tc>
                <w:tcPr>
                  <w:tcW w:w="882" w:type="pct"/>
                  <w:tcBorders>
                    <w:top w:val="single" w:color="auto" w:sz="4" w:space="0"/>
                    <w:left w:val="single" w:color="auto" w:sz="4" w:space="0"/>
                    <w:bottom w:val="single" w:color="auto" w:sz="4" w:space="0"/>
                    <w:right w:val="single" w:color="auto" w:sz="4" w:space="0"/>
                  </w:tcBorders>
                  <w:vAlign w:val="center"/>
                </w:tcPr>
                <w:p w14:paraId="0122CC0C">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68476-85-7</w:t>
                  </w:r>
                </w:p>
              </w:tc>
            </w:tr>
            <w:tr w14:paraId="7470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517" w:type="pct"/>
                  <w:tcBorders>
                    <w:top w:val="single" w:color="auto" w:sz="4" w:space="0"/>
                    <w:left w:val="single" w:color="auto" w:sz="4" w:space="0"/>
                    <w:bottom w:val="single" w:color="auto" w:sz="4" w:space="0"/>
                    <w:right w:val="single" w:color="auto" w:sz="4" w:space="0"/>
                  </w:tcBorders>
                  <w:vAlign w:val="center"/>
                </w:tcPr>
                <w:p w14:paraId="158D75B9">
                  <w:pPr>
                    <w:pStyle w:val="19"/>
                    <w:keepNext w:val="0"/>
                    <w:keepLines/>
                    <w:pageBreakBefore w:val="0"/>
                    <w:kinsoku/>
                    <w:overflowPunct/>
                    <w:bidi w:val="0"/>
                    <w:adjustRightInd/>
                    <w:ind w:left="0" w:leftChars="0" w:firstLine="0" w:firstLineChars="0"/>
                    <w:jc w:val="center"/>
                    <w:rPr>
                      <w:rFonts w:hint="default" w:ascii="Times New Roman" w:hAnsi="Times New Roman" w:cs="Times New Roman"/>
                      <w:b w:val="0"/>
                      <w:bCs w:val="0"/>
                      <w:color w:val="000000" w:themeColor="text1"/>
                      <w:sz w:val="21"/>
                      <w:szCs w:val="21"/>
                      <w:lang w:eastAsia="zh-CN"/>
                      <w14:textFill>
                        <w14:solidFill>
                          <w14:schemeClr w14:val="tx1"/>
                        </w14:solidFill>
                      </w14:textFill>
                    </w:rPr>
                  </w:pPr>
                  <w:r>
                    <w:rPr>
                      <w:rFonts w:hint="default" w:ascii="Times New Roman" w:hAnsi="Times New Roman" w:cs="Times New Roman"/>
                      <w:b w:val="0"/>
                      <w:bCs w:val="0"/>
                      <w:color w:val="000000" w:themeColor="text1"/>
                      <w:sz w:val="21"/>
                      <w:szCs w:val="21"/>
                      <w:lang w:eastAsia="zh-CN"/>
                      <w14:textFill>
                        <w14:solidFill>
                          <w14:schemeClr w14:val="tx1"/>
                        </w14:solidFill>
                      </w14:textFill>
                    </w:rPr>
                    <w:t>油墨</w:t>
                  </w:r>
                </w:p>
              </w:tc>
              <w:tc>
                <w:tcPr>
                  <w:tcW w:w="1680" w:type="pct"/>
                  <w:tcBorders>
                    <w:top w:val="single" w:color="auto" w:sz="4" w:space="0"/>
                    <w:left w:val="single" w:color="auto" w:sz="4" w:space="0"/>
                    <w:bottom w:val="single" w:color="auto" w:sz="4" w:space="0"/>
                    <w:right w:val="single" w:color="auto" w:sz="4" w:space="0"/>
                  </w:tcBorders>
                  <w:vAlign w:val="center"/>
                </w:tcPr>
                <w:p w14:paraId="1A485C1E">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是</w:t>
                  </w:r>
                </w:p>
              </w:tc>
              <w:tc>
                <w:tcPr>
                  <w:tcW w:w="919" w:type="pct"/>
                  <w:tcBorders>
                    <w:top w:val="single" w:color="auto" w:sz="4" w:space="0"/>
                    <w:left w:val="single" w:color="auto" w:sz="4" w:space="0"/>
                    <w:bottom w:val="single" w:color="auto" w:sz="4" w:space="0"/>
                    <w:right w:val="single" w:color="auto" w:sz="4" w:space="0"/>
                  </w:tcBorders>
                  <w:vAlign w:val="center"/>
                </w:tcPr>
                <w:p w14:paraId="574F5F79">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油墨桶</w:t>
                  </w:r>
                </w:p>
              </w:tc>
              <w:tc>
                <w:tcPr>
                  <w:tcW w:w="882" w:type="pct"/>
                  <w:tcBorders>
                    <w:top w:val="single" w:color="auto" w:sz="4" w:space="0"/>
                    <w:left w:val="single" w:color="auto" w:sz="4" w:space="0"/>
                    <w:bottom w:val="single" w:color="auto" w:sz="4" w:space="0"/>
                    <w:right w:val="single" w:color="auto" w:sz="4" w:space="0"/>
                  </w:tcBorders>
                  <w:vAlign w:val="center"/>
                </w:tcPr>
                <w:p w14:paraId="37923D1C">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r>
          </w:tbl>
          <w:p w14:paraId="15B53323">
            <w:pPr>
              <w:spacing w:line="360" w:lineRule="auto"/>
              <w:ind w:firstLine="482" w:firstLineChars="200"/>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lang w:eastAsia="zh-CN"/>
                <w14:textFill>
                  <w14:solidFill>
                    <w14:schemeClr w14:val="tx1"/>
                  </w14:solidFill>
                </w14:textFill>
              </w:rPr>
              <w:t>）</w:t>
            </w:r>
            <w:r>
              <w:rPr>
                <w:rFonts w:hint="default" w:ascii="Times New Roman" w:hAnsi="Times New Roman" w:cs="Times New Roman"/>
                <w:b/>
                <w:bCs/>
                <w:color w:val="000000" w:themeColor="text1"/>
                <w:sz w:val="24"/>
                <w14:textFill>
                  <w14:solidFill>
                    <w14:schemeClr w14:val="tx1"/>
                  </w14:solidFill>
                </w14:textFill>
              </w:rPr>
              <w:t>风险潜势</w:t>
            </w:r>
          </w:p>
          <w:p w14:paraId="5E09DDB7">
            <w:pPr>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根据《建设项目环境风险评价技术导则》（HJ169－2018），</w:t>
            </w:r>
            <w:r>
              <w:rPr>
                <w:rFonts w:hint="default" w:ascii="Times New Roman" w:hAnsi="Times New Roman" w:cs="Times New Roman"/>
                <w:color w:val="000000" w:themeColor="text1"/>
                <w:sz w:val="24"/>
                <w14:textFill>
                  <w14:solidFill>
                    <w14:schemeClr w14:val="tx1"/>
                  </w14:solidFill>
                </w14:textFill>
              </w:rPr>
              <w:t>项目所涉及的每种危险物质在厂界内的最大存在总量与对应临界量的比值为Q，当只涉及一种危险物质时，计算该物质的总量与其临界量比值，当存在多种危险物质时，按下列公式计算Q值：</w:t>
            </w:r>
          </w:p>
          <w:p w14:paraId="678036EC">
            <w:pPr>
              <w:keepNext w:val="0"/>
              <w:keepLines/>
              <w:pageBreakBefore w:val="0"/>
              <w:kinsoku/>
              <w:overflowPunct/>
              <w:bidi w:val="0"/>
              <w:adjustRightInd/>
              <w:ind w:firstLine="56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position w:val="-16"/>
                <w:sz w:val="28"/>
                <w14:textFill>
                  <w14:solidFill>
                    <w14:schemeClr w14:val="tx1"/>
                  </w14:solidFill>
                </w14:textFill>
              </w:rPr>
              <w:object>
                <v:shape id="_x0000_i1028" o:spt="75" type="#_x0000_t75" style="height:34.65pt;width:104.75pt;" o:ole="t" filled="f" o:preferrelative="t" stroked="f" coordsize="21600,21600">
                  <v:path/>
                  <v:fill on="f" focussize="0,0"/>
                  <v:stroke on="f" joinstyle="miter"/>
                  <v:imagedata r:id="rId37" o:title=""/>
                  <o:lock v:ext="edit" aspectratio="t"/>
                  <w10:wrap type="none"/>
                  <w10:anchorlock/>
                </v:shape>
                <o:OLEObject Type="Embed" ProgID="Equation.KSEE3" ShapeID="_x0000_i1028" DrawAspect="Content" ObjectID="_1468075728" r:id="rId36">
                  <o:LockedField>false</o:LockedField>
                </o:OLEObject>
              </w:object>
            </w:r>
          </w:p>
          <w:p w14:paraId="019355DD">
            <w:pPr>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式中：q1，q2，…qn—每种危险物质的最大存在总量，t；</w:t>
            </w:r>
          </w:p>
          <w:p w14:paraId="7A335D45">
            <w:pPr>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Q1，Q2，…Qn—每种物质的临界量，t。可在HJ169-2018中附录B中查询。</w:t>
            </w:r>
          </w:p>
          <w:p w14:paraId="54F6B423">
            <w:pPr>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当Q＜1时，该项目环境风险潜势为Ⅰ。</w:t>
            </w:r>
          </w:p>
          <w:p w14:paraId="74CF6BC0">
            <w:pPr>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当Q≥1时，将Q值划分为：（1）1≤Q＜10；（2）10≤Q＜100；（3）Q≥100。</w:t>
            </w:r>
          </w:p>
          <w:p w14:paraId="47055C6E">
            <w:pPr>
              <w:pStyle w:val="19"/>
              <w:keepNext w:val="0"/>
              <w:keepLines/>
              <w:pageBreakBefore w:val="0"/>
              <w:kinsoku/>
              <w:overflowPunct/>
              <w:bidi w:val="0"/>
              <w:adjustRightInd/>
              <w:ind w:left="0" w:leftChars="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w:t>
            </w:r>
            <w:r>
              <w:rPr>
                <w:rFonts w:hint="default" w:ascii="Times New Roman" w:hAnsi="Times New Roman" w:cs="Times New Roman"/>
                <w:b/>
                <w:bCs/>
                <w:color w:val="000000" w:themeColor="text1"/>
                <w:sz w:val="21"/>
                <w:szCs w:val="21"/>
                <w:lang w:val="en-US" w:eastAsia="zh-CN"/>
                <w14:textFill>
                  <w14:solidFill>
                    <w14:schemeClr w14:val="tx1"/>
                  </w14:solidFill>
                </w14:textFill>
              </w:rPr>
              <w:t>20</w:t>
            </w:r>
            <w:r>
              <w:rPr>
                <w:rFonts w:hint="default" w:ascii="Times New Roman" w:hAnsi="Times New Roman" w:eastAsia="宋体" w:cs="Times New Roman"/>
                <w:b/>
                <w:bCs/>
                <w:color w:val="000000" w:themeColor="text1"/>
                <w:sz w:val="21"/>
                <w:szCs w:val="21"/>
                <w14:textFill>
                  <w14:solidFill>
                    <w14:schemeClr w14:val="tx1"/>
                  </w14:solidFill>
                </w14:textFill>
              </w:rPr>
              <w:t xml:space="preserve">  项目危险物质总量与临界量比值（Q）结果</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0"/>
              <w:gridCol w:w="1227"/>
              <w:gridCol w:w="1576"/>
              <w:gridCol w:w="1501"/>
              <w:gridCol w:w="1773"/>
            </w:tblGrid>
            <w:tr w14:paraId="635CA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1233" w:type="pct"/>
                  <w:tcBorders>
                    <w:top w:val="single" w:color="auto" w:sz="4" w:space="0"/>
                    <w:left w:val="single" w:color="auto" w:sz="4" w:space="0"/>
                    <w:bottom w:val="single" w:color="auto" w:sz="4" w:space="0"/>
                    <w:right w:val="single" w:color="auto" w:sz="4" w:space="0"/>
                  </w:tcBorders>
                  <w:vAlign w:val="center"/>
                </w:tcPr>
                <w:p w14:paraId="2151B7D9">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物质名称</w:t>
                  </w:r>
                </w:p>
              </w:tc>
              <w:tc>
                <w:tcPr>
                  <w:tcW w:w="760" w:type="pct"/>
                  <w:tcBorders>
                    <w:top w:val="single" w:color="auto" w:sz="4" w:space="0"/>
                    <w:left w:val="single" w:color="auto" w:sz="4" w:space="0"/>
                    <w:bottom w:val="single" w:color="auto" w:sz="4" w:space="0"/>
                    <w:right w:val="single" w:color="auto" w:sz="4" w:space="0"/>
                  </w:tcBorders>
                  <w:vAlign w:val="center"/>
                </w:tcPr>
                <w:p w14:paraId="06AD4D7F">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CAS号</w:t>
                  </w:r>
                </w:p>
              </w:tc>
              <w:tc>
                <w:tcPr>
                  <w:tcW w:w="976" w:type="pct"/>
                  <w:tcBorders>
                    <w:top w:val="single" w:color="auto" w:sz="4" w:space="0"/>
                    <w:left w:val="single" w:color="auto" w:sz="4" w:space="0"/>
                    <w:bottom w:val="single" w:color="auto" w:sz="4" w:space="0"/>
                    <w:right w:val="single" w:color="auto" w:sz="4" w:space="0"/>
                  </w:tcBorders>
                  <w:vAlign w:val="center"/>
                </w:tcPr>
                <w:p w14:paraId="101E5243">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项目内最大存放量（t）</w:t>
                  </w:r>
                </w:p>
              </w:tc>
              <w:tc>
                <w:tcPr>
                  <w:tcW w:w="930" w:type="pct"/>
                  <w:tcBorders>
                    <w:top w:val="single" w:color="auto" w:sz="4" w:space="0"/>
                    <w:left w:val="single" w:color="auto" w:sz="4" w:space="0"/>
                    <w:bottom w:val="single" w:color="auto" w:sz="4" w:space="0"/>
                    <w:right w:val="single" w:color="auto" w:sz="4" w:space="0"/>
                  </w:tcBorders>
                  <w:vAlign w:val="center"/>
                </w:tcPr>
                <w:p w14:paraId="5385B997">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临界量（t）</w:t>
                  </w:r>
                </w:p>
              </w:tc>
              <w:tc>
                <w:tcPr>
                  <w:tcW w:w="1098" w:type="pct"/>
                  <w:tcBorders>
                    <w:top w:val="single" w:color="auto" w:sz="4" w:space="0"/>
                    <w:left w:val="single" w:color="auto" w:sz="4" w:space="0"/>
                    <w:bottom w:val="single" w:color="auto" w:sz="4" w:space="0"/>
                    <w:right w:val="single" w:color="auto" w:sz="4" w:space="0"/>
                  </w:tcBorders>
                  <w:vAlign w:val="center"/>
                </w:tcPr>
                <w:p w14:paraId="488079F0">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Q</w:t>
                  </w:r>
                </w:p>
              </w:tc>
            </w:tr>
            <w:tr w14:paraId="281F2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14:paraId="3D7A413C">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cs="Times New Roman"/>
                      <w:b w:val="0"/>
                      <w:bCs w:val="0"/>
                      <w:color w:val="000000" w:themeColor="text1"/>
                      <w:sz w:val="21"/>
                      <w:szCs w:val="21"/>
                      <w:lang w:eastAsia="zh-CN"/>
                      <w14:textFill>
                        <w14:solidFill>
                          <w14:schemeClr w14:val="tx1"/>
                        </w14:solidFill>
                      </w14:textFill>
                    </w:rPr>
                    <w:t>机油</w:t>
                  </w:r>
                </w:p>
              </w:tc>
              <w:tc>
                <w:tcPr>
                  <w:tcW w:w="760" w:type="pct"/>
                  <w:tcBorders>
                    <w:top w:val="single" w:color="auto" w:sz="4" w:space="0"/>
                    <w:left w:val="single" w:color="auto" w:sz="4" w:space="0"/>
                    <w:bottom w:val="single" w:color="auto" w:sz="4" w:space="0"/>
                    <w:right w:val="single" w:color="auto" w:sz="4" w:space="0"/>
                  </w:tcBorders>
                  <w:vAlign w:val="center"/>
                </w:tcPr>
                <w:p w14:paraId="369CE2F6">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976" w:type="pct"/>
                  <w:tcBorders>
                    <w:top w:val="single" w:color="auto" w:sz="4" w:space="0"/>
                    <w:left w:val="single" w:color="auto" w:sz="4" w:space="0"/>
                    <w:bottom w:val="single" w:color="auto" w:sz="4" w:space="0"/>
                    <w:right w:val="single" w:color="auto" w:sz="4" w:space="0"/>
                  </w:tcBorders>
                  <w:vAlign w:val="center"/>
                </w:tcPr>
                <w:p w14:paraId="1FBB6AA2">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0.1</w:t>
                  </w:r>
                </w:p>
              </w:tc>
              <w:tc>
                <w:tcPr>
                  <w:tcW w:w="930" w:type="pct"/>
                  <w:tcBorders>
                    <w:top w:val="single" w:color="auto" w:sz="4" w:space="0"/>
                    <w:left w:val="single" w:color="auto" w:sz="4" w:space="0"/>
                    <w:bottom w:val="single" w:color="auto" w:sz="4" w:space="0"/>
                    <w:right w:val="single" w:color="auto" w:sz="4" w:space="0"/>
                  </w:tcBorders>
                  <w:vAlign w:val="center"/>
                </w:tcPr>
                <w:p w14:paraId="57C36C60">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2500</w:t>
                  </w:r>
                </w:p>
              </w:tc>
              <w:tc>
                <w:tcPr>
                  <w:tcW w:w="1098" w:type="pct"/>
                  <w:tcBorders>
                    <w:top w:val="single" w:color="auto" w:sz="4" w:space="0"/>
                    <w:left w:val="single" w:color="auto" w:sz="4" w:space="0"/>
                    <w:bottom w:val="single" w:color="auto" w:sz="4" w:space="0"/>
                    <w:right w:val="single" w:color="auto" w:sz="4" w:space="0"/>
                  </w:tcBorders>
                  <w:vAlign w:val="center"/>
                </w:tcPr>
                <w:p w14:paraId="26CC4592">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0.00004</w:t>
                  </w:r>
                </w:p>
              </w:tc>
            </w:tr>
            <w:tr w14:paraId="7112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14:paraId="2D9F50A4">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废机油</w:t>
                  </w:r>
                </w:p>
              </w:tc>
              <w:tc>
                <w:tcPr>
                  <w:tcW w:w="1235" w:type="dxa"/>
                  <w:tcBorders>
                    <w:top w:val="single" w:color="auto" w:sz="4" w:space="0"/>
                    <w:left w:val="single" w:color="auto" w:sz="4" w:space="0"/>
                    <w:bottom w:val="single" w:color="auto" w:sz="4" w:space="0"/>
                    <w:right w:val="single" w:color="auto" w:sz="4" w:space="0"/>
                  </w:tcBorders>
                  <w:vAlign w:val="center"/>
                </w:tcPr>
                <w:p w14:paraId="5EB71CC0">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1585" w:type="dxa"/>
                  <w:tcBorders>
                    <w:top w:val="single" w:color="auto" w:sz="4" w:space="0"/>
                    <w:left w:val="single" w:color="auto" w:sz="4" w:space="0"/>
                    <w:bottom w:val="single" w:color="auto" w:sz="4" w:space="0"/>
                    <w:right w:val="single" w:color="auto" w:sz="4" w:space="0"/>
                  </w:tcBorders>
                  <w:vAlign w:val="center"/>
                </w:tcPr>
                <w:p w14:paraId="3C894025">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0.05</w:t>
                  </w:r>
                </w:p>
              </w:tc>
              <w:tc>
                <w:tcPr>
                  <w:tcW w:w="1511" w:type="dxa"/>
                  <w:tcBorders>
                    <w:top w:val="single" w:color="auto" w:sz="4" w:space="0"/>
                    <w:left w:val="single" w:color="auto" w:sz="4" w:space="0"/>
                    <w:bottom w:val="single" w:color="auto" w:sz="4" w:space="0"/>
                    <w:right w:val="single" w:color="auto" w:sz="4" w:space="0"/>
                  </w:tcBorders>
                  <w:vAlign w:val="center"/>
                </w:tcPr>
                <w:p w14:paraId="22E4A0B0">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2500</w:t>
                  </w:r>
                </w:p>
              </w:tc>
              <w:tc>
                <w:tcPr>
                  <w:tcW w:w="1784" w:type="dxa"/>
                  <w:tcBorders>
                    <w:top w:val="single" w:color="auto" w:sz="4" w:space="0"/>
                    <w:left w:val="single" w:color="auto" w:sz="4" w:space="0"/>
                    <w:bottom w:val="single" w:color="auto" w:sz="4" w:space="0"/>
                    <w:right w:val="single" w:color="auto" w:sz="4" w:space="0"/>
                  </w:tcBorders>
                  <w:vAlign w:val="center"/>
                </w:tcPr>
                <w:p w14:paraId="79D515A8">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0.00002</w:t>
                  </w:r>
                </w:p>
              </w:tc>
            </w:tr>
            <w:tr w14:paraId="43752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14:paraId="2CB23E1E">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液化石油气</w:t>
                  </w:r>
                </w:p>
              </w:tc>
              <w:tc>
                <w:tcPr>
                  <w:tcW w:w="760" w:type="pct"/>
                  <w:tcBorders>
                    <w:top w:val="single" w:color="auto" w:sz="4" w:space="0"/>
                    <w:left w:val="single" w:color="auto" w:sz="4" w:space="0"/>
                    <w:bottom w:val="single" w:color="auto" w:sz="4" w:space="0"/>
                    <w:right w:val="single" w:color="auto" w:sz="4" w:space="0"/>
                  </w:tcBorders>
                  <w:vAlign w:val="center"/>
                </w:tcPr>
                <w:p w14:paraId="5D6BD78E">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68476-85-7</w:t>
                  </w:r>
                </w:p>
              </w:tc>
              <w:tc>
                <w:tcPr>
                  <w:tcW w:w="976" w:type="pct"/>
                  <w:tcBorders>
                    <w:top w:val="single" w:color="auto" w:sz="4" w:space="0"/>
                    <w:left w:val="single" w:color="auto" w:sz="4" w:space="0"/>
                    <w:bottom w:val="single" w:color="auto" w:sz="4" w:space="0"/>
                    <w:right w:val="single" w:color="auto" w:sz="4" w:space="0"/>
                  </w:tcBorders>
                  <w:vAlign w:val="center"/>
                </w:tcPr>
                <w:p w14:paraId="52D1B548">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0.6148</w:t>
                  </w:r>
                </w:p>
              </w:tc>
              <w:tc>
                <w:tcPr>
                  <w:tcW w:w="930" w:type="pct"/>
                  <w:tcBorders>
                    <w:top w:val="single" w:color="auto" w:sz="4" w:space="0"/>
                    <w:left w:val="single" w:color="auto" w:sz="4" w:space="0"/>
                    <w:bottom w:val="single" w:color="auto" w:sz="4" w:space="0"/>
                    <w:right w:val="single" w:color="auto" w:sz="4" w:space="0"/>
                  </w:tcBorders>
                  <w:vAlign w:val="center"/>
                </w:tcPr>
                <w:p w14:paraId="36E0EF8E">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10</w:t>
                  </w:r>
                </w:p>
              </w:tc>
              <w:tc>
                <w:tcPr>
                  <w:tcW w:w="1098" w:type="pct"/>
                  <w:tcBorders>
                    <w:top w:val="single" w:color="auto" w:sz="4" w:space="0"/>
                    <w:left w:val="single" w:color="auto" w:sz="4" w:space="0"/>
                    <w:bottom w:val="single" w:color="auto" w:sz="4" w:space="0"/>
                    <w:right w:val="single" w:color="auto" w:sz="4" w:space="0"/>
                  </w:tcBorders>
                  <w:vAlign w:val="center"/>
                </w:tcPr>
                <w:p w14:paraId="3749CDAC">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0.06148</w:t>
                  </w:r>
                </w:p>
              </w:tc>
            </w:tr>
            <w:tr w14:paraId="27B78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14:paraId="27B6364D">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油墨</w:t>
                  </w:r>
                </w:p>
              </w:tc>
              <w:tc>
                <w:tcPr>
                  <w:tcW w:w="760" w:type="pct"/>
                  <w:tcBorders>
                    <w:top w:val="single" w:color="auto" w:sz="4" w:space="0"/>
                    <w:left w:val="single" w:color="auto" w:sz="4" w:space="0"/>
                    <w:bottom w:val="single" w:color="auto" w:sz="4" w:space="0"/>
                    <w:right w:val="single" w:color="auto" w:sz="4" w:space="0"/>
                  </w:tcBorders>
                  <w:vAlign w:val="center"/>
                </w:tcPr>
                <w:p w14:paraId="2B5BE20C">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976" w:type="pct"/>
                  <w:tcBorders>
                    <w:top w:val="single" w:color="auto" w:sz="4" w:space="0"/>
                    <w:left w:val="single" w:color="auto" w:sz="4" w:space="0"/>
                    <w:bottom w:val="single" w:color="auto" w:sz="4" w:space="0"/>
                    <w:right w:val="single" w:color="auto" w:sz="4" w:space="0"/>
                  </w:tcBorders>
                  <w:vAlign w:val="center"/>
                </w:tcPr>
                <w:p w14:paraId="0C887C6A">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0.1</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25</w:t>
                  </w:r>
                </w:p>
              </w:tc>
              <w:tc>
                <w:tcPr>
                  <w:tcW w:w="930" w:type="pct"/>
                  <w:tcBorders>
                    <w:top w:val="single" w:color="auto" w:sz="4" w:space="0"/>
                    <w:left w:val="single" w:color="auto" w:sz="4" w:space="0"/>
                    <w:bottom w:val="single" w:color="auto" w:sz="4" w:space="0"/>
                    <w:right w:val="single" w:color="auto" w:sz="4" w:space="0"/>
                  </w:tcBorders>
                  <w:vAlign w:val="center"/>
                </w:tcPr>
                <w:p w14:paraId="68DDA1F7">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w:t>
                  </w:r>
                </w:p>
              </w:tc>
              <w:tc>
                <w:tcPr>
                  <w:tcW w:w="1098" w:type="pct"/>
                  <w:tcBorders>
                    <w:top w:val="single" w:color="auto" w:sz="4" w:space="0"/>
                    <w:left w:val="single" w:color="auto" w:sz="4" w:space="0"/>
                    <w:bottom w:val="single" w:color="auto" w:sz="4" w:space="0"/>
                    <w:right w:val="single" w:color="auto" w:sz="4" w:space="0"/>
                  </w:tcBorders>
                  <w:vAlign w:val="center"/>
                </w:tcPr>
                <w:p w14:paraId="03A6A0CB">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0.02</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5</w:t>
                  </w:r>
                </w:p>
              </w:tc>
            </w:tr>
            <w:tr w14:paraId="5427E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3" w:type="pct"/>
                  <w:tcBorders>
                    <w:top w:val="single" w:color="auto" w:sz="4" w:space="0"/>
                    <w:left w:val="single" w:color="auto" w:sz="4" w:space="0"/>
                    <w:bottom w:val="single" w:color="auto" w:sz="4" w:space="0"/>
                    <w:right w:val="single" w:color="auto" w:sz="4" w:space="0"/>
                  </w:tcBorders>
                  <w:vAlign w:val="center"/>
                </w:tcPr>
                <w:p w14:paraId="6CD6DD66">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合计</w:t>
                  </w:r>
                </w:p>
              </w:tc>
              <w:tc>
                <w:tcPr>
                  <w:tcW w:w="760" w:type="pct"/>
                  <w:tcBorders>
                    <w:top w:val="single" w:color="auto" w:sz="4" w:space="0"/>
                    <w:left w:val="single" w:color="auto" w:sz="4" w:space="0"/>
                    <w:bottom w:val="single" w:color="auto" w:sz="4" w:space="0"/>
                    <w:right w:val="single" w:color="auto" w:sz="4" w:space="0"/>
                  </w:tcBorders>
                  <w:vAlign w:val="center"/>
                </w:tcPr>
                <w:p w14:paraId="56664564">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c>
                <w:tcPr>
                  <w:tcW w:w="976" w:type="pct"/>
                  <w:tcBorders>
                    <w:top w:val="single" w:color="auto" w:sz="4" w:space="0"/>
                    <w:left w:val="single" w:color="auto" w:sz="4" w:space="0"/>
                    <w:bottom w:val="single" w:color="auto" w:sz="4" w:space="0"/>
                    <w:right w:val="single" w:color="auto" w:sz="4" w:space="0"/>
                  </w:tcBorders>
                  <w:vAlign w:val="center"/>
                </w:tcPr>
                <w:p w14:paraId="34FFDB13">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c>
                <w:tcPr>
                  <w:tcW w:w="930" w:type="pct"/>
                  <w:tcBorders>
                    <w:top w:val="single" w:color="auto" w:sz="4" w:space="0"/>
                    <w:left w:val="single" w:color="auto" w:sz="4" w:space="0"/>
                    <w:bottom w:val="single" w:color="auto" w:sz="4" w:space="0"/>
                    <w:right w:val="single" w:color="auto" w:sz="4" w:space="0"/>
                  </w:tcBorders>
                  <w:vAlign w:val="center"/>
                </w:tcPr>
                <w:p w14:paraId="15DE82D3">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c>
                <w:tcPr>
                  <w:tcW w:w="1098" w:type="pct"/>
                  <w:tcBorders>
                    <w:top w:val="single" w:color="auto" w:sz="4" w:space="0"/>
                    <w:left w:val="single" w:color="auto" w:sz="4" w:space="0"/>
                    <w:bottom w:val="single" w:color="auto" w:sz="4" w:space="0"/>
                    <w:right w:val="single" w:color="auto" w:sz="4" w:space="0"/>
                  </w:tcBorders>
                  <w:vAlign w:val="center"/>
                </w:tcPr>
                <w:p w14:paraId="5C588C79">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0.08</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4</w:t>
                  </w:r>
                </w:p>
              </w:tc>
            </w:tr>
          </w:tbl>
          <w:p w14:paraId="648DA16D">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根据以上分析可知，Q=</w:t>
            </w:r>
            <w:r>
              <w:rPr>
                <w:rFonts w:hint="default" w:ascii="Times New Roman" w:hAnsi="Times New Roman" w:eastAsia="宋体" w:cs="Times New Roman"/>
                <w:color w:val="000000" w:themeColor="text1"/>
                <w:sz w:val="24"/>
                <w:lang w:val="en-US" w:eastAsia="zh-CN"/>
                <w14:textFill>
                  <w14:solidFill>
                    <w14:schemeClr w14:val="tx1"/>
                  </w14:solidFill>
                </w14:textFill>
              </w:rPr>
              <w:t>0.08</w:t>
            </w:r>
            <w:r>
              <w:rPr>
                <w:rFonts w:hint="default" w:ascii="Times New Roman" w:hAnsi="Times New Roman" w:cs="Times New Roman"/>
                <w:color w:val="000000" w:themeColor="text1"/>
                <w:sz w:val="24"/>
                <w:lang w:val="en-US" w:eastAsia="zh-CN"/>
                <w14:textFill>
                  <w14:solidFill>
                    <w14:schemeClr w14:val="tx1"/>
                  </w14:solidFill>
                </w14:textFill>
              </w:rPr>
              <w:t>6</w:t>
            </w:r>
            <w:r>
              <w:rPr>
                <w:rFonts w:hint="default"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14:textFill>
                  <w14:solidFill>
                    <w14:schemeClr w14:val="tx1"/>
                  </w14:solidFill>
                </w14:textFill>
              </w:rPr>
              <w:t>＜1，可直接判断本项目环境风险潜势为</w:t>
            </w: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1 \* ROMAN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I</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。根据《建设项目环境风险评价技术导则》（HJ169-2018）附录C，当Q＜1时，项目环境风险潜势为Ⅰ。因此，本项目环境风险不设评价等级，仅进行简单分析。</w:t>
            </w:r>
          </w:p>
          <w:p w14:paraId="46995537">
            <w:pPr>
              <w:keepNext w:val="0"/>
              <w:keepLines/>
              <w:pageBreakBefore w:val="0"/>
              <w:kinsoku/>
              <w:overflowPunct/>
              <w:bidi w:val="0"/>
              <w:adjustRightInd/>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w:t>
            </w:r>
            <w:r>
              <w:rPr>
                <w:rFonts w:hint="default" w:ascii="Times New Roman" w:hAnsi="Times New Roman" w:cs="Times New Roman"/>
                <w:b/>
                <w:bCs/>
                <w:color w:val="000000" w:themeColor="text1"/>
                <w:sz w:val="24"/>
                <w:lang w:val="en-US" w:eastAsia="zh-CN"/>
                <w14:textFill>
                  <w14:solidFill>
                    <w14:schemeClr w14:val="tx1"/>
                  </w14:solidFill>
                </w14:textFill>
              </w:rPr>
              <w:t>3</w:t>
            </w:r>
            <w:r>
              <w:rPr>
                <w:rFonts w:hint="default" w:ascii="Times New Roman" w:hAnsi="Times New Roman" w:cs="Times New Roman"/>
                <w:b/>
                <w:bCs/>
                <w:color w:val="000000" w:themeColor="text1"/>
                <w:sz w:val="24"/>
                <w14:textFill>
                  <w14:solidFill>
                    <w14:schemeClr w14:val="tx1"/>
                  </w14:solidFill>
                </w14:textFill>
              </w:rPr>
              <w:t>）风险事故影响分析</w:t>
            </w:r>
          </w:p>
          <w:p w14:paraId="5061C3DC">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风险事故主要为泄漏</w:t>
            </w:r>
            <w:r>
              <w:rPr>
                <w:rFonts w:hint="default" w:ascii="Times New Roman" w:hAnsi="Times New Roman" w:eastAsia="宋体" w:cs="Times New Roman"/>
                <w:color w:val="000000" w:themeColor="text1"/>
                <w:sz w:val="24"/>
                <w:lang w:eastAsia="zh-CN"/>
                <w14:textFill>
                  <w14:solidFill>
                    <w14:schemeClr w14:val="tx1"/>
                  </w14:solidFill>
                </w14:textFill>
              </w:rPr>
              <w:t>事故；</w:t>
            </w:r>
            <w:r>
              <w:rPr>
                <w:rFonts w:hint="default" w:ascii="Times New Roman" w:hAnsi="Times New Roman" w:eastAsia="宋体" w:cs="Times New Roman"/>
                <w:color w:val="000000" w:themeColor="text1"/>
                <w:sz w:val="24"/>
                <w14:textFill>
                  <w14:solidFill>
                    <w14:schemeClr w14:val="tx1"/>
                  </w14:solidFill>
                </w14:textFill>
              </w:rPr>
              <w:t>火灾</w:t>
            </w:r>
            <w:r>
              <w:rPr>
                <w:rFonts w:hint="default" w:ascii="Times New Roman" w:hAnsi="Times New Roman" w:eastAsia="宋体" w:cs="Times New Roman"/>
                <w:color w:val="000000" w:themeColor="text1"/>
                <w:sz w:val="24"/>
                <w:lang w:eastAsia="zh-CN"/>
                <w14:textFill>
                  <w14:solidFill>
                    <w14:schemeClr w14:val="tx1"/>
                  </w14:solidFill>
                </w14:textFill>
              </w:rPr>
              <w:t>事故</w:t>
            </w:r>
            <w:r>
              <w:rPr>
                <w:rFonts w:hint="default" w:ascii="Times New Roman" w:hAnsi="Times New Roman" w:eastAsia="宋体" w:cs="Times New Roman"/>
                <w:color w:val="000000" w:themeColor="text1"/>
                <w:sz w:val="24"/>
                <w14:textFill>
                  <w14:solidFill>
                    <w14:schemeClr w14:val="tx1"/>
                  </w14:solidFill>
                </w14:textFill>
              </w:rPr>
              <w:t>及导致的次生环境污染事故</w:t>
            </w:r>
            <w:r>
              <w:rPr>
                <w:rFonts w:hint="default" w:ascii="Times New Roman" w:hAnsi="Times New Roman" w:eastAsia="宋体" w:cs="Times New Roman"/>
                <w:color w:val="000000" w:themeColor="text1"/>
                <w:sz w:val="24"/>
                <w:lang w:eastAsia="zh-CN"/>
                <w14:textFill>
                  <w14:solidFill>
                    <w14:schemeClr w14:val="tx1"/>
                  </w14:solidFill>
                </w14:textFill>
              </w:rPr>
              <w:t>。</w:t>
            </w:r>
          </w:p>
          <w:p w14:paraId="319C02BF">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本项目产生的</w:t>
            </w:r>
            <w:r>
              <w:rPr>
                <w:rFonts w:hint="default" w:ascii="Times New Roman" w:hAnsi="Times New Roman" w:cs="Times New Roman"/>
                <w:color w:val="000000" w:themeColor="text1"/>
                <w:sz w:val="24"/>
                <w:lang w:eastAsia="zh-CN"/>
                <w14:textFill>
                  <w14:solidFill>
                    <w14:schemeClr w14:val="tx1"/>
                  </w14:solidFill>
                </w14:textFill>
              </w:rPr>
              <w:t>废机油</w:t>
            </w:r>
            <w:r>
              <w:rPr>
                <w:rFonts w:hint="default" w:ascii="Times New Roman" w:hAnsi="Times New Roman" w:cs="Times New Roman"/>
                <w:color w:val="000000" w:themeColor="text1"/>
                <w:sz w:val="24"/>
                <w14:textFill>
                  <w14:solidFill>
                    <w14:schemeClr w14:val="tx1"/>
                  </w14:solidFill>
                </w14:textFill>
              </w:rPr>
              <w:t>为可燃物质</w:t>
            </w:r>
            <w:r>
              <w:rPr>
                <w:rFonts w:hint="default" w:ascii="Times New Roman" w:hAnsi="Times New Roman" w:cs="Times New Roman"/>
                <w:color w:val="000000" w:themeColor="text1"/>
                <w:sz w:val="24"/>
                <w:lang w:eastAsia="zh-CN"/>
                <w14:textFill>
                  <w14:solidFill>
                    <w14:schemeClr w14:val="tx1"/>
                  </w14:solidFill>
                </w14:textFill>
              </w:rPr>
              <w:t>、液化石油气属于易燃易爆物质、油墨中含有可燃成分</w:t>
            </w:r>
            <w:r>
              <w:rPr>
                <w:rFonts w:hint="default" w:ascii="Times New Roman" w:hAnsi="Times New Roman" w:cs="Times New Roman"/>
                <w:color w:val="000000" w:themeColor="text1"/>
                <w:sz w:val="24"/>
                <w14:textFill>
                  <w14:solidFill>
                    <w14:schemeClr w14:val="tx1"/>
                  </w14:solidFill>
                </w14:textFill>
              </w:rPr>
              <w:t>，遇火后造成火灾，首先会对周围人群、建筑物及财产造成一定影响；其次，一旦发生火灾事故，完全燃烧的产物是CO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和H</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O，不完全燃烧的产物有一氧化碳等气体，CO有毒性，将对环境空气造成伴生污染；堵漏过程中可能使用的大量拦截、堵漏材料，掺杂一定的物料，若事故排放后随意丢弃、排放，将对环境产生二次污染。</w:t>
            </w:r>
            <w:r>
              <w:rPr>
                <w:rFonts w:hint="default" w:ascii="Times New Roman" w:hAnsi="Times New Roman" w:eastAsia="宋体" w:cs="Times New Roman"/>
                <w:color w:val="000000" w:themeColor="text1"/>
                <w:sz w:val="24"/>
                <w:lang w:eastAsia="zh-CN"/>
                <w14:textFill>
                  <w14:solidFill>
                    <w14:schemeClr w14:val="tx1"/>
                  </w14:solidFill>
                </w14:textFill>
              </w:rPr>
              <w:t>油墨泄漏到</w:t>
            </w:r>
            <w:r>
              <w:rPr>
                <w:rFonts w:hint="default" w:ascii="Times New Roman" w:hAnsi="Times New Roman" w:eastAsia="宋体" w:cs="Times New Roman"/>
                <w:color w:val="000000" w:themeColor="text1"/>
                <w:sz w:val="24"/>
                <w14:textFill>
                  <w14:solidFill>
                    <w14:schemeClr w14:val="tx1"/>
                  </w14:solidFill>
                </w14:textFill>
              </w:rPr>
              <w:t>到水体中，会严重影响水的透光性，破坏水生态系统，让水中生物难以生存。</w:t>
            </w:r>
          </w:p>
          <w:p w14:paraId="34145AE7">
            <w:pPr>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由于</w:t>
            </w:r>
            <w:r>
              <w:rPr>
                <w:rFonts w:hint="default" w:ascii="Times New Roman" w:hAnsi="Times New Roman" w:cs="Times New Roman"/>
                <w:color w:val="000000" w:themeColor="text1"/>
                <w:sz w:val="24"/>
                <w:lang w:eastAsia="zh-CN"/>
                <w14:textFill>
                  <w14:solidFill>
                    <w14:schemeClr w14:val="tx1"/>
                  </w14:solidFill>
                </w14:textFill>
              </w:rPr>
              <w:t>油墨、废机油、液化石油气</w:t>
            </w:r>
            <w:r>
              <w:rPr>
                <w:rFonts w:hint="default" w:ascii="Times New Roman" w:hAnsi="Times New Roman" w:cs="Times New Roman"/>
                <w:color w:val="000000" w:themeColor="text1"/>
                <w:sz w:val="24"/>
                <w14:textFill>
                  <w14:solidFill>
                    <w14:schemeClr w14:val="tx1"/>
                  </w14:solidFill>
                </w14:textFill>
              </w:rPr>
              <w:t>储存量较小，厂内设有规范的收集设施，均可做到安全运行，泄漏的可能性较小。</w:t>
            </w:r>
          </w:p>
          <w:p w14:paraId="091719BD">
            <w:pPr>
              <w:keepNext w:val="0"/>
              <w:keepLines/>
              <w:pageBreakBefore w:val="0"/>
              <w:kinsoku/>
              <w:overflowPunct/>
              <w:bidi w:val="0"/>
              <w:adjustRightInd/>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w:t>
            </w:r>
            <w:r>
              <w:rPr>
                <w:rFonts w:hint="default" w:ascii="Times New Roman" w:hAnsi="Times New Roman" w:cs="Times New Roman"/>
                <w:b/>
                <w:bCs/>
                <w:color w:val="000000" w:themeColor="text1"/>
                <w:sz w:val="24"/>
                <w:lang w:val="en-US" w:eastAsia="zh-CN"/>
                <w14:textFill>
                  <w14:solidFill>
                    <w14:schemeClr w14:val="tx1"/>
                  </w14:solidFill>
                </w14:textFill>
              </w:rPr>
              <w:t>4</w:t>
            </w:r>
            <w:r>
              <w:rPr>
                <w:rFonts w:hint="default" w:ascii="Times New Roman" w:hAnsi="Times New Roman" w:cs="Times New Roman"/>
                <w:b/>
                <w:bCs/>
                <w:color w:val="000000" w:themeColor="text1"/>
                <w:sz w:val="24"/>
                <w14:textFill>
                  <w14:solidFill>
                    <w14:schemeClr w14:val="tx1"/>
                  </w14:solidFill>
                </w14:textFill>
              </w:rPr>
              <w:t>）风险防范措施</w:t>
            </w:r>
          </w:p>
          <w:p w14:paraId="3073D6B1">
            <w:pPr>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为把风险事故的发生和影响降到最低限度，针对项目的生产特点，特别应注意以下几点：加强职工安全环保教育，增强操作工人的责任心，防止和减少因人为因素造成的事故，同时也要加强防火安全教育；应配备必需的消防设施，落实安全管理责任。</w:t>
            </w:r>
          </w:p>
          <w:p w14:paraId="1F5DF978">
            <w:pPr>
              <w:keepNext w:val="0"/>
              <w:keepLines/>
              <w:pageBreakBefore w:val="0"/>
              <w:kinsoku/>
              <w:overflowPunct/>
              <w:bidi w:val="0"/>
              <w:adjustRightInd/>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w:t>
            </w:r>
            <w:r>
              <w:rPr>
                <w:rFonts w:hint="default" w:ascii="Times New Roman" w:hAnsi="Times New Roman" w:cs="Times New Roman"/>
                <w:b/>
                <w:bCs/>
                <w:color w:val="000000" w:themeColor="text1"/>
                <w:kern w:val="0"/>
                <w:sz w:val="24"/>
                <w14:textFill>
                  <w14:solidFill>
                    <w14:schemeClr w14:val="tx1"/>
                  </w14:solidFill>
                </w14:textFill>
              </w:rPr>
              <w:t>泄漏事故风险防范措施</w:t>
            </w:r>
          </w:p>
          <w:p w14:paraId="0CBA36C5">
            <w:pPr>
              <w:pStyle w:val="14"/>
              <w:keepNext w:val="0"/>
              <w:keepLines/>
              <w:pageBreakBefore w:val="0"/>
              <w:kinsoku/>
              <w:overflowPunct/>
              <w:bidi w:val="0"/>
              <w:adjustRightInd/>
              <w:spacing w:line="360" w:lineRule="auto"/>
              <w:ind w:firstLine="480" w:firstLineChars="200"/>
              <w:rPr>
                <w:rFonts w:hint="eastAsia"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1）按照危险废物贮存污染控制指标要求，各种危险废物采用专用的容器存放，收集后置于危废间内，防止风吹雨淋和日晒。危废间设立危险废物警示标志，由专人进行管理，严格落实危险固废转移台账管理，做到每一笔危险固废的去向都有台账记录，包括厂区内部的和行政管理部门的</w:t>
            </w:r>
            <w:r>
              <w:rPr>
                <w:rFonts w:hint="eastAsia" w:ascii="Times New Roman" w:hAnsi="Times New Roman" w:cs="Times New Roman"/>
                <w:bCs/>
                <w:color w:val="000000" w:themeColor="text1"/>
                <w:sz w:val="24"/>
                <w:lang w:val="en-US" w:eastAsia="zh-CN"/>
                <w14:textFill>
                  <w14:solidFill>
                    <w14:schemeClr w14:val="tx1"/>
                  </w14:solidFill>
                </w14:textFill>
              </w:rPr>
              <w:t>；</w:t>
            </w:r>
          </w:p>
          <w:p w14:paraId="33854D90">
            <w:pPr>
              <w:pStyle w:val="14"/>
              <w:keepNext w:val="0"/>
              <w:keepLines/>
              <w:pageBreakBefore w:val="0"/>
              <w:kinsoku/>
              <w:overflowPunct/>
              <w:bidi w:val="0"/>
              <w:adjustRightInd/>
              <w:spacing w:line="360" w:lineRule="auto"/>
              <w:ind w:firstLine="480" w:firstLineChars="200"/>
              <w:rPr>
                <w:rFonts w:hint="eastAsia"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2）危险废物暂存场所设置堵截泄漏的裙脚，地面进行防渗处理，危废暂存场所危废暂存间地面做防渗，防渗层为至少1m厚粘土层（渗透系数≤10-7cm/s），或2mm厚高密度聚乙烯，或至少2mm厚的其它人工材料，渗透系数≤10-10cm/s</w:t>
            </w:r>
            <w:r>
              <w:rPr>
                <w:rFonts w:hint="eastAsia" w:ascii="Times New Roman" w:hAnsi="Times New Roman" w:cs="Times New Roman"/>
                <w:bCs/>
                <w:color w:val="000000" w:themeColor="text1"/>
                <w:sz w:val="24"/>
                <w:lang w:val="en-US" w:eastAsia="zh-CN"/>
                <w14:textFill>
                  <w14:solidFill>
                    <w14:schemeClr w14:val="tx1"/>
                  </w14:solidFill>
                </w14:textFill>
              </w:rPr>
              <w:t>；</w:t>
            </w:r>
          </w:p>
          <w:p w14:paraId="1DAB82B4">
            <w:pPr>
              <w:pStyle w:val="14"/>
              <w:keepNext w:val="0"/>
              <w:keepLines/>
              <w:pageBreakBefore w:val="0"/>
              <w:kinsoku/>
              <w:overflowPunct/>
              <w:bidi w:val="0"/>
              <w:adjustRightInd/>
              <w:spacing w:line="360" w:lineRule="auto"/>
              <w:ind w:firstLine="480" w:firstLineChars="200"/>
              <w:rPr>
                <w:rFonts w:hint="eastAsia"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（3）对装有危废的容器进行定期检查，容器泄漏损坏时必须立即处理，并将危废装入完好容器内</w:t>
            </w:r>
            <w:r>
              <w:rPr>
                <w:rFonts w:hint="eastAsia" w:ascii="Times New Roman" w:hAnsi="Times New Roman" w:cs="Times New Roman"/>
                <w:bCs/>
                <w:color w:val="000000" w:themeColor="text1"/>
                <w:sz w:val="24"/>
                <w:lang w:val="en-US"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同时危险废物储存区设置警示标牌</w:t>
            </w:r>
            <w:r>
              <w:rPr>
                <w:rFonts w:hint="eastAsia" w:ascii="Times New Roman" w:hAnsi="Times New Roman" w:cs="Times New Roman"/>
                <w:bCs/>
                <w:color w:val="000000" w:themeColor="text1"/>
                <w:sz w:val="24"/>
                <w:lang w:val="en-US" w:eastAsia="zh-CN"/>
                <w14:textFill>
                  <w14:solidFill>
                    <w14:schemeClr w14:val="tx1"/>
                  </w14:solidFill>
                </w14:textFill>
              </w:rPr>
              <w:t>；</w:t>
            </w:r>
          </w:p>
          <w:p w14:paraId="277A53EC">
            <w:pPr>
              <w:pStyle w:val="14"/>
              <w:keepNext w:val="0"/>
              <w:keepLines/>
              <w:pageBreakBefore w:val="0"/>
              <w:kinsoku/>
              <w:overflowPunct/>
              <w:bidi w:val="0"/>
              <w:adjustRightInd/>
              <w:spacing w:line="360" w:lineRule="auto"/>
              <w:ind w:firstLine="480" w:firstLineChars="200"/>
              <w:rPr>
                <w:rFonts w:hint="default"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（4）所有包装袋、桶必须贴上危险废物标签，危险废物标签上文字字体为黑体、底色为醒目的桔黄色，稳妥贴附在包装袋、桶适当位置，使其清晰易读。危险废物标签要提供下列说明：</w:t>
            </w:r>
            <w:r>
              <w:rPr>
                <w:rFonts w:hint="eastAsia" w:ascii="Times New Roman" w:hAnsi="Times New Roman" w:cs="Times New Roman"/>
                <w:bCs/>
                <w:color w:val="000000" w:themeColor="text1"/>
                <w:sz w:val="24"/>
                <w:lang w:val="en-US"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危险废物</w:t>
            </w:r>
            <w:r>
              <w:rPr>
                <w:rFonts w:hint="eastAsia" w:ascii="Times New Roman" w:hAnsi="Times New Roman" w:cs="Times New Roman"/>
                <w:bCs/>
                <w:color w:val="000000" w:themeColor="text1"/>
                <w:sz w:val="24"/>
                <w:lang w:val="en-US"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字样、危险废物产生单位名称、联系人、联系电话、主要化学成分或商品名称、危险类别、安全措施等。</w:t>
            </w:r>
          </w:p>
          <w:p w14:paraId="04C06284">
            <w:pPr>
              <w:pStyle w:val="14"/>
              <w:keepNext w:val="0"/>
              <w:keepLines/>
              <w:pageBreakBefore w:val="0"/>
              <w:kinsoku/>
              <w:overflowPunct/>
              <w:bidi w:val="0"/>
              <w:adjustRightInd/>
              <w:spacing w:line="360" w:lineRule="auto"/>
              <w:ind w:firstLine="480" w:firstLineChars="200"/>
              <w:rPr>
                <w:rFonts w:hint="default" w:ascii="Times New Roman" w:hAnsi="Times New Roman" w:cs="Times New Roman"/>
                <w:bCs/>
                <w:color w:val="000000" w:themeColor="text1"/>
                <w:sz w:val="24"/>
                <w:lang w:val="en-US" w:eastAsia="zh-CN"/>
                <w14:textFill>
                  <w14:solidFill>
                    <w14:schemeClr w14:val="tx1"/>
                  </w14:solidFill>
                </w14:textFill>
              </w:rPr>
            </w:pPr>
            <w:r>
              <w:rPr>
                <w:rFonts w:hint="eastAsia" w:ascii="Times New Roman" w:hAnsi="Times New Roman" w:cs="Times New Roman"/>
                <w:bCs/>
                <w:color w:val="000000" w:themeColor="text1"/>
                <w:sz w:val="24"/>
                <w:lang w:val="en-US" w:eastAsia="zh-CN"/>
                <w14:textFill>
                  <w14:solidFill>
                    <w14:schemeClr w14:val="tx1"/>
                  </w14:solidFill>
                </w14:textFill>
              </w:rPr>
              <w:t>（5）</w:t>
            </w:r>
            <w:r>
              <w:rPr>
                <w:rFonts w:hint="default" w:ascii="Times New Roman" w:hAnsi="Times New Roman" w:cs="Times New Roman"/>
                <w:bCs/>
                <w:color w:val="000000" w:themeColor="text1"/>
                <w:sz w:val="24"/>
                <w:lang w:val="en-US" w:eastAsia="zh-CN"/>
                <w14:textFill>
                  <w14:solidFill>
                    <w14:schemeClr w14:val="tx1"/>
                  </w14:solidFill>
                </w14:textFill>
              </w:rPr>
              <w:t>按照《云南省环境保护厅应急中心关于进一步加强全省企业事业单位突发环境事件应急预案管理的通知》（云环应发〔2013〕12号）的要求，编制突发环境事件应急预案、风险评估，并到当地环境主管部门进行备案</w:t>
            </w:r>
            <w:r>
              <w:rPr>
                <w:rFonts w:hint="eastAsia" w:ascii="Times New Roman" w:hAnsi="Times New Roman" w:cs="Times New Roman"/>
                <w:bCs/>
                <w:color w:val="000000" w:themeColor="text1"/>
                <w:sz w:val="24"/>
                <w:lang w:val="en-US" w:eastAsia="zh-CN"/>
                <w14:textFill>
                  <w14:solidFill>
                    <w14:schemeClr w14:val="tx1"/>
                  </w14:solidFill>
                </w14:textFill>
              </w:rPr>
              <w:t>。</w:t>
            </w:r>
          </w:p>
          <w:p w14:paraId="3B21D940">
            <w:pPr>
              <w:keepNext w:val="0"/>
              <w:keepLines/>
              <w:pageBreakBefore w:val="0"/>
              <w:kinsoku/>
              <w:overflowPunct/>
              <w:bidi w:val="0"/>
              <w:adjustRightInd/>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kern w:val="0"/>
                <w:sz w:val="24"/>
                <w14:textFill>
                  <w14:solidFill>
                    <w14:schemeClr w14:val="tx1"/>
                  </w14:solidFill>
                </w14:textFill>
              </w:rPr>
              <w:t>2）</w:t>
            </w:r>
            <w:r>
              <w:rPr>
                <w:rFonts w:hint="default" w:ascii="Times New Roman" w:hAnsi="Times New Roman" w:cs="Times New Roman"/>
                <w:b/>
                <w:bCs/>
                <w:color w:val="000000" w:themeColor="text1"/>
                <w:sz w:val="24"/>
                <w14:textFill>
                  <w14:solidFill>
                    <w14:schemeClr w14:val="tx1"/>
                  </w14:solidFill>
                </w14:textFill>
              </w:rPr>
              <w:t>火灾事故风险防范措施</w:t>
            </w:r>
          </w:p>
          <w:p w14:paraId="001ECFE5">
            <w:pPr>
              <w:pStyle w:val="148"/>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①</w:t>
            </w:r>
            <w:r>
              <w:rPr>
                <w:rFonts w:hint="default" w:ascii="Times New Roman" w:hAnsi="Times New Roman" w:cs="Times New Roman"/>
                <w:bCs/>
                <w:color w:val="000000" w:themeColor="text1"/>
                <w:sz w:val="24"/>
                <w:lang w:val="en-US" w:eastAsia="zh-CN"/>
                <w14:textFill>
                  <w14:solidFill>
                    <w14:schemeClr w14:val="tx1"/>
                  </w14:solidFill>
                </w14:textFill>
              </w:rPr>
              <w:t>项目加强危废间、液化气瓶等的贮存管理，加强相关隔离措施，厂区应设置“严禁烟火”的警示牌。</w:t>
            </w:r>
            <w:r>
              <w:rPr>
                <w:rFonts w:hint="eastAsia" w:ascii="Times New Roman" w:hAnsi="Times New Roman" w:cs="Times New Roman"/>
                <w:bCs/>
                <w:color w:val="000000" w:themeColor="text1"/>
                <w:sz w:val="24"/>
                <w:lang w:val="en-US" w:eastAsia="zh-CN"/>
                <w14:textFill>
                  <w14:solidFill>
                    <w14:schemeClr w14:val="tx1"/>
                  </w14:solidFill>
                </w14:textFill>
              </w:rPr>
              <w:t>制定火灾防范措施</w:t>
            </w:r>
            <w:r>
              <w:rPr>
                <w:rFonts w:hint="default" w:ascii="Times New Roman" w:hAnsi="Times New Roman" w:cs="Times New Roman"/>
                <w:color w:val="000000" w:themeColor="text1"/>
                <w:sz w:val="24"/>
                <w14:textFill>
                  <w14:solidFill>
                    <w14:schemeClr w14:val="tx1"/>
                  </w14:solidFill>
                </w14:textFill>
              </w:rPr>
              <w:t>。</w:t>
            </w:r>
          </w:p>
          <w:p w14:paraId="77EBDD5B">
            <w:pPr>
              <w:pStyle w:val="148"/>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②制定和落实防火安全责任制及消防安全规章制度，除加强对员工的消防知识培训，对消防安全责任人及员工也定期进行消防知识培训，消防安全管理人员持证上岗。</w:t>
            </w:r>
          </w:p>
          <w:p w14:paraId="0A52E633">
            <w:pPr>
              <w:pStyle w:val="148"/>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③制定灭火和应急疏散预案，同时设置安全疏散通道。灭火器应布置在明显便于取用的地方，并定期维护检查，确保能正常使用。</w:t>
            </w:r>
          </w:p>
          <w:p w14:paraId="51AF5897">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b w:val="0"/>
                <w:bCs w:val="0"/>
                <w:color w:val="000000" w:themeColor="text1"/>
                <w:kern w:val="0"/>
                <w:sz w:val="24"/>
                <w:lang w:eastAsia="zh-CN"/>
                <w14:textFill>
                  <w14:solidFill>
                    <w14:schemeClr w14:val="tx1"/>
                  </w14:solidFill>
                </w14:textFill>
              </w:rPr>
            </w:pPr>
            <w:r>
              <w:rPr>
                <w:rFonts w:hint="default" w:ascii="Times New Roman" w:hAnsi="Times New Roman" w:cs="Times New Roman"/>
                <w:b w:val="0"/>
                <w:bCs w:val="0"/>
                <w:color w:val="000000" w:themeColor="text1"/>
                <w:kern w:val="0"/>
                <w:sz w:val="24"/>
                <w:lang w:eastAsia="zh-CN"/>
                <w14:textFill>
                  <w14:solidFill>
                    <w14:schemeClr w14:val="tx1"/>
                  </w14:solidFill>
                </w14:textFill>
              </w:rPr>
              <w:t>④本次要求建设单位，雨水排口需要设置闸阀，事故状态下切断闸阀，防止事故废水、消防废水外流。</w:t>
            </w:r>
          </w:p>
          <w:p w14:paraId="71003A40">
            <w:pPr>
              <w:keepNext w:val="0"/>
              <w:keepLines/>
              <w:pageBreakBefore w:val="0"/>
              <w:kinsoku/>
              <w:overflowPunct/>
              <w:bidi w:val="0"/>
              <w:adjustRightInd/>
              <w:spacing w:line="360" w:lineRule="auto"/>
              <w:ind w:firstLine="482" w:firstLineChars="200"/>
              <w:rPr>
                <w:rFonts w:hint="default" w:ascii="Times New Roman" w:hAnsi="Times New Roman" w:cs="Times New Roman"/>
                <w:b/>
                <w:bCs/>
                <w:color w:val="000000" w:themeColor="text1"/>
                <w:kern w:val="0"/>
                <w:sz w:val="24"/>
                <w14:textFill>
                  <w14:solidFill>
                    <w14:schemeClr w14:val="tx1"/>
                  </w14:solidFill>
                </w14:textFill>
              </w:rPr>
            </w:pPr>
            <w:r>
              <w:rPr>
                <w:rFonts w:hint="default" w:ascii="Times New Roman" w:hAnsi="Times New Roman" w:cs="Times New Roman"/>
                <w:b/>
                <w:bCs/>
                <w:color w:val="000000" w:themeColor="text1"/>
                <w:kern w:val="0"/>
                <w:sz w:val="24"/>
                <w14:textFill>
                  <w14:solidFill>
                    <w14:schemeClr w14:val="tx1"/>
                  </w14:solidFill>
                </w14:textFill>
              </w:rPr>
              <w:t>（</w:t>
            </w:r>
            <w:r>
              <w:rPr>
                <w:rFonts w:hint="default" w:ascii="Times New Roman" w:hAnsi="Times New Roman" w:cs="Times New Roman"/>
                <w:b/>
                <w:bCs/>
                <w:color w:val="000000" w:themeColor="text1"/>
                <w:kern w:val="0"/>
                <w:sz w:val="24"/>
                <w:lang w:val="en-US" w:eastAsia="zh-CN"/>
                <w14:textFill>
                  <w14:solidFill>
                    <w14:schemeClr w14:val="tx1"/>
                  </w14:solidFill>
                </w14:textFill>
              </w:rPr>
              <w:t>5</w:t>
            </w:r>
            <w:r>
              <w:rPr>
                <w:rFonts w:hint="default" w:ascii="Times New Roman" w:hAnsi="Times New Roman" w:cs="Times New Roman"/>
                <w:b/>
                <w:bCs/>
                <w:color w:val="000000" w:themeColor="text1"/>
                <w:kern w:val="0"/>
                <w:sz w:val="24"/>
                <w14:textFill>
                  <w14:solidFill>
                    <w14:schemeClr w14:val="tx1"/>
                  </w14:solidFill>
                </w14:textFill>
              </w:rPr>
              <w:t>）应急处理措施</w:t>
            </w:r>
          </w:p>
          <w:p w14:paraId="41362D42">
            <w:pPr>
              <w:pStyle w:val="148"/>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严格落实环境风险防范措施，根据《关于印发〈突发环境事件应急预案管理暂行办法〉的通知》（环发〔2015〕4号）要求，待项目建设完成后，及时进行《突发环境事件应急预案》</w:t>
            </w:r>
            <w:r>
              <w:rPr>
                <w:rFonts w:hint="default" w:ascii="Times New Roman" w:hAnsi="Times New Roman" w:cs="Times New Roman"/>
                <w:color w:val="000000" w:themeColor="text1"/>
                <w:sz w:val="24"/>
                <w:lang w:eastAsia="zh-CN"/>
                <w14:textFill>
                  <w14:solidFill>
                    <w14:schemeClr w14:val="tx1"/>
                  </w14:solidFill>
                </w14:textFill>
              </w:rPr>
              <w:t>编制</w:t>
            </w:r>
            <w:r>
              <w:rPr>
                <w:rFonts w:hint="default" w:ascii="Times New Roman" w:hAnsi="Times New Roman" w:cs="Times New Roman"/>
                <w:color w:val="000000" w:themeColor="text1"/>
                <w:sz w:val="24"/>
                <w14:textFill>
                  <w14:solidFill>
                    <w14:schemeClr w14:val="tx1"/>
                  </w14:solidFill>
                </w14:textFill>
              </w:rPr>
              <w:t>工作并于玉溪市生态环境局</w:t>
            </w:r>
            <w:r>
              <w:rPr>
                <w:rFonts w:hint="default" w:ascii="Times New Roman" w:hAnsi="Times New Roman" w:cs="Times New Roman"/>
                <w:color w:val="000000" w:themeColor="text1"/>
                <w:sz w:val="24"/>
                <w:lang w:eastAsia="zh-CN"/>
                <w14:textFill>
                  <w14:solidFill>
                    <w14:schemeClr w14:val="tx1"/>
                  </w14:solidFill>
                </w14:textFill>
              </w:rPr>
              <w:t>红塔</w:t>
            </w:r>
            <w:r>
              <w:rPr>
                <w:rFonts w:hint="default" w:ascii="Times New Roman" w:hAnsi="Times New Roman" w:cs="Times New Roman"/>
                <w:color w:val="000000" w:themeColor="text1"/>
                <w:sz w:val="24"/>
                <w14:textFill>
                  <w14:solidFill>
                    <w14:schemeClr w14:val="tx1"/>
                  </w14:solidFill>
                </w14:textFill>
              </w:rPr>
              <w:t>分局备案；加强应急演练，建立完善应急报告制度，落实应急物资和经费。切实做好环保设施的日常维护和管理，落实环境风险防范措施，杜绝事故性排放。</w:t>
            </w:r>
          </w:p>
          <w:p w14:paraId="42EF1F8E">
            <w:pPr>
              <w:keepNext w:val="0"/>
              <w:keepLines/>
              <w:pageBreakBefore w:val="0"/>
              <w:kinsoku/>
              <w:overflowPunct/>
              <w:bidi w:val="0"/>
              <w:adjustRightInd/>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1）泄漏应急处理</w:t>
            </w:r>
          </w:p>
          <w:p w14:paraId="11E4F75F">
            <w:pPr>
              <w:keepNext w:val="0"/>
              <w:keepLines/>
              <w:pageBreakBefore w:val="0"/>
              <w:kinsoku/>
              <w:overflowPunct/>
              <w:bidi w:val="0"/>
              <w:adjustRightInd/>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①</w:t>
            </w:r>
            <w:r>
              <w:rPr>
                <w:rFonts w:hint="default" w:ascii="Times New Roman" w:hAnsi="Times New Roman" w:cs="Times New Roman"/>
                <w:bCs/>
                <w:color w:val="000000" w:themeColor="text1"/>
                <w:sz w:val="24"/>
                <w14:textFill>
                  <w14:solidFill>
                    <w14:schemeClr w14:val="tx1"/>
                  </w14:solidFill>
                </w14:textFill>
              </w:rPr>
              <w:t>发现泄漏后生产人员立即将泄漏的</w:t>
            </w:r>
            <w:r>
              <w:rPr>
                <w:rFonts w:hint="default" w:ascii="Times New Roman" w:hAnsi="Times New Roman" w:cs="Times New Roman"/>
                <w:bCs/>
                <w:color w:val="000000" w:themeColor="text1"/>
                <w:sz w:val="24"/>
                <w:lang w:eastAsia="zh-CN"/>
                <w14:textFill>
                  <w14:solidFill>
                    <w14:schemeClr w14:val="tx1"/>
                  </w14:solidFill>
                </w14:textFill>
              </w:rPr>
              <w:t>物质</w:t>
            </w:r>
            <w:r>
              <w:rPr>
                <w:rFonts w:hint="default" w:ascii="Times New Roman" w:hAnsi="Times New Roman" w:cs="Times New Roman"/>
                <w:bCs/>
                <w:color w:val="000000" w:themeColor="text1"/>
                <w:sz w:val="24"/>
                <w14:textFill>
                  <w14:solidFill>
                    <w14:schemeClr w14:val="tx1"/>
                  </w14:solidFill>
                </w14:textFill>
              </w:rPr>
              <w:t>用妥善收集到专门的容器内，放置于危废暂存间内，及时交由</w:t>
            </w:r>
            <w:r>
              <w:rPr>
                <w:rFonts w:hint="default" w:ascii="Times New Roman" w:hAnsi="Times New Roman" w:cs="Times New Roman"/>
                <w:color w:val="000000" w:themeColor="text1"/>
                <w:sz w:val="24"/>
                <w14:textFill>
                  <w14:solidFill>
                    <w14:schemeClr w14:val="tx1"/>
                  </w14:solidFill>
                </w14:textFill>
              </w:rPr>
              <w:t>有资质的单位</w:t>
            </w:r>
            <w:r>
              <w:rPr>
                <w:rFonts w:hint="default" w:ascii="Times New Roman" w:hAnsi="Times New Roman" w:cs="Times New Roman"/>
                <w:bCs/>
                <w:color w:val="000000" w:themeColor="text1"/>
                <w:sz w:val="24"/>
                <w14:textFill>
                  <w14:solidFill>
                    <w14:schemeClr w14:val="tx1"/>
                  </w14:solidFill>
                </w14:textFill>
              </w:rPr>
              <w:t>处置，防止造成新的污染。</w:t>
            </w:r>
          </w:p>
          <w:p w14:paraId="578A6761">
            <w:pPr>
              <w:keepNext w:val="0"/>
              <w:keepLines/>
              <w:pageBreakBefore w:val="0"/>
              <w:kinsoku/>
              <w:overflowPunct/>
              <w:bidi w:val="0"/>
              <w:adjustRightInd/>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fldChar w:fldCharType="begin"/>
            </w:r>
            <w:r>
              <w:rPr>
                <w:rFonts w:hint="default" w:ascii="Times New Roman" w:hAnsi="Times New Roman" w:cs="Times New Roman"/>
                <w:color w:val="000000" w:themeColor="text1"/>
                <w:sz w:val="24"/>
                <w14:textFill>
                  <w14:solidFill>
                    <w14:schemeClr w14:val="tx1"/>
                  </w14:solidFill>
                </w14:textFill>
              </w:rPr>
              <w:instrText xml:space="preserve"> = 2 \* GB3 </w:instrText>
            </w:r>
            <w:r>
              <w:rPr>
                <w:rFonts w:hint="default" w:ascii="Times New Roman" w:hAnsi="Times New Roman" w:cs="Times New Roman"/>
                <w:color w:val="000000" w:themeColor="text1"/>
                <w:sz w:val="24"/>
                <w14:textFill>
                  <w14:solidFill>
                    <w14:schemeClr w14:val="tx1"/>
                  </w14:solidFill>
                </w14:textFill>
              </w:rPr>
              <w:fldChar w:fldCharType="separate"/>
            </w:r>
            <w:r>
              <w:rPr>
                <w:rFonts w:hint="default" w:ascii="Times New Roman" w:hAnsi="Times New Roman" w:cs="Times New Roman"/>
                <w:color w:val="000000" w:themeColor="text1"/>
                <w:sz w:val="24"/>
                <w14:textFill>
                  <w14:solidFill>
                    <w14:schemeClr w14:val="tx1"/>
                  </w14:solidFill>
                </w14:textFill>
              </w:rPr>
              <w:t>②</w:t>
            </w:r>
            <w:r>
              <w:rPr>
                <w:rFonts w:hint="default" w:ascii="Times New Roman" w:hAnsi="Times New Roman" w:cs="Times New Roman"/>
                <w:color w:val="000000" w:themeColor="text1"/>
                <w:sz w:val="24"/>
                <w14:textFill>
                  <w14:solidFill>
                    <w14:schemeClr w14:val="tx1"/>
                  </w14:solidFill>
                </w14:textFill>
              </w:rPr>
              <w:fldChar w:fldCharType="end"/>
            </w:r>
            <w:r>
              <w:rPr>
                <w:rFonts w:hint="default" w:ascii="Times New Roman" w:hAnsi="Times New Roman" w:cs="Times New Roman"/>
                <w:bCs/>
                <w:color w:val="000000" w:themeColor="text1"/>
                <w:sz w:val="24"/>
                <w14:textFill>
                  <w14:solidFill>
                    <w14:schemeClr w14:val="tx1"/>
                  </w14:solidFill>
                </w14:textFill>
              </w:rPr>
              <w:t>收集完毕之后将受影响的土壤清理干净。</w:t>
            </w:r>
          </w:p>
          <w:p w14:paraId="4B17BD6F">
            <w:pPr>
              <w:keepNext w:val="0"/>
              <w:keepLines/>
              <w:pageBreakBefore w:val="0"/>
              <w:kinsoku/>
              <w:overflowPunct/>
              <w:bidi w:val="0"/>
              <w:adjustRightInd/>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2）火灾应急处理</w:t>
            </w:r>
          </w:p>
          <w:p w14:paraId="73EB46E3">
            <w:pPr>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①迅速撤离火灾污染区人员至上风处，并立即进行隔离。应急处理人员戴自给正压式呼吸器，穿防毒服。尽可能切断泄漏源。</w:t>
            </w:r>
          </w:p>
          <w:p w14:paraId="006D08DA">
            <w:pPr>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fldChar w:fldCharType="begin"/>
            </w:r>
            <w:r>
              <w:rPr>
                <w:rFonts w:hint="default" w:ascii="Times New Roman" w:hAnsi="Times New Roman" w:cs="Times New Roman"/>
                <w:color w:val="000000" w:themeColor="text1"/>
                <w:sz w:val="24"/>
                <w14:textFill>
                  <w14:solidFill>
                    <w14:schemeClr w14:val="tx1"/>
                  </w14:solidFill>
                </w14:textFill>
              </w:rPr>
              <w:instrText xml:space="preserve"> = 2 \* GB3 </w:instrText>
            </w:r>
            <w:r>
              <w:rPr>
                <w:rFonts w:hint="default" w:ascii="Times New Roman" w:hAnsi="Times New Roman" w:cs="Times New Roman"/>
                <w:color w:val="000000" w:themeColor="text1"/>
                <w:sz w:val="24"/>
                <w14:textFill>
                  <w14:solidFill>
                    <w14:schemeClr w14:val="tx1"/>
                  </w14:solidFill>
                </w14:textFill>
              </w:rPr>
              <w:fldChar w:fldCharType="separate"/>
            </w:r>
            <w:r>
              <w:rPr>
                <w:rFonts w:hint="default" w:ascii="Times New Roman" w:hAnsi="Times New Roman" w:cs="Times New Roman"/>
                <w:color w:val="000000" w:themeColor="text1"/>
                <w:sz w:val="24"/>
                <w14:textFill>
                  <w14:solidFill>
                    <w14:schemeClr w14:val="tx1"/>
                  </w14:solidFill>
                </w14:textFill>
              </w:rPr>
              <w:t>②</w:t>
            </w:r>
            <w:r>
              <w:rPr>
                <w:rFonts w:hint="default" w:ascii="Times New Roman" w:hAnsi="Times New Roman" w:cs="Times New Roman"/>
                <w:color w:val="000000" w:themeColor="text1"/>
                <w:sz w:val="24"/>
                <w14:textFill>
                  <w14:solidFill>
                    <w14:schemeClr w14:val="tx1"/>
                  </w14:solidFill>
                </w14:textFill>
              </w:rPr>
              <w:fldChar w:fldCharType="end"/>
            </w:r>
            <w:r>
              <w:rPr>
                <w:rFonts w:hint="default" w:ascii="Times New Roman" w:hAnsi="Times New Roman" w:cs="Times New Roman"/>
                <w:color w:val="000000" w:themeColor="text1"/>
                <w:sz w:val="24"/>
                <w14:textFill>
                  <w14:solidFill>
                    <w14:schemeClr w14:val="tx1"/>
                  </w14:solidFill>
                </w14:textFill>
              </w:rPr>
              <w:t>应急处理人员戴自给正压式呼吸器，穿防毒服，用灭火器紧急处理，及时报告，根据情况向厂内应急中心求救或拨打119。</w:t>
            </w:r>
          </w:p>
          <w:p w14:paraId="0A7F9D1B">
            <w:pPr>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fldChar w:fldCharType="begin"/>
            </w:r>
            <w:r>
              <w:rPr>
                <w:rFonts w:hint="default" w:ascii="Times New Roman" w:hAnsi="Times New Roman" w:cs="Times New Roman"/>
                <w:color w:val="000000" w:themeColor="text1"/>
                <w:sz w:val="24"/>
                <w14:textFill>
                  <w14:solidFill>
                    <w14:schemeClr w14:val="tx1"/>
                  </w14:solidFill>
                </w14:textFill>
              </w:rPr>
              <w:instrText xml:space="preserve"> = 3 \* GB3 </w:instrText>
            </w:r>
            <w:r>
              <w:rPr>
                <w:rFonts w:hint="default" w:ascii="Times New Roman" w:hAnsi="Times New Roman" w:cs="Times New Roman"/>
                <w:color w:val="000000" w:themeColor="text1"/>
                <w:sz w:val="24"/>
                <w14:textFill>
                  <w14:solidFill>
                    <w14:schemeClr w14:val="tx1"/>
                  </w14:solidFill>
                </w14:textFill>
              </w:rPr>
              <w:fldChar w:fldCharType="separate"/>
            </w:r>
            <w:r>
              <w:rPr>
                <w:rFonts w:hint="default" w:ascii="Times New Roman" w:hAnsi="Times New Roman" w:cs="Times New Roman"/>
                <w:color w:val="000000" w:themeColor="text1"/>
                <w:sz w:val="24"/>
                <w14:textFill>
                  <w14:solidFill>
                    <w14:schemeClr w14:val="tx1"/>
                  </w14:solidFill>
                </w14:textFill>
              </w:rPr>
              <w:t>③</w:t>
            </w:r>
            <w:r>
              <w:rPr>
                <w:rFonts w:hint="default" w:ascii="Times New Roman" w:hAnsi="Times New Roman" w:cs="Times New Roman"/>
                <w:color w:val="000000" w:themeColor="text1"/>
                <w:sz w:val="24"/>
                <w14:textFill>
                  <w14:solidFill>
                    <w14:schemeClr w14:val="tx1"/>
                  </w14:solidFill>
                </w14:textFill>
              </w:rPr>
              <w:fldChar w:fldCharType="end"/>
            </w:r>
            <w:r>
              <w:rPr>
                <w:rFonts w:hint="default" w:ascii="Times New Roman" w:hAnsi="Times New Roman" w:cs="Times New Roman"/>
                <w:color w:val="000000" w:themeColor="text1"/>
                <w:sz w:val="24"/>
                <w14:textFill>
                  <w14:solidFill>
                    <w14:schemeClr w14:val="tx1"/>
                  </w14:solidFill>
                </w14:textFill>
              </w:rPr>
              <w:t>切断火势蔓延的途径，冷却和疏散受火势威胁的密闭容器和可燃物，控制燃烧范围，并积极抢救受伤和被困人员。合理通风，加速扩散。</w:t>
            </w:r>
          </w:p>
          <w:p w14:paraId="1D87FA1B">
            <w:pPr>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④当人体吸入有毒气体引起中毒，须迅速脱离现场至空气新鲜处；情节严重的要立即就医。</w:t>
            </w:r>
          </w:p>
          <w:p w14:paraId="1FB58219">
            <w:pPr>
              <w:spacing w:line="360" w:lineRule="auto"/>
              <w:ind w:firstLine="482" w:firstLineChars="200"/>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kern w:val="0"/>
                <w:sz w:val="24"/>
                <w:lang w:eastAsia="zh-CN"/>
                <w14:textFill>
                  <w14:solidFill>
                    <w14:schemeClr w14:val="tx1"/>
                  </w14:solidFill>
                </w14:textFill>
              </w:rPr>
              <w:t>（</w:t>
            </w:r>
            <w:r>
              <w:rPr>
                <w:rFonts w:hint="default" w:ascii="Times New Roman" w:hAnsi="Times New Roman" w:cs="Times New Roman"/>
                <w:b/>
                <w:bCs/>
                <w:color w:val="000000" w:themeColor="text1"/>
                <w:kern w:val="0"/>
                <w:sz w:val="24"/>
                <w:lang w:val="en-US" w:eastAsia="zh-CN"/>
                <w14:textFill>
                  <w14:solidFill>
                    <w14:schemeClr w14:val="tx1"/>
                  </w14:solidFill>
                </w14:textFill>
              </w:rPr>
              <w:t>5</w:t>
            </w:r>
            <w:r>
              <w:rPr>
                <w:rFonts w:hint="default" w:ascii="Times New Roman" w:hAnsi="Times New Roman" w:cs="Times New Roman"/>
                <w:b/>
                <w:bCs/>
                <w:color w:val="000000" w:themeColor="text1"/>
                <w:kern w:val="0"/>
                <w:sz w:val="24"/>
                <w:lang w:eastAsia="zh-CN"/>
                <w14:textFill>
                  <w14:solidFill>
                    <w14:schemeClr w14:val="tx1"/>
                  </w14:solidFill>
                </w14:textFill>
              </w:rPr>
              <w:t>）</w:t>
            </w:r>
            <w:r>
              <w:rPr>
                <w:rFonts w:hint="default" w:ascii="Times New Roman" w:hAnsi="Times New Roman" w:cs="Times New Roman"/>
                <w:b/>
                <w:bCs/>
                <w:color w:val="000000" w:themeColor="text1"/>
                <w:sz w:val="24"/>
                <w:lang w:eastAsia="zh-CN"/>
                <w14:textFill>
                  <w14:solidFill>
                    <w14:schemeClr w14:val="tx1"/>
                  </w14:solidFill>
                </w14:textFill>
              </w:rPr>
              <w:t>次生污染物 CO 的环境影响分析</w:t>
            </w:r>
          </w:p>
          <w:p w14:paraId="210DFCE1">
            <w:pPr>
              <w:spacing w:line="360" w:lineRule="auto"/>
              <w:ind w:firstLine="480" w:firstLineChars="200"/>
              <w:rPr>
                <w:rFonts w:hint="default" w:ascii="Times New Roman" w:hAnsi="Times New Roman" w:eastAsia="宋体" w:cs="Times New Roman"/>
                <w:b w:val="0"/>
                <w:bCs w:val="0"/>
                <w:color w:val="000000" w:themeColor="text1"/>
                <w:sz w:val="24"/>
                <w:lang w:eastAsia="zh-CN"/>
                <w14:textFill>
                  <w14:solidFill>
                    <w14:schemeClr w14:val="tx1"/>
                  </w14:solidFill>
                </w14:textFill>
              </w:rPr>
            </w:pPr>
            <w:r>
              <w:rPr>
                <w:rFonts w:hint="default" w:ascii="Times New Roman" w:hAnsi="Times New Roman" w:cs="Times New Roman"/>
                <w:b w:val="0"/>
                <w:bCs w:val="0"/>
                <w:color w:val="000000" w:themeColor="text1"/>
                <w:sz w:val="24"/>
                <w:lang w:eastAsia="zh-CN"/>
                <w14:textFill>
                  <w14:solidFill>
                    <w14:schemeClr w14:val="tx1"/>
                  </w14:solidFill>
                </w14:textFill>
              </w:rPr>
              <w:t>本项目最大可行事故为厂区可燃物质发生的火灾事故。</w:t>
            </w:r>
          </w:p>
          <w:p w14:paraId="38F399AD">
            <w:pPr>
              <w:spacing w:line="360" w:lineRule="auto"/>
              <w:ind w:firstLine="480" w:firstLineChars="200"/>
              <w:rPr>
                <w:rFonts w:hint="default" w:ascii="Times New Roman" w:hAnsi="Times New Roman" w:eastAsia="宋体" w:cs="Times New Roman"/>
                <w:b w:val="0"/>
                <w:bCs w:val="0"/>
                <w:color w:val="000000" w:themeColor="text1"/>
                <w:sz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根据</w:t>
            </w:r>
            <w:r>
              <w:rPr>
                <w:rFonts w:hint="default" w:ascii="Times New Roman" w:hAnsi="Times New Roman" w:cs="Times New Roman"/>
                <w:color w:val="000000" w:themeColor="text1"/>
                <w:sz w:val="24"/>
                <w14:textFill>
                  <w14:solidFill>
                    <w14:schemeClr w14:val="tx1"/>
                  </w14:solidFill>
                </w14:textFill>
              </w:rPr>
              <w:t>《建设项目环境风险评价技术导则》（HJ169-2018）</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中“</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F3.2一氧化碳产生量</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”，本项目发生火灾伴生/次生中CO的产生量按以下公示计算：</w:t>
            </w:r>
          </w:p>
          <w:p w14:paraId="46587A6B">
            <w:pPr>
              <w:spacing w:line="360" w:lineRule="auto"/>
              <w:ind w:firstLine="480" w:firstLineChars="200"/>
              <w:rPr>
                <w:rFonts w:hint="default" w:ascii="Times New Roman" w:hAnsi="Times New Roman" w:cs="Times New Roman"/>
                <w:b w:val="0"/>
                <w:bCs w:val="0"/>
                <w:color w:val="000000" w:themeColor="text1"/>
                <w:sz w:val="24"/>
                <w14:textFill>
                  <w14:solidFill>
                    <w14:schemeClr w14:val="tx1"/>
                  </w14:solidFill>
                </w14:textFill>
              </w:rPr>
            </w:pPr>
            <w:r>
              <w:rPr>
                <w:rFonts w:hint="default" w:ascii="Times New Roman" w:hAnsi="Times New Roman" w:cs="Times New Roman"/>
                <w:b w:val="0"/>
                <w:bCs w:val="0"/>
                <w:color w:val="000000" w:themeColor="text1"/>
                <w:sz w:val="24"/>
                <w14:textFill>
                  <w14:solidFill>
                    <w14:schemeClr w14:val="tx1"/>
                  </w14:solidFill>
                </w14:textFill>
              </w:rPr>
              <w:t>G</w:t>
            </w:r>
            <w:r>
              <w:rPr>
                <w:rFonts w:hint="default" w:ascii="Times New Roman" w:hAnsi="Times New Roman" w:cs="Times New Roman"/>
                <w:b w:val="0"/>
                <w:bCs w:val="0"/>
                <w:color w:val="000000" w:themeColor="text1"/>
                <w:sz w:val="24"/>
                <w:vertAlign w:val="subscript"/>
                <w14:textFill>
                  <w14:solidFill>
                    <w14:schemeClr w14:val="tx1"/>
                  </w14:solidFill>
                </w14:textFill>
              </w:rPr>
              <w:t>CO</w:t>
            </w:r>
            <w:r>
              <w:rPr>
                <w:rFonts w:hint="default" w:ascii="Times New Roman" w:hAnsi="Times New Roman" w:cs="Times New Roman"/>
                <w:b w:val="0"/>
                <w:bCs w:val="0"/>
                <w:color w:val="000000" w:themeColor="text1"/>
                <w:sz w:val="24"/>
                <w14:textFill>
                  <w14:solidFill>
                    <w14:schemeClr w14:val="tx1"/>
                  </w14:solidFill>
                </w14:textFill>
              </w:rPr>
              <w:t>=2330qC</w:t>
            </w:r>
          </w:p>
          <w:p w14:paraId="4F448D3D">
            <w:pPr>
              <w:spacing w:line="360" w:lineRule="auto"/>
              <w:ind w:firstLine="480" w:firstLineChars="200"/>
              <w:rPr>
                <w:rFonts w:hint="default" w:ascii="Times New Roman" w:hAnsi="Times New Roman" w:cs="Times New Roman"/>
                <w:b w:val="0"/>
                <w:bCs w:val="0"/>
                <w:color w:val="000000" w:themeColor="text1"/>
                <w:sz w:val="24"/>
                <w14:textFill>
                  <w14:solidFill>
                    <w14:schemeClr w14:val="tx1"/>
                  </w14:solidFill>
                </w14:textFill>
              </w:rPr>
            </w:pPr>
            <w:r>
              <w:rPr>
                <w:rFonts w:hint="default" w:ascii="Times New Roman" w:hAnsi="Times New Roman" w:cs="Times New Roman"/>
                <w:b w:val="0"/>
                <w:bCs w:val="0"/>
                <w:color w:val="000000" w:themeColor="text1"/>
                <w:sz w:val="24"/>
                <w14:textFill>
                  <w14:solidFill>
                    <w14:schemeClr w14:val="tx1"/>
                  </w14:solidFill>
                </w14:textFill>
              </w:rPr>
              <w:t>式中：G</w:t>
            </w:r>
            <w:r>
              <w:rPr>
                <w:rFonts w:hint="default" w:ascii="Times New Roman" w:hAnsi="Times New Roman" w:cs="Times New Roman"/>
                <w:b w:val="0"/>
                <w:bCs w:val="0"/>
                <w:color w:val="000000" w:themeColor="text1"/>
                <w:sz w:val="24"/>
                <w:vertAlign w:val="subscript"/>
                <w14:textFill>
                  <w14:solidFill>
                    <w14:schemeClr w14:val="tx1"/>
                  </w14:solidFill>
                </w14:textFill>
              </w:rPr>
              <w:t>CO</w:t>
            </w:r>
            <w:r>
              <w:rPr>
                <w:rFonts w:hint="default" w:ascii="Times New Roman" w:hAnsi="Times New Roman" w:cs="Times New Roman"/>
                <w:b w:val="0"/>
                <w:bCs w:val="0"/>
                <w:color w:val="000000" w:themeColor="text1"/>
                <w:sz w:val="24"/>
                <w14:textFill>
                  <w14:solidFill>
                    <w14:schemeClr w14:val="tx1"/>
                  </w14:solidFill>
                </w14:textFill>
              </w:rPr>
              <w:t>——</w:t>
            </w:r>
            <w:r>
              <w:rPr>
                <w:rFonts w:hint="default" w:ascii="Times New Roman" w:hAnsi="Times New Roman" w:cs="Times New Roman"/>
                <w:b w:val="0"/>
                <w:bCs w:val="0"/>
                <w:color w:val="000000" w:themeColor="text1"/>
                <w:sz w:val="24"/>
                <w:lang w:val="en-US" w:eastAsia="zh-CN"/>
                <w14:textFill>
                  <w14:solidFill>
                    <w14:schemeClr w14:val="tx1"/>
                  </w14:solidFill>
                </w14:textFill>
              </w:rPr>
              <w:t>CO</w:t>
            </w:r>
            <w:r>
              <w:rPr>
                <w:rFonts w:hint="default" w:ascii="Times New Roman" w:hAnsi="Times New Roman" w:cs="Times New Roman"/>
                <w:b w:val="0"/>
                <w:bCs w:val="0"/>
                <w:color w:val="000000" w:themeColor="text1"/>
                <w:sz w:val="24"/>
                <w14:textFill>
                  <w14:solidFill>
                    <w14:schemeClr w14:val="tx1"/>
                  </w14:solidFill>
                </w14:textFill>
              </w:rPr>
              <w:t>的产生量，g/kg；</w:t>
            </w:r>
          </w:p>
          <w:p w14:paraId="5362F4BF">
            <w:pPr>
              <w:spacing w:line="360" w:lineRule="auto"/>
              <w:ind w:firstLine="480" w:firstLineChars="200"/>
              <w:rPr>
                <w:rFonts w:hint="default" w:ascii="Times New Roman" w:hAnsi="Times New Roman" w:cs="Times New Roman"/>
                <w:b w:val="0"/>
                <w:bCs w:val="0"/>
                <w:color w:val="000000" w:themeColor="text1"/>
                <w:sz w:val="24"/>
                <w14:textFill>
                  <w14:solidFill>
                    <w14:schemeClr w14:val="tx1"/>
                  </w14:solidFill>
                </w14:textFill>
              </w:rPr>
            </w:pPr>
            <w:r>
              <w:rPr>
                <w:rFonts w:hint="default" w:ascii="Times New Roman" w:hAnsi="Times New Roman" w:cs="Times New Roman"/>
                <w:b w:val="0"/>
                <w:bCs w:val="0"/>
                <w:color w:val="000000" w:themeColor="text1"/>
                <w:sz w:val="24"/>
                <w14:textFill>
                  <w14:solidFill>
                    <w14:schemeClr w14:val="tx1"/>
                  </w14:solidFill>
                </w14:textFill>
              </w:rPr>
              <w:t>C——物质中碳的质量百分比含量，%.，本项目取</w:t>
            </w:r>
            <w:r>
              <w:rPr>
                <w:rFonts w:hint="default" w:ascii="Times New Roman" w:hAnsi="Times New Roman" w:cs="Times New Roman"/>
                <w:b w:val="0"/>
                <w:bCs w:val="0"/>
                <w:color w:val="000000" w:themeColor="text1"/>
                <w:sz w:val="24"/>
                <w:lang w:val="en-US" w:eastAsia="zh-CN"/>
                <w14:textFill>
                  <w14:solidFill>
                    <w14:schemeClr w14:val="tx1"/>
                  </w14:solidFill>
                </w14:textFill>
              </w:rPr>
              <w:t>80</w:t>
            </w:r>
            <w:r>
              <w:rPr>
                <w:rFonts w:hint="default" w:ascii="Times New Roman" w:hAnsi="Times New Roman" w:cs="Times New Roman"/>
                <w:b w:val="0"/>
                <w:bCs w:val="0"/>
                <w:color w:val="000000" w:themeColor="text1"/>
                <w:sz w:val="24"/>
                <w14:textFill>
                  <w14:solidFill>
                    <w14:schemeClr w14:val="tx1"/>
                  </w14:solidFill>
                </w14:textFill>
              </w:rPr>
              <w:t>%；</w:t>
            </w:r>
          </w:p>
          <w:p w14:paraId="22ED85C6">
            <w:pPr>
              <w:spacing w:line="360" w:lineRule="auto"/>
              <w:ind w:firstLine="480" w:firstLineChars="200"/>
              <w:rPr>
                <w:rFonts w:hint="default" w:ascii="Times New Roman" w:hAnsi="Times New Roman" w:cs="Times New Roman"/>
                <w:b w:val="0"/>
                <w:bCs w:val="0"/>
                <w:color w:val="000000" w:themeColor="text1"/>
                <w:sz w:val="24"/>
                <w14:textFill>
                  <w14:solidFill>
                    <w14:schemeClr w14:val="tx1"/>
                  </w14:solidFill>
                </w14:textFill>
              </w:rPr>
            </w:pPr>
            <w:r>
              <w:rPr>
                <w:rFonts w:hint="default" w:ascii="Times New Roman" w:hAnsi="Times New Roman" w:cs="Times New Roman"/>
                <w:b w:val="0"/>
                <w:bCs w:val="0"/>
                <w:color w:val="000000" w:themeColor="text1"/>
                <w:sz w:val="24"/>
                <w14:textFill>
                  <w14:solidFill>
                    <w14:schemeClr w14:val="tx1"/>
                  </w14:solidFill>
                </w14:textFill>
              </w:rPr>
              <w:t>q——化学不完全燃烧值，%，一般取5%-20%，本项目按10%计；</w:t>
            </w:r>
          </w:p>
          <w:p w14:paraId="69BB1DDD">
            <w:pPr>
              <w:spacing w:line="360" w:lineRule="auto"/>
              <w:ind w:firstLine="480" w:firstLineChars="200"/>
              <w:rPr>
                <w:rFonts w:hint="default" w:ascii="Times New Roman" w:hAnsi="Times New Roman" w:cs="Times New Roman"/>
                <w:b w:val="0"/>
                <w:bCs w:val="0"/>
                <w:color w:val="000000" w:themeColor="text1"/>
                <w:sz w:val="24"/>
                <w14:textFill>
                  <w14:solidFill>
                    <w14:schemeClr w14:val="tx1"/>
                  </w14:solidFill>
                </w14:textFill>
              </w:rPr>
            </w:pPr>
            <w:r>
              <w:rPr>
                <w:rFonts w:hint="default" w:ascii="Times New Roman" w:hAnsi="Times New Roman" w:cs="Times New Roman"/>
                <w:b w:val="0"/>
                <w:bCs w:val="0"/>
                <w:color w:val="000000" w:themeColor="text1"/>
                <w:sz w:val="24"/>
                <w14:textFill>
                  <w14:solidFill>
                    <w14:schemeClr w14:val="tx1"/>
                  </w14:solidFill>
                </w14:textFill>
              </w:rPr>
              <w:t>则本项目火灾伴生/次生中</w:t>
            </w:r>
            <w:r>
              <w:rPr>
                <w:rFonts w:hint="default" w:ascii="Times New Roman" w:hAnsi="Times New Roman" w:cs="Times New Roman"/>
                <w:b w:val="0"/>
                <w:bCs w:val="0"/>
                <w:color w:val="000000" w:themeColor="text1"/>
                <w:sz w:val="24"/>
                <w:lang w:val="en-US" w:eastAsia="zh-CN"/>
                <w14:textFill>
                  <w14:solidFill>
                    <w14:schemeClr w14:val="tx1"/>
                  </w14:solidFill>
                </w14:textFill>
              </w:rPr>
              <w:t>CO</w:t>
            </w:r>
            <w:r>
              <w:rPr>
                <w:rFonts w:hint="default" w:ascii="Times New Roman" w:hAnsi="Times New Roman" w:cs="Times New Roman"/>
                <w:b w:val="0"/>
                <w:bCs w:val="0"/>
                <w:color w:val="000000" w:themeColor="text1"/>
                <w:sz w:val="24"/>
                <w14:textFill>
                  <w14:solidFill>
                    <w14:schemeClr w14:val="tx1"/>
                  </w14:solidFill>
                </w14:textFill>
              </w:rPr>
              <w:t>的产生量G</w:t>
            </w:r>
            <w:r>
              <w:rPr>
                <w:rFonts w:hint="default" w:ascii="Times New Roman" w:hAnsi="Times New Roman" w:cs="Times New Roman"/>
                <w:b w:val="0"/>
                <w:bCs w:val="0"/>
                <w:color w:val="000000" w:themeColor="text1"/>
                <w:sz w:val="24"/>
                <w:vertAlign w:val="subscript"/>
                <w14:textFill>
                  <w14:solidFill>
                    <w14:schemeClr w14:val="tx1"/>
                  </w14:solidFill>
                </w14:textFill>
              </w:rPr>
              <w:t>CO</w:t>
            </w:r>
            <w:r>
              <w:rPr>
                <w:rFonts w:hint="default" w:ascii="Times New Roman" w:hAnsi="Times New Roman" w:cs="Times New Roman"/>
                <w:b w:val="0"/>
                <w:bCs w:val="0"/>
                <w:color w:val="000000" w:themeColor="text1"/>
                <w:sz w:val="24"/>
                <w14:textFill>
                  <w14:solidFill>
                    <w14:schemeClr w14:val="tx1"/>
                  </w14:solidFill>
                </w14:textFill>
              </w:rPr>
              <w:t>=186.4g/kg。</w:t>
            </w:r>
          </w:p>
          <w:p w14:paraId="76066B6F">
            <w:pPr>
              <w:spacing w:line="360" w:lineRule="auto"/>
              <w:ind w:firstLine="480" w:firstLineChars="200"/>
              <w:rPr>
                <w:rFonts w:hint="default" w:ascii="Times New Roman" w:hAnsi="Times New Roman" w:cs="Times New Roman"/>
                <w:b w:val="0"/>
                <w:bCs w:val="0"/>
                <w:color w:val="000000" w:themeColor="text1"/>
                <w:sz w:val="24"/>
                <w:lang w:eastAsia="zh-CN"/>
                <w14:textFill>
                  <w14:solidFill>
                    <w14:schemeClr w14:val="tx1"/>
                  </w14:solidFill>
                </w14:textFill>
              </w:rPr>
            </w:pPr>
            <w:r>
              <w:rPr>
                <w:rFonts w:hint="default" w:ascii="Times New Roman" w:hAnsi="Times New Roman" w:cs="Times New Roman"/>
                <w:b w:val="0"/>
                <w:bCs w:val="0"/>
                <w:color w:val="000000" w:themeColor="text1"/>
                <w:sz w:val="24"/>
                <w:lang w:eastAsia="zh-CN"/>
                <w14:textFill>
                  <w14:solidFill>
                    <w14:schemeClr w14:val="tx1"/>
                  </w14:solidFill>
                </w14:textFill>
              </w:rPr>
              <w:t>假设发生火灾事故，</w:t>
            </w:r>
            <w:r>
              <w:rPr>
                <w:rFonts w:hint="default" w:ascii="Times New Roman" w:hAnsi="Times New Roman" w:cs="Times New Roman"/>
                <w:b w:val="0"/>
                <w:bCs w:val="0"/>
                <w:color w:val="000000" w:themeColor="text1"/>
                <w:sz w:val="24"/>
                <w:lang w:val="en-US" w:eastAsia="zh-CN"/>
                <w14:textFill>
                  <w14:solidFill>
                    <w14:schemeClr w14:val="tx1"/>
                  </w14:solidFill>
                </w14:textFill>
              </w:rPr>
              <w:t>10</w:t>
            </w:r>
            <w:r>
              <w:rPr>
                <w:rFonts w:hint="default" w:ascii="Times New Roman" w:hAnsi="Times New Roman" w:cs="Times New Roman"/>
                <w:b w:val="0"/>
                <w:bCs w:val="0"/>
                <w:color w:val="000000" w:themeColor="text1"/>
                <w:sz w:val="24"/>
                <w:lang w:eastAsia="zh-CN"/>
                <w14:textFill>
                  <w14:solidFill>
                    <w14:schemeClr w14:val="tx1"/>
                  </w14:solidFill>
                </w14:textFill>
              </w:rPr>
              <w:t>min内所有泄漏的物料燃烧，短时间内参与火灾的废机油量为</w:t>
            </w:r>
            <w:r>
              <w:rPr>
                <w:rFonts w:hint="default" w:ascii="Times New Roman" w:hAnsi="Times New Roman" w:cs="Times New Roman"/>
                <w:b w:val="0"/>
                <w:bCs w:val="0"/>
                <w:color w:val="000000" w:themeColor="text1"/>
                <w:sz w:val="24"/>
                <w:lang w:val="en-US" w:eastAsia="zh-CN"/>
                <w14:textFill>
                  <w14:solidFill>
                    <w14:schemeClr w14:val="tx1"/>
                  </w14:solidFill>
                </w14:textFill>
              </w:rPr>
              <w:t>0.05t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，液化石油气0.6148t</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cs="Times New Roman"/>
                <w:b w:val="0"/>
                <w:bCs w:val="0"/>
                <w:color w:val="000000" w:themeColor="text1"/>
                <w:sz w:val="24"/>
                <w:lang w:eastAsia="zh-CN"/>
                <w14:textFill>
                  <w14:solidFill>
                    <w14:schemeClr w14:val="tx1"/>
                  </w14:solidFill>
                </w14:textFill>
              </w:rPr>
              <w:t>油墨</w:t>
            </w:r>
            <w:r>
              <w:rPr>
                <w:rFonts w:hint="default" w:ascii="Times New Roman" w:hAnsi="Times New Roman" w:cs="Times New Roman"/>
                <w:b w:val="0"/>
                <w:bCs w:val="0"/>
                <w:color w:val="000000" w:themeColor="text1"/>
                <w:sz w:val="24"/>
                <w:lang w:val="en-US" w:eastAsia="zh-CN"/>
                <w14:textFill>
                  <w14:solidFill>
                    <w14:schemeClr w14:val="tx1"/>
                  </w14:solidFill>
                </w14:textFill>
              </w:rPr>
              <w:t>0.1t</w:t>
            </w:r>
            <w:r>
              <w:rPr>
                <w:rFonts w:hint="default" w:ascii="Times New Roman" w:hAnsi="Times New Roman" w:cs="Times New Roman"/>
                <w:b w:val="0"/>
                <w:bCs w:val="0"/>
                <w:color w:val="000000" w:themeColor="text1"/>
                <w:sz w:val="24"/>
                <w:lang w:eastAsia="zh-CN"/>
                <w14:textFill>
                  <w14:solidFill>
                    <w14:schemeClr w14:val="tx1"/>
                  </w14:solidFill>
                </w14:textFill>
              </w:rPr>
              <w:t>，CO 的产生速率为</w:t>
            </w:r>
            <w:r>
              <w:rPr>
                <w:rFonts w:hint="default" w:ascii="Times New Roman" w:hAnsi="Times New Roman" w:cs="Times New Roman"/>
                <w:b w:val="0"/>
                <w:bCs w:val="0"/>
                <w:color w:val="000000" w:themeColor="text1"/>
                <w:sz w:val="24"/>
                <w:lang w:val="en-US" w:eastAsia="zh-CN"/>
                <w14:textFill>
                  <w14:solidFill>
                    <w14:schemeClr w14:val="tx1"/>
                  </w14:solidFill>
                </w14:textFill>
              </w:rPr>
              <w:t>0.2376</w:t>
            </w:r>
            <w:r>
              <w:rPr>
                <w:rFonts w:hint="default" w:ascii="Times New Roman" w:hAnsi="Times New Roman" w:cs="Times New Roman"/>
                <w:b w:val="0"/>
                <w:bCs w:val="0"/>
                <w:color w:val="000000" w:themeColor="text1"/>
                <w:sz w:val="24"/>
                <w:lang w:eastAsia="zh-CN"/>
                <w14:textFill>
                  <w14:solidFill>
                    <w14:schemeClr w14:val="tx1"/>
                  </w14:solidFill>
                </w14:textFill>
              </w:rPr>
              <w:t>kg/s。</w:t>
            </w:r>
          </w:p>
          <w:p w14:paraId="73F30916">
            <w:pPr>
              <w:spacing w:line="360" w:lineRule="auto"/>
              <w:ind w:firstLine="480" w:firstLineChars="200"/>
              <w:rPr>
                <w:rFonts w:hint="default" w:ascii="Times New Roman" w:hAnsi="Times New Roman" w:eastAsia="宋体" w:cs="Times New Roman"/>
                <w:b w:val="0"/>
                <w:bCs w:val="0"/>
                <w:color w:val="000000" w:themeColor="text1"/>
                <w:sz w:val="24"/>
                <w:lang w:eastAsia="zh-CN"/>
                <w14:textFill>
                  <w14:solidFill>
                    <w14:schemeClr w14:val="tx1"/>
                  </w14:solidFill>
                </w14:textFill>
              </w:rPr>
            </w:pPr>
            <w:r>
              <w:rPr>
                <w:rFonts w:hint="default" w:ascii="Times New Roman" w:hAnsi="Times New Roman" w:cs="Times New Roman"/>
                <w:b w:val="0"/>
                <w:bCs w:val="0"/>
                <w:color w:val="000000" w:themeColor="text1"/>
                <w:sz w:val="24"/>
                <w14:textFill>
                  <w14:solidFill>
                    <w14:schemeClr w14:val="tx1"/>
                  </w14:solidFill>
                </w14:textFill>
              </w:rPr>
              <w:t>根据《建设项目环境风险评价技术导则》，本评价采用</w:t>
            </w:r>
            <w:r>
              <w:rPr>
                <w:rFonts w:hint="default" w:ascii="Times New Roman" w:hAnsi="Times New Roman" w:cs="Times New Roman"/>
                <w:b w:val="0"/>
                <w:bCs w:val="0"/>
                <w:color w:val="000000" w:themeColor="text1"/>
                <w:sz w:val="24"/>
                <w:lang w:eastAsia="zh-CN"/>
                <w14:textFill>
                  <w14:solidFill>
                    <w14:schemeClr w14:val="tx1"/>
                  </w14:solidFill>
                </w14:textFill>
              </w:rPr>
              <w:t>多</w:t>
            </w:r>
            <w:r>
              <w:rPr>
                <w:rFonts w:hint="default" w:ascii="Times New Roman" w:hAnsi="Times New Roman" w:cs="Times New Roman"/>
                <w:b w:val="0"/>
                <w:bCs w:val="0"/>
                <w:color w:val="000000" w:themeColor="text1"/>
                <w:sz w:val="24"/>
                <w14:textFill>
                  <w14:solidFill>
                    <w14:schemeClr w14:val="tx1"/>
                  </w14:solidFill>
                </w14:textFill>
              </w:rPr>
              <w:t>烟团模式</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。本次使用环境风险评价系统(RiskSystem)进行预测。</w:t>
            </w:r>
          </w:p>
          <w:p w14:paraId="330813B1">
            <w:pPr>
              <w:spacing w:line="360" w:lineRule="auto"/>
              <w:ind w:firstLine="480" w:firstLineChars="200"/>
              <w:rPr>
                <w:rFonts w:hint="default" w:ascii="Times New Roman" w:hAnsi="Times New Roman" w:eastAsia="宋体" w:cs="Times New Roman"/>
                <w:b w:val="0"/>
                <w:bCs w:val="0"/>
                <w:color w:val="000000" w:themeColor="text1"/>
                <w:sz w:val="24"/>
                <w:lang w:eastAsia="zh-CN"/>
                <w14:textFill>
                  <w14:solidFill>
                    <w14:schemeClr w14:val="tx1"/>
                  </w14:solidFill>
                </w14:textFill>
              </w:rPr>
            </w:pPr>
            <w:r>
              <w:rPr>
                <w:rFonts w:hint="default" w:ascii="Times New Roman" w:hAnsi="Times New Roman" w:cs="Times New Roman"/>
                <w:b w:val="0"/>
                <w:bCs w:val="0"/>
                <w:color w:val="000000" w:themeColor="text1"/>
                <w:sz w:val="24"/>
                <w:lang w:eastAsia="zh-CN"/>
                <w14:textFill>
                  <w14:solidFill>
                    <w14:schemeClr w14:val="tx1"/>
                  </w14:solidFill>
                </w14:textFill>
              </w:rPr>
              <w:t>考虑事故影响程度，故本次预测面源面积以生产车间面积</w:t>
            </w:r>
            <w:r>
              <w:rPr>
                <w:rFonts w:hint="default" w:ascii="Times New Roman" w:hAnsi="Times New Roman" w:cs="Times New Roman"/>
                <w:b w:val="0"/>
                <w:bCs w:val="0"/>
                <w:color w:val="000000" w:themeColor="text1"/>
                <w:sz w:val="24"/>
                <w:lang w:val="en-US" w:eastAsia="zh-CN"/>
                <w14:textFill>
                  <w14:solidFill>
                    <w14:schemeClr w14:val="tx1"/>
                  </w14:solidFill>
                </w14:textFill>
              </w:rPr>
              <w:t>1900m</w:t>
            </w:r>
            <w:r>
              <w:rPr>
                <w:rFonts w:hint="default" w:ascii="Times New Roman" w:hAnsi="Times New Roman" w:cs="Times New Roman"/>
                <w:b w:val="0"/>
                <w:bCs w:val="0"/>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b w:val="0"/>
                <w:bCs w:val="0"/>
                <w:color w:val="000000" w:themeColor="text1"/>
                <w:sz w:val="24"/>
                <w:lang w:val="en-US" w:eastAsia="zh-CN"/>
                <w14:textFill>
                  <w14:solidFill>
                    <w14:schemeClr w14:val="tx1"/>
                  </w14:solidFill>
                </w14:textFill>
              </w:rPr>
              <w:t>进行预测</w:t>
            </w:r>
            <w:r>
              <w:rPr>
                <w:rFonts w:hint="default"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预测结果间下表。</w:t>
            </w:r>
          </w:p>
          <w:p w14:paraId="72891F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表</w:t>
            </w:r>
            <w:r>
              <w:rPr>
                <w:rFonts w:hint="default" w:ascii="Times New Roman" w:hAnsi="Times New Roman" w:cs="Times New Roman"/>
                <w:b/>
                <w:bCs/>
                <w:color w:val="000000" w:themeColor="text1"/>
                <w:sz w:val="21"/>
                <w:szCs w:val="21"/>
                <w:lang w:val="en-US" w:eastAsia="zh-CN"/>
                <w14:textFill>
                  <w14:solidFill>
                    <w14:schemeClr w14:val="tx1"/>
                  </w14:solidFill>
                </w14:textFill>
              </w:rPr>
              <w:t>4-21 火灾事故次生污染物 CO 对环境的影响</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3"/>
              <w:gridCol w:w="1506"/>
              <w:gridCol w:w="2016"/>
              <w:gridCol w:w="2022"/>
            </w:tblGrid>
            <w:tr w14:paraId="2867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4" w:type="pct"/>
                  <w:vAlign w:val="center"/>
                </w:tcPr>
                <w:p w14:paraId="374954CE">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预测时刻</w:t>
                  </w:r>
                </w:p>
              </w:tc>
              <w:tc>
                <w:tcPr>
                  <w:tcW w:w="3435" w:type="pct"/>
                  <w:gridSpan w:val="3"/>
                  <w:vAlign w:val="center"/>
                </w:tcPr>
                <w:p w14:paraId="6BD3486B">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10min</w:t>
                  </w:r>
                </w:p>
              </w:tc>
            </w:tr>
            <w:tr w14:paraId="0DB92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4" w:type="pct"/>
                  <w:vAlign w:val="center"/>
                </w:tcPr>
                <w:p w14:paraId="2482B3BF">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风速</w:t>
                  </w:r>
                  <w:r>
                    <w:rPr>
                      <w:rFonts w:hint="default" w:ascii="Times New Roman" w:hAnsi="Times New Roman" w:eastAsia="宋体" w:cs="Times New Roman"/>
                      <w:color w:val="000000" w:themeColor="text1"/>
                      <w:szCs w:val="21"/>
                      <w:lang w:val="en-US" w:eastAsia="zh-CN"/>
                      <w14:textFill>
                        <w14:solidFill>
                          <w14:schemeClr w14:val="tx1"/>
                        </w14:solidFill>
                      </w14:textFill>
                    </w:rPr>
                    <w:t>m/s</w:t>
                  </w:r>
                </w:p>
              </w:tc>
              <w:tc>
                <w:tcPr>
                  <w:tcW w:w="3435" w:type="pct"/>
                  <w:gridSpan w:val="3"/>
                  <w:vAlign w:val="center"/>
                </w:tcPr>
                <w:p w14:paraId="41AE8B60">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1.7</w:t>
                  </w:r>
                </w:p>
              </w:tc>
            </w:tr>
            <w:tr w14:paraId="3FA48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4" w:type="pct"/>
                  <w:vAlign w:val="center"/>
                </w:tcPr>
                <w:p w14:paraId="4BCDB2BF">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风向</w:t>
                  </w:r>
                </w:p>
              </w:tc>
              <w:tc>
                <w:tcPr>
                  <w:tcW w:w="3435" w:type="pct"/>
                  <w:gridSpan w:val="3"/>
                  <w:vAlign w:val="center"/>
                </w:tcPr>
                <w:p w14:paraId="55FB7937">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SW西南风</w:t>
                  </w:r>
                </w:p>
              </w:tc>
            </w:tr>
            <w:tr w14:paraId="216D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4" w:type="pct"/>
                  <w:vAlign w:val="center"/>
                </w:tcPr>
                <w:p w14:paraId="799B14E9">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大气稳定度</w:t>
                  </w:r>
                </w:p>
              </w:tc>
              <w:tc>
                <w:tcPr>
                  <w:tcW w:w="933" w:type="pct"/>
                  <w:vAlign w:val="center"/>
                </w:tcPr>
                <w:p w14:paraId="0C6D5D42">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A</w:t>
                  </w:r>
                </w:p>
              </w:tc>
              <w:tc>
                <w:tcPr>
                  <w:tcW w:w="1249" w:type="pct"/>
                  <w:vAlign w:val="center"/>
                </w:tcPr>
                <w:p w14:paraId="11E23FC0">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D</w:t>
                  </w:r>
                </w:p>
              </w:tc>
              <w:tc>
                <w:tcPr>
                  <w:tcW w:w="1253" w:type="pct"/>
                  <w:vAlign w:val="center"/>
                </w:tcPr>
                <w:p w14:paraId="6B5867DF">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F</w:t>
                  </w:r>
                </w:p>
              </w:tc>
            </w:tr>
            <w:tr w14:paraId="35F8E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4" w:type="pct"/>
                  <w:vAlign w:val="center"/>
                </w:tcPr>
                <w:p w14:paraId="65D19E5B">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最大落地浓度</w:t>
                  </w:r>
                  <w:r>
                    <w:rPr>
                      <w:rFonts w:hint="default" w:ascii="Times New Roman" w:hAnsi="Times New Roman" w:eastAsia="宋体" w:cs="Times New Roman"/>
                      <w:color w:val="000000" w:themeColor="text1"/>
                      <w:szCs w:val="21"/>
                      <w:lang w:val="en-US" w:eastAsia="zh-CN"/>
                      <w14:textFill>
                        <w14:solidFill>
                          <w14:schemeClr w14:val="tx1"/>
                        </w14:solidFill>
                      </w14:textFill>
                    </w:rPr>
                    <w:t>mg/m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933" w:type="pct"/>
                  <w:vAlign w:val="center"/>
                </w:tcPr>
                <w:p w14:paraId="55AE273A">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124.6</w:t>
                  </w:r>
                </w:p>
              </w:tc>
              <w:tc>
                <w:tcPr>
                  <w:tcW w:w="1249" w:type="pct"/>
                  <w:vAlign w:val="center"/>
                </w:tcPr>
                <w:p w14:paraId="4CE6C41C">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300.48</w:t>
                  </w:r>
                </w:p>
              </w:tc>
              <w:tc>
                <w:tcPr>
                  <w:tcW w:w="1253" w:type="pct"/>
                  <w:vAlign w:val="center"/>
                </w:tcPr>
                <w:p w14:paraId="7CA104B4">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569.43</w:t>
                  </w:r>
                </w:p>
              </w:tc>
            </w:tr>
            <w:tr w14:paraId="597FA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4" w:type="pct"/>
                  <w:vAlign w:val="center"/>
                </w:tcPr>
                <w:p w14:paraId="236CF078">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出现距离</w:t>
                  </w:r>
                  <w:r>
                    <w:rPr>
                      <w:rFonts w:hint="default" w:ascii="Times New Roman" w:hAnsi="Times New Roman" w:eastAsia="宋体" w:cs="Times New Roman"/>
                      <w:color w:val="000000" w:themeColor="text1"/>
                      <w:szCs w:val="21"/>
                      <w:lang w:val="en-US" w:eastAsia="zh-CN"/>
                      <w14:textFill>
                        <w14:solidFill>
                          <w14:schemeClr w14:val="tx1"/>
                        </w14:solidFill>
                      </w14:textFill>
                    </w:rPr>
                    <w:t>m</w:t>
                  </w:r>
                </w:p>
              </w:tc>
              <w:tc>
                <w:tcPr>
                  <w:tcW w:w="933" w:type="pct"/>
                  <w:vAlign w:val="center"/>
                </w:tcPr>
                <w:p w14:paraId="54603656">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15.7</w:t>
                  </w:r>
                </w:p>
              </w:tc>
              <w:tc>
                <w:tcPr>
                  <w:tcW w:w="1249" w:type="pct"/>
                  <w:vAlign w:val="center"/>
                </w:tcPr>
                <w:p w14:paraId="5083AC30">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16.6</w:t>
                  </w:r>
                </w:p>
              </w:tc>
              <w:tc>
                <w:tcPr>
                  <w:tcW w:w="1253" w:type="pct"/>
                  <w:vAlign w:val="center"/>
                </w:tcPr>
                <w:p w14:paraId="7F3AC70F">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16.9</w:t>
                  </w:r>
                </w:p>
              </w:tc>
            </w:tr>
            <w:tr w14:paraId="54EC6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4" w:type="pct"/>
                  <w:vAlign w:val="center"/>
                </w:tcPr>
                <w:p w14:paraId="601B0CBA">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半致死浓度范围</w:t>
                  </w:r>
                  <w:r>
                    <w:rPr>
                      <w:rFonts w:hint="default" w:ascii="Times New Roman" w:hAnsi="Times New Roman" w:eastAsia="宋体" w:cs="Times New Roman"/>
                      <w:color w:val="000000" w:themeColor="text1"/>
                      <w:szCs w:val="21"/>
                      <w:lang w:val="en-US" w:eastAsia="zh-CN"/>
                      <w14:textFill>
                        <w14:solidFill>
                          <w14:schemeClr w14:val="tx1"/>
                        </w14:solidFill>
                      </w14:textFill>
                    </w:rPr>
                    <w:t>m</w:t>
                  </w:r>
                </w:p>
              </w:tc>
              <w:tc>
                <w:tcPr>
                  <w:tcW w:w="933" w:type="pct"/>
                  <w:vAlign w:val="center"/>
                </w:tcPr>
                <w:p w14:paraId="4FA7B821">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249" w:type="pct"/>
                  <w:vAlign w:val="center"/>
                </w:tcPr>
                <w:p w14:paraId="5622D097">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253" w:type="pct"/>
                  <w:vAlign w:val="center"/>
                </w:tcPr>
                <w:p w14:paraId="47AC94BF">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66C29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4" w:type="pct"/>
                  <w:vAlign w:val="center"/>
                </w:tcPr>
                <w:p w14:paraId="3279FCD8">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短时间接触容许浓度范围</w:t>
                  </w:r>
                  <w:r>
                    <w:rPr>
                      <w:rFonts w:hint="default" w:ascii="Times New Roman" w:hAnsi="Times New Roman" w:eastAsia="宋体" w:cs="Times New Roman"/>
                      <w:color w:val="000000" w:themeColor="text1"/>
                      <w:szCs w:val="21"/>
                      <w:lang w:val="en-US" w:eastAsia="zh-CN"/>
                      <w14:textFill>
                        <w14:solidFill>
                          <w14:schemeClr w14:val="tx1"/>
                        </w14:solidFill>
                      </w14:textFill>
                    </w:rPr>
                    <w:t>m</w:t>
                  </w:r>
                </w:p>
              </w:tc>
              <w:tc>
                <w:tcPr>
                  <w:tcW w:w="933" w:type="pct"/>
                  <w:vAlign w:val="center"/>
                </w:tcPr>
                <w:p w14:paraId="4040C8E5">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136.8</w:t>
                  </w:r>
                </w:p>
              </w:tc>
              <w:tc>
                <w:tcPr>
                  <w:tcW w:w="1249" w:type="pct"/>
                  <w:vAlign w:val="center"/>
                </w:tcPr>
                <w:p w14:paraId="7BB2AD07">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305.9</w:t>
                  </w:r>
                </w:p>
              </w:tc>
              <w:tc>
                <w:tcPr>
                  <w:tcW w:w="1253" w:type="pct"/>
                  <w:vAlign w:val="center"/>
                </w:tcPr>
                <w:p w14:paraId="6CF9A6AF">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776.6</w:t>
                  </w:r>
                </w:p>
              </w:tc>
            </w:tr>
          </w:tbl>
          <w:p w14:paraId="549C070C">
            <w:pPr>
              <w:spacing w:line="360" w:lineRule="auto"/>
              <w:ind w:firstLine="480" w:firstLineChars="200"/>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cs="Times New Roman"/>
                <w:b w:val="0"/>
                <w:bCs w:val="0"/>
                <w:color w:val="000000" w:themeColor="text1"/>
                <w:sz w:val="24"/>
                <w14:textFill>
                  <w14:solidFill>
                    <w14:schemeClr w14:val="tx1"/>
                  </w14:solidFill>
                </w14:textFill>
              </w:rPr>
              <w:t>经现场调查，CO半致死浓度范围无居住村民，故项目发生火灾产生次生CO对项目所在区域影响不大</w:t>
            </w:r>
            <w:r>
              <w:rPr>
                <w:rFonts w:hint="default" w:ascii="Times New Roman" w:hAnsi="Times New Roman"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符合《玉溪市生态环境局关于印发玉溪市生态环境分区管控动态更新调整方案（2023年）的通知》（玉市环〔2024〕40号）中红塔区产业园区重点管控单元环境风险防控“工业企业应有完善的风险防范措施，其最大可信事故半致死浓度范围内不得有居民点存在”。</w:t>
            </w:r>
          </w:p>
          <w:p w14:paraId="1E5A3838">
            <w:pPr>
              <w:keepNext w:val="0"/>
              <w:keepLines/>
              <w:pageBreakBefore w:val="0"/>
              <w:kinsoku/>
              <w:overflowPunct/>
              <w:bidi w:val="0"/>
              <w:adjustRightInd/>
              <w:spacing w:line="360" w:lineRule="auto"/>
              <w:ind w:firstLine="482" w:firstLineChars="200"/>
              <w:rPr>
                <w:rFonts w:hint="default" w:ascii="Times New Roman" w:hAnsi="Times New Roman" w:cs="Times New Roman"/>
                <w:b/>
                <w:bCs/>
                <w:color w:val="000000" w:themeColor="text1"/>
                <w:kern w:val="0"/>
                <w:sz w:val="24"/>
                <w14:textFill>
                  <w14:solidFill>
                    <w14:schemeClr w14:val="tx1"/>
                  </w14:solidFill>
                </w14:textFill>
              </w:rPr>
            </w:pPr>
            <w:r>
              <w:rPr>
                <w:rFonts w:hint="default" w:ascii="Times New Roman" w:hAnsi="Times New Roman" w:cs="Times New Roman"/>
                <w:b/>
                <w:bCs/>
                <w:color w:val="000000" w:themeColor="text1"/>
                <w:kern w:val="0"/>
                <w:sz w:val="24"/>
                <w14:textFill>
                  <w14:solidFill>
                    <w14:schemeClr w14:val="tx1"/>
                  </w14:solidFill>
                </w14:textFill>
              </w:rPr>
              <w:t>（7）</w:t>
            </w:r>
            <w:r>
              <w:rPr>
                <w:rFonts w:hint="default" w:ascii="Times New Roman" w:hAnsi="Times New Roman" w:cs="Times New Roman"/>
                <w:b/>
                <w:bCs/>
                <w:color w:val="000000" w:themeColor="text1"/>
                <w:sz w:val="24"/>
                <w14:textFill>
                  <w14:solidFill>
                    <w14:schemeClr w14:val="tx1"/>
                  </w14:solidFill>
                </w14:textFill>
              </w:rPr>
              <w:t>环境风险分析结论</w:t>
            </w:r>
          </w:p>
          <w:p w14:paraId="4ADEA84A">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综上所述，本项目环境风险潜势为Ⅰ级，风险评价等级为简单分析，不存在重大风险源，主要风险事故为</w:t>
            </w:r>
            <w:r>
              <w:rPr>
                <w:rFonts w:hint="default" w:ascii="Times New Roman" w:hAnsi="Times New Roman" w:eastAsia="宋体" w:cs="Times New Roman"/>
                <w:color w:val="000000" w:themeColor="text1"/>
                <w:sz w:val="24"/>
                <w:lang w:eastAsia="zh-CN"/>
                <w14:textFill>
                  <w14:solidFill>
                    <w14:schemeClr w14:val="tx1"/>
                  </w14:solidFill>
                </w14:textFill>
              </w:rPr>
              <w:t>废机油、废液压油</w:t>
            </w:r>
            <w:r>
              <w:rPr>
                <w:rFonts w:hint="default" w:ascii="Times New Roman" w:hAnsi="Times New Roman" w:eastAsia="宋体" w:cs="Times New Roman"/>
                <w:color w:val="000000" w:themeColor="text1"/>
                <w:sz w:val="24"/>
                <w14:textFill>
                  <w14:solidFill>
                    <w14:schemeClr w14:val="tx1"/>
                  </w14:solidFill>
                </w14:textFill>
              </w:rPr>
              <w:t>泄漏、火灾事故，对在厂、邻近人员造成伤害。结合项目实际情况，本评价提出了相关防范措施，在加强管理及积极落实有关防范措施后，本项目环境事故发生的可能性很低，且项目环境风险在可防控范围内，项目环境风险影响较小。</w:t>
            </w:r>
          </w:p>
          <w:p w14:paraId="115B9ADF">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w:t>
            </w:r>
            <w:r>
              <w:rPr>
                <w:rFonts w:hint="default" w:ascii="Times New Roman" w:hAnsi="Times New Roman" w:cs="Times New Roman"/>
                <w:b/>
                <w:bCs/>
                <w:color w:val="000000" w:themeColor="text1"/>
                <w:sz w:val="21"/>
                <w:szCs w:val="21"/>
                <w:lang w:val="en-US" w:eastAsia="zh-CN"/>
                <w14:textFill>
                  <w14:solidFill>
                    <w14:schemeClr w14:val="tx1"/>
                  </w14:solidFill>
                </w14:textFill>
              </w:rPr>
              <w:t>22</w:t>
            </w:r>
            <w:r>
              <w:rPr>
                <w:rFonts w:hint="default" w:ascii="Times New Roman" w:hAnsi="Times New Roman" w:eastAsia="宋体" w:cs="Times New Roman"/>
                <w:b/>
                <w:bCs/>
                <w:color w:val="000000" w:themeColor="text1"/>
                <w:sz w:val="21"/>
                <w:szCs w:val="21"/>
                <w14:textFill>
                  <w14:solidFill>
                    <w14:schemeClr w14:val="tx1"/>
                  </w14:solidFill>
                </w14:textFill>
              </w:rPr>
              <w:t xml:space="preserve"> 建设项目环境风险简单分析内容表</w:t>
            </w:r>
          </w:p>
          <w:tbl>
            <w:tblPr>
              <w:tblStyle w:val="34"/>
              <w:tblW w:w="4998"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840"/>
              <w:gridCol w:w="1105"/>
              <w:gridCol w:w="2001"/>
              <w:gridCol w:w="1007"/>
              <w:gridCol w:w="2104"/>
            </w:tblGrid>
            <w:tr w14:paraId="186900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1142" w:type="pct"/>
                  <w:tcBorders>
                    <w:tl2br w:val="nil"/>
                    <w:tr2bl w:val="nil"/>
                  </w:tcBorders>
                  <w:vAlign w:val="center"/>
                </w:tcPr>
                <w:p w14:paraId="57EF8EBE">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建设项目名称</w:t>
                  </w:r>
                </w:p>
              </w:tc>
              <w:tc>
                <w:tcPr>
                  <w:tcW w:w="3857" w:type="pct"/>
                  <w:gridSpan w:val="4"/>
                  <w:tcBorders>
                    <w:tl2br w:val="nil"/>
                    <w:tr2bl w:val="nil"/>
                  </w:tcBorders>
                  <w:vAlign w:val="center"/>
                </w:tcPr>
                <w:p w14:paraId="3AA1E85C">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玉溪市宏兴液化石油气瓶检测中心钢瓶检测迁建项目</w:t>
                  </w:r>
                </w:p>
              </w:tc>
            </w:tr>
            <w:tr w14:paraId="2796DF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1142" w:type="pct"/>
                  <w:tcBorders>
                    <w:tl2br w:val="nil"/>
                    <w:tr2bl w:val="nil"/>
                  </w:tcBorders>
                  <w:vAlign w:val="center"/>
                </w:tcPr>
                <w:p w14:paraId="0CE763AB">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建设地点</w:t>
                  </w:r>
                </w:p>
              </w:tc>
              <w:tc>
                <w:tcPr>
                  <w:tcW w:w="3857" w:type="pct"/>
                  <w:gridSpan w:val="4"/>
                  <w:tcBorders>
                    <w:tl2br w:val="nil"/>
                    <w:tr2bl w:val="nil"/>
                  </w:tcBorders>
                  <w:vAlign w:val="center"/>
                </w:tcPr>
                <w:p w14:paraId="2BD704D3">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云南省玉溪市红塔区研和街道可官社区可官一组定古自然村后面的原村办企业雄峰饲料厂（上半部分）的场地</w:t>
                  </w:r>
                </w:p>
              </w:tc>
            </w:tr>
            <w:tr w14:paraId="7F3102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1142" w:type="pct"/>
                  <w:tcBorders>
                    <w:tl2br w:val="nil"/>
                    <w:tr2bl w:val="nil"/>
                  </w:tcBorders>
                  <w:vAlign w:val="center"/>
                </w:tcPr>
                <w:p w14:paraId="27F95C20">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地理坐标</w:t>
                  </w:r>
                </w:p>
              </w:tc>
              <w:tc>
                <w:tcPr>
                  <w:tcW w:w="686" w:type="pct"/>
                  <w:tcBorders>
                    <w:tl2br w:val="nil"/>
                    <w:tr2bl w:val="nil"/>
                  </w:tcBorders>
                  <w:vAlign w:val="center"/>
                </w:tcPr>
                <w:p w14:paraId="43260D52">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东经</w:t>
                  </w:r>
                </w:p>
              </w:tc>
              <w:tc>
                <w:tcPr>
                  <w:tcW w:w="1242" w:type="pct"/>
                  <w:tcBorders>
                    <w:tl2br w:val="nil"/>
                    <w:tr2bl w:val="nil"/>
                  </w:tcBorders>
                  <w:vAlign w:val="center"/>
                </w:tcPr>
                <w:p w14:paraId="40958A91">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10</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Cs/>
                      <w:color w:val="000000" w:themeColor="text1"/>
                      <w:sz w:val="21"/>
                      <w:szCs w:val="21"/>
                      <w14:textFill>
                        <w14:solidFill>
                          <w14:schemeClr w14:val="tx1"/>
                        </w14:solidFill>
                      </w14:textFill>
                    </w:rPr>
                    <w:t>度</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29</w:t>
                  </w:r>
                  <w:r>
                    <w:rPr>
                      <w:rFonts w:hint="default" w:ascii="Times New Roman" w:hAnsi="Times New Roman" w:eastAsia="宋体" w:cs="Times New Roman"/>
                      <w:bCs/>
                      <w:color w:val="000000" w:themeColor="text1"/>
                      <w:sz w:val="21"/>
                      <w:szCs w:val="21"/>
                      <w14:textFill>
                        <w14:solidFill>
                          <w14:schemeClr w14:val="tx1"/>
                        </w14:solidFill>
                      </w14:textFill>
                    </w:rPr>
                    <w:t>分</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35.750</w:t>
                  </w:r>
                  <w:r>
                    <w:rPr>
                      <w:rFonts w:hint="default" w:ascii="Times New Roman" w:hAnsi="Times New Roman" w:eastAsia="宋体" w:cs="Times New Roman"/>
                      <w:bCs/>
                      <w:color w:val="000000" w:themeColor="text1"/>
                      <w:sz w:val="21"/>
                      <w:szCs w:val="21"/>
                      <w14:textFill>
                        <w14:solidFill>
                          <w14:schemeClr w14:val="tx1"/>
                        </w14:solidFill>
                      </w14:textFill>
                    </w:rPr>
                    <w:t>秒</w:t>
                  </w:r>
                </w:p>
              </w:tc>
              <w:tc>
                <w:tcPr>
                  <w:tcW w:w="625" w:type="pct"/>
                  <w:tcBorders>
                    <w:tl2br w:val="nil"/>
                    <w:tr2bl w:val="nil"/>
                  </w:tcBorders>
                  <w:vAlign w:val="center"/>
                </w:tcPr>
                <w:p w14:paraId="2AA1A131">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北纬</w:t>
                  </w:r>
                </w:p>
              </w:tc>
              <w:tc>
                <w:tcPr>
                  <w:tcW w:w="1302" w:type="pct"/>
                  <w:tcBorders>
                    <w:tl2br w:val="nil"/>
                    <w:tr2bl w:val="nil"/>
                  </w:tcBorders>
                  <w:vAlign w:val="center"/>
                </w:tcPr>
                <w:p w14:paraId="1B69201A">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24度1</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bCs/>
                      <w:color w:val="000000" w:themeColor="text1"/>
                      <w:sz w:val="21"/>
                      <w:szCs w:val="21"/>
                      <w14:textFill>
                        <w14:solidFill>
                          <w14:schemeClr w14:val="tx1"/>
                        </w14:solidFill>
                      </w14:textFill>
                    </w:rPr>
                    <w:t>分</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6.562</w:t>
                  </w:r>
                  <w:r>
                    <w:rPr>
                      <w:rFonts w:hint="default" w:ascii="Times New Roman" w:hAnsi="Times New Roman" w:eastAsia="宋体" w:cs="Times New Roman"/>
                      <w:bCs/>
                      <w:color w:val="000000" w:themeColor="text1"/>
                      <w:sz w:val="21"/>
                      <w:szCs w:val="21"/>
                      <w14:textFill>
                        <w14:solidFill>
                          <w14:schemeClr w14:val="tx1"/>
                        </w14:solidFill>
                      </w14:textFill>
                    </w:rPr>
                    <w:t>秒</w:t>
                  </w:r>
                </w:p>
              </w:tc>
            </w:tr>
            <w:tr w14:paraId="4947D3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1142" w:type="pct"/>
                  <w:tcBorders>
                    <w:tl2br w:val="nil"/>
                    <w:tr2bl w:val="nil"/>
                  </w:tcBorders>
                  <w:vAlign w:val="center"/>
                </w:tcPr>
                <w:p w14:paraId="2C8D9B5E">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主要危险物质及分布</w:t>
                  </w:r>
                </w:p>
              </w:tc>
              <w:tc>
                <w:tcPr>
                  <w:tcW w:w="3857" w:type="pct"/>
                  <w:gridSpan w:val="4"/>
                  <w:tcBorders>
                    <w:tl2br w:val="nil"/>
                    <w:tr2bl w:val="nil"/>
                  </w:tcBorders>
                  <w:vAlign w:val="center"/>
                </w:tcPr>
                <w:p w14:paraId="74F3476B">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zh-CN"/>
                      <w14:textFill>
                        <w14:solidFill>
                          <w14:schemeClr w14:val="tx1"/>
                        </w14:solidFill>
                      </w14:textFill>
                    </w:rPr>
                    <w:t>根据《建设项目环境风险评价技术导则》（HJ169-2018）相关要求，本项目主要风险物质为</w:t>
                  </w:r>
                  <w:r>
                    <w:rPr>
                      <w:rFonts w:hint="default" w:ascii="Times New Roman" w:hAnsi="Times New Roman" w:eastAsia="宋体" w:cs="Times New Roman"/>
                      <w:color w:val="000000" w:themeColor="text1"/>
                      <w:sz w:val="21"/>
                      <w:szCs w:val="21"/>
                      <w:lang w:eastAsia="zh-CN"/>
                      <w14:textFill>
                        <w14:solidFill>
                          <w14:schemeClr w14:val="tx1"/>
                        </w14:solidFill>
                      </w14:textFill>
                    </w:rPr>
                    <w:t>废机油、液化石油气、油墨</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废机油暂存于危废暂存间，液化石油气设置有</w:t>
                  </w:r>
                  <w:r>
                    <w:rPr>
                      <w:rFonts w:hint="eastAsia" w:cs="Times New Roman"/>
                      <w:color w:val="000000" w:themeColor="text1"/>
                      <w:sz w:val="21"/>
                      <w:szCs w:val="21"/>
                      <w:lang w:eastAsia="zh-CN"/>
                      <w14:textFill>
                        <w14:solidFill>
                          <w14:schemeClr w14:val="tx1"/>
                        </w14:solidFill>
                      </w14:textFill>
                    </w:rPr>
                    <w:t>液化气瓶区</w:t>
                  </w:r>
                  <w:r>
                    <w:rPr>
                      <w:rFonts w:hint="default" w:ascii="Times New Roman" w:hAnsi="Times New Roman" w:eastAsia="宋体" w:cs="Times New Roman"/>
                      <w:color w:val="000000" w:themeColor="text1"/>
                      <w:sz w:val="21"/>
                      <w:szCs w:val="21"/>
                      <w:lang w:eastAsia="zh-CN"/>
                      <w14:textFill>
                        <w14:solidFill>
                          <w14:schemeClr w14:val="tx1"/>
                        </w14:solidFill>
                      </w14:textFill>
                    </w:rPr>
                    <w:t>，油墨为外购桶装油墨，放置于辅料库。</w:t>
                  </w:r>
                </w:p>
              </w:tc>
            </w:tr>
            <w:tr w14:paraId="4CAF92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1142" w:type="pct"/>
                  <w:tcBorders>
                    <w:tl2br w:val="nil"/>
                    <w:tr2bl w:val="nil"/>
                  </w:tcBorders>
                  <w:vAlign w:val="center"/>
                </w:tcPr>
                <w:p w14:paraId="72DF05D7">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环境影响途径及危害后果</w:t>
                  </w:r>
                </w:p>
              </w:tc>
              <w:tc>
                <w:tcPr>
                  <w:tcW w:w="3857" w:type="pct"/>
                  <w:gridSpan w:val="4"/>
                  <w:tcBorders>
                    <w:tl2br w:val="nil"/>
                    <w:tr2bl w:val="nil"/>
                  </w:tcBorders>
                  <w:vAlign w:val="center"/>
                </w:tcPr>
                <w:p w14:paraId="5BDA08D5">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风险事故主要为泄漏事故；火灾事故及导致的次生环境污染事故。</w:t>
                  </w:r>
                  <w:r>
                    <w:rPr>
                      <w:rFonts w:hint="default" w:ascii="Times New Roman" w:hAnsi="Times New Roman" w:eastAsia="宋体" w:cs="Times New Roman"/>
                      <w:color w:val="000000" w:themeColor="text1"/>
                      <w:sz w:val="21"/>
                      <w:szCs w:val="21"/>
                      <w:lang w:val="zh-CN" w:eastAsia="zh-CN"/>
                      <w14:textFill>
                        <w14:solidFill>
                          <w14:schemeClr w14:val="tx1"/>
                        </w14:solidFill>
                      </w14:textFill>
                    </w:rPr>
                    <w:t>风险物质泄漏遇明火发生火灾事故，造成人员伤亡及经济损失；火灾事故救援过程中产生的清消废水若没有及时收集，泄漏至厂区外会对周边地表水、土壤及沿途生态环境造成影响。</w:t>
                  </w:r>
                </w:p>
              </w:tc>
            </w:tr>
            <w:tr w14:paraId="2113CE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1142" w:type="pct"/>
                  <w:tcBorders>
                    <w:tl2br w:val="nil"/>
                    <w:tr2bl w:val="nil"/>
                  </w:tcBorders>
                  <w:vAlign w:val="center"/>
                </w:tcPr>
                <w:p w14:paraId="6675A4D5">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风险防范措施要求</w:t>
                  </w:r>
                </w:p>
              </w:tc>
              <w:tc>
                <w:tcPr>
                  <w:tcW w:w="3857" w:type="pct"/>
                  <w:gridSpan w:val="4"/>
                  <w:tcBorders>
                    <w:tl2br w:val="nil"/>
                    <w:tr2bl w:val="nil"/>
                  </w:tcBorders>
                  <w:vAlign w:val="center"/>
                </w:tcPr>
                <w:p w14:paraId="7213FB84">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设有1间危废暂存间，并设有废油专用收集容器，用于贮存废机油，收集后委托有资质单位处置；定期检查液化石油气储罐、桶装油墨；</w:t>
                  </w:r>
                </w:p>
                <w:p w14:paraId="61FC5387">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为减少事故发生，必须增加管理力度，提高员工技术水平和安全意识，严格按规范操作，认真落实应急预案。并加强设备检查和维修，减少故障发生，提高企业的应急能力，从而确保生产安全。</w:t>
                  </w:r>
                </w:p>
              </w:tc>
            </w:tr>
            <w:tr w14:paraId="3822EB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5000" w:type="pct"/>
                  <w:gridSpan w:val="5"/>
                  <w:tcBorders>
                    <w:tl2br w:val="nil"/>
                    <w:tr2bl w:val="nil"/>
                  </w:tcBorders>
                  <w:vAlign w:val="center"/>
                </w:tcPr>
                <w:p w14:paraId="7189B883">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填表说明（列出项目相关信息及评价说明）：本项目环境风险评价等级为简单分析，项目可能发生的事故为火灾事故，建设单位在严格执行上述预防措施后，并加强管理，严格操作，避免人为因素造成事故，可将环境风险控制在可接受的水平之内。</w:t>
                  </w:r>
                </w:p>
              </w:tc>
            </w:tr>
          </w:tbl>
          <w:p w14:paraId="5B9B779E">
            <w:pPr>
              <w:keepNext w:val="0"/>
              <w:keepLines/>
              <w:pageBreakBefore w:val="0"/>
              <w:kinsoku/>
              <w:overflowPunct/>
              <w:bidi w:val="0"/>
              <w:adjustRightInd/>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14:textFill>
                  <w14:solidFill>
                    <w14:schemeClr w14:val="tx1"/>
                  </w14:solidFill>
                </w14:textFill>
              </w:rPr>
              <w:t>、竣工环境保护验收</w:t>
            </w:r>
          </w:p>
          <w:p w14:paraId="28F9AEDD">
            <w:pPr>
              <w:keepNext w:val="0"/>
              <w:keepLines/>
              <w:pageBreakBefore w:val="0"/>
              <w:kinsoku/>
              <w:overflowPunct/>
              <w:bidi w:val="0"/>
              <w:adjustRightInd/>
              <w:spacing w:line="360" w:lineRule="auto"/>
              <w:ind w:firstLine="480" w:firstLineChars="20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环保措施应当与整合主体工程同时设计、同时施工和同时投产，环保设施按照建设项目竣工环境保护验收管理办法，工程完成后在规定时间建设单位应向当地环保部门提出申请环保设施竣工验收，同时提交竣工环境保护验收调查报告</w:t>
            </w:r>
            <w:r>
              <w:rPr>
                <w:rFonts w:hint="default" w:ascii="Times New Roman" w:hAnsi="Times New Roman" w:cs="Times New Roman"/>
                <w:color w:val="000000" w:themeColor="text1"/>
                <w:szCs w:val="24"/>
                <w14:textFill>
                  <w14:solidFill>
                    <w14:schemeClr w14:val="tx1"/>
                  </w14:solidFill>
                </w14:textFill>
              </w:rPr>
              <w:t>。</w:t>
            </w:r>
          </w:p>
          <w:p w14:paraId="09364AFE">
            <w:pPr>
              <w:pStyle w:val="19"/>
              <w:keepNext w:val="0"/>
              <w:keepLines/>
              <w:pageBreakBefore w:val="0"/>
              <w:kinsoku/>
              <w:overflowPunct/>
              <w:bidi w:val="0"/>
              <w:adjustRightInd/>
              <w:ind w:left="0" w:leftChars="0" w:firstLine="0" w:firstLineChars="0"/>
              <w:jc w:val="center"/>
              <w:rPr>
                <w:rFonts w:hint="default" w:ascii="Times New Roman" w:hAnsi="Times New Roman" w:cs="Times New Roman"/>
                <w:color w:val="000000" w:themeColor="text1"/>
                <w:kern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w:t>
            </w:r>
            <w:r>
              <w:rPr>
                <w:rFonts w:hint="default" w:ascii="Times New Roman" w:hAnsi="Times New Roman" w:cs="Times New Roman"/>
                <w:b/>
                <w:bCs/>
                <w:color w:val="000000" w:themeColor="text1"/>
                <w:sz w:val="21"/>
                <w:szCs w:val="21"/>
                <w:lang w:val="en-US" w:eastAsia="zh-CN"/>
                <w14:textFill>
                  <w14:solidFill>
                    <w14:schemeClr w14:val="tx1"/>
                  </w14:solidFill>
                </w14:textFill>
              </w:rPr>
              <w:t>23</w:t>
            </w:r>
            <w:r>
              <w:rPr>
                <w:rFonts w:hint="default" w:ascii="Times New Roman" w:hAnsi="Times New Roman" w:eastAsia="宋体" w:cs="Times New Roman"/>
                <w:b/>
                <w:bCs/>
                <w:color w:val="000000" w:themeColor="text1"/>
                <w:sz w:val="21"/>
                <w:szCs w:val="21"/>
                <w14:textFill>
                  <w14:solidFill>
                    <w14:schemeClr w14:val="tx1"/>
                  </w14:solidFill>
                </w14:textFill>
              </w:rPr>
              <w:t xml:space="preserve">  项目环保设施竣工验收一览表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03"/>
              <w:gridCol w:w="4543"/>
              <w:gridCol w:w="2195"/>
            </w:tblGrid>
            <w:tr w14:paraId="1F667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64" w:type="pct"/>
                  <w:vMerge w:val="restart"/>
                  <w:vAlign w:val="center"/>
                </w:tcPr>
                <w:p w14:paraId="58F40D51">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 w:val="0"/>
                      <w:bCs/>
                      <w:color w:val="000000" w:themeColor="text1"/>
                      <w:szCs w:val="21"/>
                      <w14:textFill>
                        <w14:solidFill>
                          <w14:schemeClr w14:val="tx1"/>
                        </w14:solidFill>
                      </w14:textFill>
                    </w:rPr>
                  </w:pPr>
                  <w:r>
                    <w:rPr>
                      <w:rFonts w:hint="default" w:ascii="Times New Roman" w:hAnsi="Times New Roman" w:cs="Times New Roman"/>
                      <w:b w:val="0"/>
                      <w:bCs/>
                      <w:color w:val="000000" w:themeColor="text1"/>
                      <w:szCs w:val="21"/>
                      <w14:textFill>
                        <w14:solidFill>
                          <w14:schemeClr w14:val="tx1"/>
                        </w14:solidFill>
                      </w14:textFill>
                    </w:rPr>
                    <w:t>项目名称</w:t>
                  </w:r>
                </w:p>
              </w:tc>
              <w:tc>
                <w:tcPr>
                  <w:tcW w:w="560" w:type="pct"/>
                  <w:vMerge w:val="restart"/>
                  <w:vAlign w:val="center"/>
                </w:tcPr>
                <w:p w14:paraId="40C8C1E0">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 w:val="0"/>
                      <w:bCs/>
                      <w:color w:val="000000" w:themeColor="text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验收对象</w:t>
                  </w:r>
                </w:p>
              </w:tc>
              <w:tc>
                <w:tcPr>
                  <w:tcW w:w="2815" w:type="pct"/>
                  <w:vMerge w:val="restart"/>
                  <w:vAlign w:val="center"/>
                </w:tcPr>
                <w:p w14:paraId="6E2C504C">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 w:val="0"/>
                      <w:bCs/>
                      <w:color w:val="000000" w:themeColor="text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治理措施</w:t>
                  </w:r>
                </w:p>
              </w:tc>
              <w:tc>
                <w:tcPr>
                  <w:tcW w:w="1359" w:type="pct"/>
                  <w:vMerge w:val="restart"/>
                  <w:vAlign w:val="center"/>
                </w:tcPr>
                <w:p w14:paraId="06F37566">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 w:val="0"/>
                      <w:bCs/>
                      <w:color w:val="000000" w:themeColor="text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验收标准</w:t>
                  </w:r>
                </w:p>
              </w:tc>
            </w:tr>
            <w:tr w14:paraId="0C5A0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64" w:type="pct"/>
                  <w:vMerge w:val="continue"/>
                  <w:vAlign w:val="center"/>
                </w:tcPr>
                <w:p w14:paraId="0B638CCE">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 w:val="0"/>
                      <w:bCs/>
                      <w:color w:val="000000" w:themeColor="text1"/>
                      <w:szCs w:val="21"/>
                      <w14:textFill>
                        <w14:solidFill>
                          <w14:schemeClr w14:val="tx1"/>
                        </w14:solidFill>
                      </w14:textFill>
                    </w:rPr>
                  </w:pPr>
                </w:p>
              </w:tc>
              <w:tc>
                <w:tcPr>
                  <w:tcW w:w="560" w:type="pct"/>
                  <w:vMerge w:val="continue"/>
                  <w:vAlign w:val="center"/>
                </w:tcPr>
                <w:p w14:paraId="4FAC1F9C">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 w:val="0"/>
                      <w:bCs/>
                      <w:color w:val="000000" w:themeColor="text1"/>
                      <w:szCs w:val="21"/>
                      <w14:textFill>
                        <w14:solidFill>
                          <w14:schemeClr w14:val="tx1"/>
                        </w14:solidFill>
                      </w14:textFill>
                    </w:rPr>
                  </w:pPr>
                </w:p>
              </w:tc>
              <w:tc>
                <w:tcPr>
                  <w:tcW w:w="2815" w:type="pct"/>
                  <w:vMerge w:val="continue"/>
                  <w:vAlign w:val="center"/>
                </w:tcPr>
                <w:p w14:paraId="1BB6611A">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 w:val="0"/>
                      <w:bCs/>
                      <w:color w:val="000000" w:themeColor="text1"/>
                      <w:szCs w:val="21"/>
                      <w14:textFill>
                        <w14:solidFill>
                          <w14:schemeClr w14:val="tx1"/>
                        </w14:solidFill>
                      </w14:textFill>
                    </w:rPr>
                  </w:pPr>
                </w:p>
              </w:tc>
              <w:tc>
                <w:tcPr>
                  <w:tcW w:w="1359" w:type="pct"/>
                  <w:vMerge w:val="continue"/>
                  <w:vAlign w:val="center"/>
                </w:tcPr>
                <w:p w14:paraId="0981D173">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 w:val="0"/>
                      <w:bCs/>
                      <w:color w:val="000000" w:themeColor="text1"/>
                      <w:szCs w:val="21"/>
                      <w14:textFill>
                        <w14:solidFill>
                          <w14:schemeClr w14:val="tx1"/>
                        </w14:solidFill>
                      </w14:textFill>
                    </w:rPr>
                  </w:pPr>
                </w:p>
              </w:tc>
            </w:tr>
            <w:tr w14:paraId="28BFE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4" w:type="pct"/>
                  <w:vMerge w:val="restart"/>
                  <w:vAlign w:val="center"/>
                </w:tcPr>
                <w:p w14:paraId="2F5782AA">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 w:val="0"/>
                      <w:bCs/>
                      <w:color w:val="000000" w:themeColor="text1"/>
                      <w:szCs w:val="21"/>
                      <w14:textFill>
                        <w14:solidFill>
                          <w14:schemeClr w14:val="tx1"/>
                        </w14:solidFill>
                      </w14:textFill>
                    </w:rPr>
                  </w:pPr>
                  <w:r>
                    <w:rPr>
                      <w:rFonts w:hint="default" w:ascii="Times New Roman" w:hAnsi="Times New Roman" w:cs="Times New Roman"/>
                      <w:b w:val="0"/>
                      <w:bCs/>
                      <w:color w:val="000000" w:themeColor="text1"/>
                      <w:szCs w:val="21"/>
                      <w14:textFill>
                        <w14:solidFill>
                          <w14:schemeClr w14:val="tx1"/>
                        </w14:solidFill>
                      </w14:textFill>
                    </w:rPr>
                    <w:t>废气</w:t>
                  </w:r>
                </w:p>
              </w:tc>
              <w:tc>
                <w:tcPr>
                  <w:tcW w:w="560" w:type="pct"/>
                  <w:tcBorders>
                    <w:bottom w:val="single" w:color="auto" w:sz="4" w:space="0"/>
                  </w:tcBorders>
                  <w:vAlign w:val="center"/>
                </w:tcPr>
                <w:p w14:paraId="41887B66">
                  <w:pPr>
                    <w:pStyle w:val="124"/>
                    <w:pageBreakBefore w:val="0"/>
                    <w:kinsoku/>
                    <w:overflowPunct/>
                    <w:topLinePunct w:val="0"/>
                    <w:bidi w:val="0"/>
                    <w:ind w:left="0" w:leftChars="0" w:right="0" w:rightChars="0" w:firstLine="0" w:firstLineChars="0"/>
                    <w:rPr>
                      <w:rFonts w:hint="default" w:ascii="Times New Roman" w:hAnsi="Times New Roman" w:cs="Times New Roman"/>
                      <w:b w:val="0"/>
                      <w:bCs/>
                      <w:color w:val="000000" w:themeColor="text1"/>
                      <w:lang w:val="en-US" w:eastAsia="zh-CN"/>
                      <w14:textFill>
                        <w14:solidFill>
                          <w14:schemeClr w14:val="tx1"/>
                        </w14:solidFill>
                      </w14:textFill>
                    </w:rPr>
                  </w:pPr>
                  <w:r>
                    <w:rPr>
                      <w:rFonts w:hint="default" w:ascii="Times New Roman" w:hAnsi="Times New Roman" w:cs="Times New Roman"/>
                      <w:b w:val="0"/>
                      <w:bCs/>
                      <w:color w:val="000000" w:themeColor="text1"/>
                      <w:lang w:val="en-US" w:eastAsia="zh-CN"/>
                      <w14:textFill>
                        <w14:solidFill>
                          <w14:schemeClr w14:val="tx1"/>
                        </w14:solidFill>
                      </w14:textFill>
                    </w:rPr>
                    <w:t>焚烧炉燃烧废气</w:t>
                  </w:r>
                </w:p>
              </w:tc>
              <w:tc>
                <w:tcPr>
                  <w:tcW w:w="2815" w:type="pct"/>
                  <w:tcBorders>
                    <w:bottom w:val="single" w:color="auto" w:sz="4" w:space="0"/>
                  </w:tcBorders>
                  <w:vAlign w:val="center"/>
                </w:tcPr>
                <w:p w14:paraId="53C4BC83">
                  <w:pPr>
                    <w:pStyle w:val="124"/>
                    <w:pageBreakBefore w:val="0"/>
                    <w:kinsoku/>
                    <w:overflowPunct/>
                    <w:topLinePunct w:val="0"/>
                    <w:bidi w:val="0"/>
                    <w:ind w:left="0" w:leftChars="0" w:right="0" w:rightChars="0" w:firstLine="0" w:firstLineChars="0"/>
                    <w:rPr>
                      <w:rFonts w:hint="default" w:ascii="Times New Roman" w:hAnsi="Times New Roman" w:eastAsia="宋体" w:cs="Times New Roman"/>
                      <w:b w:val="0"/>
                      <w:bCs/>
                      <w:color w:val="000000" w:themeColor="text1"/>
                      <w:kern w:val="24"/>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焚烧炉燃烧废气经收集后进入一套“旋风+布袋+喷淋”设施处理后通过1根15m高排气筒DA001排放。</w:t>
                  </w:r>
                </w:p>
              </w:tc>
              <w:tc>
                <w:tcPr>
                  <w:tcW w:w="1359" w:type="pct"/>
                  <w:vMerge w:val="restart"/>
                  <w:vAlign w:val="center"/>
                </w:tcPr>
                <w:p w14:paraId="1BAE3EA7">
                  <w:pPr>
                    <w:pStyle w:val="124"/>
                    <w:pageBreakBefore w:val="0"/>
                    <w:kinsoku/>
                    <w:overflowPunct/>
                    <w:topLinePunct w:val="0"/>
                    <w:bidi w:val="0"/>
                    <w:ind w:left="0" w:leftChars="0" w:right="0" w:firstLine="0" w:firstLineChars="0"/>
                    <w:rPr>
                      <w:rFonts w:hint="default" w:ascii="Times New Roman" w:hAnsi="Times New Roman" w:eastAsia="宋体" w:cs="Times New Roman"/>
                      <w:b w:val="0"/>
                      <w:bCs/>
                      <w:color w:val="000000" w:themeColor="text1"/>
                      <w:kern w:val="24"/>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颗粒物、二氧化硫</w:t>
                  </w:r>
                  <w:r>
                    <w:rPr>
                      <w:rFonts w:hint="eastAsia" w:ascii="Times New Roman" w:hAnsi="Times New Roman" w:eastAsia="宋体" w:cs="Times New Roman"/>
                      <w:b w:val="0"/>
                      <w:bCs/>
                      <w:color w:val="000000" w:themeColor="text1"/>
                      <w:kern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烟气黑度参照执行《工业炉窑大气污染物排放标准》（GB9078－1996）</w:t>
                  </w:r>
                  <w:r>
                    <w:rPr>
                      <w:rFonts w:hint="eastAsia" w:cs="Times New Roman"/>
                      <w:b w:val="0"/>
                      <w:bCs/>
                      <w:color w:val="000000" w:themeColor="text1"/>
                      <w:kern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NOx、非甲烷总烃</w:t>
                  </w:r>
                  <w:r>
                    <w:rPr>
                      <w:rFonts w:hint="default" w:ascii="Times New Roman" w:hAnsi="Times New Roman" w:cs="Times New Roman"/>
                      <w:b w:val="0"/>
                      <w:bCs/>
                      <w:color w:val="000000" w:themeColor="text1"/>
                      <w:kern w:val="24"/>
                      <w:lang w:val="en-US" w:eastAsia="zh-CN"/>
                      <w14:textFill>
                        <w14:solidFill>
                          <w14:schemeClr w14:val="tx1"/>
                        </w14:solidFill>
                      </w14:textFill>
                    </w:rPr>
                    <w:t>参照执行</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《大气污染物综合排放标准》（GB16297-1996）表2标准。</w:t>
                  </w:r>
                </w:p>
              </w:tc>
            </w:tr>
            <w:tr w14:paraId="67D08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4" w:type="pct"/>
                  <w:vMerge w:val="continue"/>
                  <w:vAlign w:val="center"/>
                </w:tcPr>
                <w:p w14:paraId="64E81A0D">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 w:val="0"/>
                      <w:bCs/>
                      <w:color w:val="000000" w:themeColor="text1"/>
                      <w:szCs w:val="21"/>
                      <w14:textFill>
                        <w14:solidFill>
                          <w14:schemeClr w14:val="tx1"/>
                        </w14:solidFill>
                      </w14:textFill>
                    </w:rPr>
                  </w:pPr>
                </w:p>
              </w:tc>
              <w:tc>
                <w:tcPr>
                  <w:tcW w:w="560" w:type="pct"/>
                  <w:tcBorders>
                    <w:bottom w:val="single" w:color="auto" w:sz="4" w:space="0"/>
                  </w:tcBorders>
                  <w:vAlign w:val="center"/>
                </w:tcPr>
                <w:p w14:paraId="7E56810F">
                  <w:pPr>
                    <w:pStyle w:val="124"/>
                    <w:pageBreakBefore w:val="0"/>
                    <w:kinsoku/>
                    <w:overflowPunct/>
                    <w:topLinePunct w:val="0"/>
                    <w:bidi w:val="0"/>
                    <w:ind w:left="0" w:leftChars="0" w:right="0" w:rightChars="0" w:firstLine="0" w:firstLineChars="0"/>
                    <w:rPr>
                      <w:rFonts w:hint="default" w:ascii="Times New Roman" w:hAnsi="Times New Roman" w:cs="Times New Roman"/>
                      <w:b w:val="0"/>
                      <w:bCs/>
                      <w:color w:val="000000" w:themeColor="text1"/>
                      <w:szCs w:val="21"/>
                      <w:lang w:val="en-US" w:eastAsia="zh-CN"/>
                      <w14:textFill>
                        <w14:solidFill>
                          <w14:schemeClr w14:val="tx1"/>
                        </w14:solidFill>
                      </w14:textFill>
                    </w:rPr>
                  </w:pPr>
                  <w:r>
                    <w:rPr>
                      <w:rFonts w:hint="eastAsia" w:cs="Times New Roman"/>
                      <w:b w:val="0"/>
                      <w:bCs/>
                      <w:color w:val="000000" w:themeColor="text1"/>
                      <w:lang w:val="en-US" w:eastAsia="zh-CN"/>
                      <w14:textFill>
                        <w14:solidFill>
                          <w14:schemeClr w14:val="tx1"/>
                        </w14:solidFill>
                      </w14:textFill>
                    </w:rPr>
                    <w:t>烘干</w:t>
                  </w:r>
                  <w:r>
                    <w:rPr>
                      <w:rFonts w:hint="default" w:ascii="Times New Roman" w:hAnsi="Times New Roman" w:cs="Times New Roman"/>
                      <w:b w:val="0"/>
                      <w:bCs/>
                      <w:color w:val="000000" w:themeColor="text1"/>
                      <w:lang w:val="en-US" w:eastAsia="zh-CN"/>
                      <w14:textFill>
                        <w14:solidFill>
                          <w14:schemeClr w14:val="tx1"/>
                        </w14:solidFill>
                      </w14:textFill>
                    </w:rPr>
                    <w:t>固化</w:t>
                  </w:r>
                  <w:r>
                    <w:rPr>
                      <w:rFonts w:hint="default" w:ascii="Times New Roman" w:hAnsi="Times New Roman" w:cs="Times New Roman"/>
                      <w:b w:val="0"/>
                      <w:bCs/>
                      <w:color w:val="000000" w:themeColor="text1"/>
                      <w:szCs w:val="21"/>
                      <w:lang w:val="en-US" w:eastAsia="zh-CN"/>
                      <w14:textFill>
                        <w14:solidFill>
                          <w14:schemeClr w14:val="tx1"/>
                        </w14:solidFill>
                      </w14:textFill>
                    </w:rPr>
                    <w:t>废气</w:t>
                  </w:r>
                </w:p>
              </w:tc>
              <w:tc>
                <w:tcPr>
                  <w:tcW w:w="2815" w:type="pct"/>
                  <w:tcBorders>
                    <w:bottom w:val="single" w:color="auto" w:sz="4" w:space="0"/>
                  </w:tcBorders>
                  <w:vAlign w:val="center"/>
                </w:tcPr>
                <w:p w14:paraId="21EEB82F">
                  <w:pPr>
                    <w:pageBreakBefore w:val="0"/>
                    <w:kinsoku/>
                    <w:overflowPunct/>
                    <w:topLinePunct w:val="0"/>
                    <w:bidi w:val="0"/>
                    <w:adjustRightInd w:val="0"/>
                    <w:snapToGrid w:val="0"/>
                    <w:spacing w:line="0" w:lineRule="atLeast"/>
                    <w:ind w:left="0" w:leftChars="0" w:right="0" w:rightChars="0"/>
                    <w:jc w:val="center"/>
                    <w:rPr>
                      <w:rFonts w:hint="default" w:ascii="Times New Roman" w:hAnsi="Times New Roman" w:eastAsia="宋体" w:cs="Times New Roman"/>
                      <w:b w:val="0"/>
                      <w:bCs/>
                      <w:color w:val="000000" w:themeColor="text1"/>
                      <w:kern w:val="24"/>
                      <w:lang w:val="en-US" w:eastAsia="zh-CN"/>
                      <w14:textFill>
                        <w14:solidFill>
                          <w14:schemeClr w14:val="tx1"/>
                        </w14:solidFill>
                      </w14:textFill>
                    </w:rPr>
                  </w:pPr>
                  <w:r>
                    <w:rPr>
                      <w:rFonts w:hint="eastAsia" w:cs="Times New Roman"/>
                      <w:b w:val="0"/>
                      <w:bCs/>
                      <w:color w:val="000000" w:themeColor="text1"/>
                      <w:kern w:val="24"/>
                      <w:lang w:val="en-US" w:eastAsia="zh-CN"/>
                      <w14:textFill>
                        <w14:solidFill>
                          <w14:schemeClr w14:val="tx1"/>
                        </w14:solidFill>
                      </w14:textFill>
                    </w:rPr>
                    <w:t>烘干固化废气包含液化气燃烧废气、钢瓶烘干废气；烘干固化废气引入焚烧炉通过热力焚烧后同焚烧废气进入废气处理系统处理后一同并入排气筒DA001一同排放。</w:t>
                  </w:r>
                </w:p>
              </w:tc>
              <w:tc>
                <w:tcPr>
                  <w:tcW w:w="1359" w:type="pct"/>
                  <w:vMerge w:val="continue"/>
                  <w:vAlign w:val="center"/>
                </w:tcPr>
                <w:p w14:paraId="5FF76594">
                  <w:pPr>
                    <w:pStyle w:val="124"/>
                    <w:pageBreakBefore w:val="0"/>
                    <w:kinsoku/>
                    <w:overflowPunct/>
                    <w:topLinePunct w:val="0"/>
                    <w:bidi w:val="0"/>
                    <w:ind w:left="0" w:leftChars="0" w:right="0" w:firstLine="0" w:firstLineChars="0"/>
                    <w:rPr>
                      <w:rFonts w:hint="default" w:ascii="Times New Roman" w:hAnsi="Times New Roman" w:eastAsia="宋体" w:cs="Times New Roman"/>
                      <w:b w:val="0"/>
                      <w:bCs/>
                      <w:color w:val="000000" w:themeColor="text1"/>
                      <w:kern w:val="24"/>
                      <w:lang w:val="en-US" w:eastAsia="zh-CN"/>
                      <w14:textFill>
                        <w14:solidFill>
                          <w14:schemeClr w14:val="tx1"/>
                        </w14:solidFill>
                      </w14:textFill>
                    </w:rPr>
                  </w:pPr>
                </w:p>
              </w:tc>
            </w:tr>
            <w:tr w14:paraId="74039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4" w:type="pct"/>
                  <w:vMerge w:val="continue"/>
                  <w:vAlign w:val="center"/>
                </w:tcPr>
                <w:p w14:paraId="13FED00D">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 w:val="0"/>
                      <w:bCs/>
                      <w:color w:val="000000" w:themeColor="text1"/>
                      <w:szCs w:val="21"/>
                      <w14:textFill>
                        <w14:solidFill>
                          <w14:schemeClr w14:val="tx1"/>
                        </w14:solidFill>
                      </w14:textFill>
                    </w:rPr>
                  </w:pPr>
                </w:p>
              </w:tc>
              <w:tc>
                <w:tcPr>
                  <w:tcW w:w="560" w:type="pct"/>
                  <w:tcBorders>
                    <w:bottom w:val="single" w:color="auto" w:sz="4" w:space="0"/>
                  </w:tcBorders>
                  <w:vAlign w:val="center"/>
                </w:tcPr>
                <w:p w14:paraId="19161BC6">
                  <w:pPr>
                    <w:pStyle w:val="124"/>
                    <w:pageBreakBefore w:val="0"/>
                    <w:kinsoku/>
                    <w:overflowPunct/>
                    <w:topLinePunct w:val="0"/>
                    <w:bidi w:val="0"/>
                    <w:ind w:left="0" w:leftChars="0" w:right="0" w:rightChars="0" w:firstLine="0" w:firstLineChars="0"/>
                    <w:rPr>
                      <w:rFonts w:hint="default" w:ascii="Times New Roman" w:hAnsi="Times New Roman" w:cs="Times New Roman"/>
                      <w:b w:val="0"/>
                      <w:bCs/>
                      <w:color w:val="000000" w:themeColor="text1"/>
                      <w:szCs w:val="21"/>
                      <w:lang w:val="en-US" w:eastAsia="zh-CN"/>
                      <w14:textFill>
                        <w14:solidFill>
                          <w14:schemeClr w14:val="tx1"/>
                        </w14:solidFill>
                      </w14:textFill>
                    </w:rPr>
                  </w:pPr>
                  <w:r>
                    <w:rPr>
                      <w:rFonts w:hint="default" w:ascii="Times New Roman" w:hAnsi="Times New Roman" w:cs="Times New Roman"/>
                      <w:b w:val="0"/>
                      <w:bCs/>
                      <w:color w:val="000000" w:themeColor="text1"/>
                      <w:szCs w:val="21"/>
                      <w:lang w:val="en-US" w:eastAsia="zh-CN"/>
                      <w14:textFill>
                        <w14:solidFill>
                          <w14:schemeClr w14:val="tx1"/>
                        </w14:solidFill>
                      </w14:textFill>
                    </w:rPr>
                    <w:t>抛丸除锈废气</w:t>
                  </w:r>
                </w:p>
              </w:tc>
              <w:tc>
                <w:tcPr>
                  <w:tcW w:w="2815" w:type="pct"/>
                  <w:tcBorders>
                    <w:bottom w:val="single" w:color="auto" w:sz="4" w:space="0"/>
                  </w:tcBorders>
                  <w:vAlign w:val="center"/>
                </w:tcPr>
                <w:p w14:paraId="33FF0146">
                  <w:pPr>
                    <w:pStyle w:val="124"/>
                    <w:pageBreakBefore w:val="0"/>
                    <w:kinsoku/>
                    <w:overflowPunct/>
                    <w:topLinePunct w:val="0"/>
                    <w:bidi w:val="0"/>
                    <w:ind w:left="0" w:leftChars="0" w:right="0" w:rightChars="0" w:firstLine="0" w:firstLineChars="0"/>
                    <w:rPr>
                      <w:rFonts w:hint="default" w:ascii="Times New Roman" w:hAnsi="Times New Roman" w:eastAsia="宋体" w:cs="Times New Roman"/>
                      <w:b w:val="0"/>
                      <w:bCs/>
                      <w:color w:val="000000" w:themeColor="text1"/>
                      <w:kern w:val="24"/>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抛丸除锈废气经</w:t>
                  </w:r>
                  <w:r>
                    <w:rPr>
                      <w:rFonts w:hint="default" w:ascii="Times New Roman" w:hAnsi="Times New Roman" w:cs="Times New Roman"/>
                      <w:b w:val="0"/>
                      <w:bCs/>
                      <w:color w:val="000000" w:themeColor="text1"/>
                      <w:kern w:val="24"/>
                      <w:lang w:val="en-US" w:eastAsia="zh-CN"/>
                      <w14:textFill>
                        <w14:solidFill>
                          <w14:schemeClr w14:val="tx1"/>
                        </w14:solidFill>
                      </w14:textFill>
                    </w:rPr>
                    <w:t>设置的1套</w:t>
                  </w:r>
                  <w:r>
                    <w:rPr>
                      <w:rFonts w:hint="eastAsia" w:cs="Times New Roman"/>
                      <w:b w:val="0"/>
                      <w:bCs/>
                      <w:color w:val="000000" w:themeColor="text1"/>
                      <w:kern w:val="24"/>
                      <w:lang w:val="en-US" w:eastAsia="zh-CN"/>
                      <w14:textFill>
                        <w14:solidFill>
                          <w14:schemeClr w14:val="tx1"/>
                        </w14:solidFill>
                      </w14:textFill>
                    </w:rPr>
                    <w:t>抛丸除锈</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脉冲滤筒除尘器处理后并入排气筒DA00</w:t>
                  </w:r>
                  <w:r>
                    <w:rPr>
                      <w:rFonts w:hint="default" w:ascii="Times New Roman" w:hAnsi="Times New Roman" w:cs="Times New Roman"/>
                      <w:b w:val="0"/>
                      <w:bCs/>
                      <w:color w:val="000000" w:themeColor="text1"/>
                      <w:kern w:val="24"/>
                      <w:lang w:val="en-US" w:eastAsia="zh-CN"/>
                      <w14:textFill>
                        <w14:solidFill>
                          <w14:schemeClr w14:val="tx1"/>
                        </w14:solidFill>
                      </w14:textFill>
                    </w:rPr>
                    <w:t>2</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一同排放</w:t>
                  </w:r>
                </w:p>
              </w:tc>
              <w:tc>
                <w:tcPr>
                  <w:tcW w:w="1359" w:type="pct"/>
                  <w:vMerge w:val="restart"/>
                  <w:vAlign w:val="center"/>
                </w:tcPr>
                <w:p w14:paraId="63F0553B">
                  <w:pPr>
                    <w:pStyle w:val="124"/>
                    <w:pageBreakBefore w:val="0"/>
                    <w:kinsoku/>
                    <w:overflowPunct/>
                    <w:topLinePunct w:val="0"/>
                    <w:bidi w:val="0"/>
                    <w:ind w:left="0" w:leftChars="0" w:right="0" w:firstLine="0" w:firstLineChars="0"/>
                    <w:rPr>
                      <w:rFonts w:hint="default" w:ascii="Times New Roman" w:hAnsi="Times New Roman" w:eastAsia="宋体" w:cs="Times New Roman"/>
                      <w:b w:val="0"/>
                      <w:bCs/>
                      <w:color w:val="000000" w:themeColor="text1"/>
                      <w:kern w:val="24"/>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颗粒物</w:t>
                  </w:r>
                  <w:r>
                    <w:rPr>
                      <w:rFonts w:hint="default" w:ascii="Times New Roman" w:hAnsi="Times New Roman" w:cs="Times New Roman"/>
                      <w:b w:val="0"/>
                      <w:bCs/>
                      <w:color w:val="000000" w:themeColor="text1"/>
                      <w:kern w:val="24"/>
                      <w:lang w:val="en-US" w:eastAsia="zh-CN"/>
                      <w14:textFill>
                        <w14:solidFill>
                          <w14:schemeClr w14:val="tx1"/>
                        </w14:solidFill>
                      </w14:textFill>
                    </w:rPr>
                    <w:t>执行</w:t>
                  </w:r>
                  <w:r>
                    <w:rPr>
                      <w:rFonts w:hint="default" w:ascii="Times New Roman" w:hAnsi="Times New Roman" w:eastAsia="宋体" w:cs="Times New Roman"/>
                      <w:color w:val="000000" w:themeColor="text1"/>
                      <w:lang w:val="en-US" w:eastAsia="zh-CN"/>
                      <w14:textFill>
                        <w14:solidFill>
                          <w14:schemeClr w14:val="tx1"/>
                        </w14:solidFill>
                      </w14:textFill>
                    </w:rPr>
                    <w:t>《大气污染物综合排放标准》（GB16297-1996）</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表2标准</w:t>
                  </w:r>
                </w:p>
              </w:tc>
            </w:tr>
            <w:tr w14:paraId="31109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4" w:type="pct"/>
                  <w:vMerge w:val="continue"/>
                  <w:vAlign w:val="center"/>
                </w:tcPr>
                <w:p w14:paraId="43E524B3">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 w:val="0"/>
                      <w:bCs/>
                      <w:color w:val="000000" w:themeColor="text1"/>
                      <w:szCs w:val="21"/>
                      <w14:textFill>
                        <w14:solidFill>
                          <w14:schemeClr w14:val="tx1"/>
                        </w14:solidFill>
                      </w14:textFill>
                    </w:rPr>
                  </w:pPr>
                </w:p>
              </w:tc>
              <w:tc>
                <w:tcPr>
                  <w:tcW w:w="560" w:type="pct"/>
                  <w:tcBorders>
                    <w:bottom w:val="single" w:color="auto" w:sz="4" w:space="0"/>
                  </w:tcBorders>
                  <w:vAlign w:val="center"/>
                </w:tcPr>
                <w:p w14:paraId="4AAA4BC2">
                  <w:pPr>
                    <w:pStyle w:val="124"/>
                    <w:pageBreakBefore w:val="0"/>
                    <w:kinsoku/>
                    <w:overflowPunct/>
                    <w:topLinePunct w:val="0"/>
                    <w:bidi w:val="0"/>
                    <w:ind w:left="0" w:leftChars="0" w:right="0" w:rightChars="0" w:firstLine="0" w:firstLineChars="0"/>
                    <w:rPr>
                      <w:rFonts w:hint="default" w:ascii="Times New Roman" w:hAnsi="Times New Roman" w:cs="Times New Roman"/>
                      <w:b w:val="0"/>
                      <w:bCs/>
                      <w:color w:val="000000" w:themeColor="text1"/>
                      <w:szCs w:val="21"/>
                      <w:lang w:val="en-US" w:eastAsia="zh-CN"/>
                      <w14:textFill>
                        <w14:solidFill>
                          <w14:schemeClr w14:val="tx1"/>
                        </w14:solidFill>
                      </w14:textFill>
                    </w:rPr>
                  </w:pPr>
                  <w:r>
                    <w:rPr>
                      <w:rFonts w:hint="default" w:ascii="Times New Roman" w:hAnsi="Times New Roman" w:cs="Times New Roman"/>
                      <w:b w:val="0"/>
                      <w:bCs/>
                      <w:color w:val="000000" w:themeColor="text1"/>
                      <w:szCs w:val="21"/>
                      <w:lang w:val="en-US" w:eastAsia="zh-CN"/>
                      <w14:textFill>
                        <w14:solidFill>
                          <w14:schemeClr w14:val="tx1"/>
                        </w14:solidFill>
                      </w14:textFill>
                    </w:rPr>
                    <w:t>喷塑废气</w:t>
                  </w:r>
                </w:p>
              </w:tc>
              <w:tc>
                <w:tcPr>
                  <w:tcW w:w="2815" w:type="pct"/>
                  <w:tcBorders>
                    <w:bottom w:val="single" w:color="auto" w:sz="4" w:space="0"/>
                  </w:tcBorders>
                  <w:vAlign w:val="center"/>
                </w:tcPr>
                <w:p w14:paraId="61BEF5B4">
                  <w:pPr>
                    <w:pStyle w:val="124"/>
                    <w:pageBreakBefore w:val="0"/>
                    <w:kinsoku/>
                    <w:overflowPunct/>
                    <w:topLinePunct w:val="0"/>
                    <w:bidi w:val="0"/>
                    <w:ind w:left="0" w:leftChars="0" w:right="0" w:rightChars="0" w:firstLine="0" w:firstLineChars="0"/>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喷塑废气经</w:t>
                  </w:r>
                  <w:r>
                    <w:rPr>
                      <w:rFonts w:hint="default" w:ascii="Times New Roman" w:hAnsi="Times New Roman" w:cs="Times New Roman"/>
                      <w:b w:val="0"/>
                      <w:bCs/>
                      <w:color w:val="000000" w:themeColor="text1"/>
                      <w:kern w:val="24"/>
                      <w:lang w:val="en-US" w:eastAsia="zh-CN"/>
                      <w14:textFill>
                        <w14:solidFill>
                          <w14:schemeClr w14:val="tx1"/>
                        </w14:solidFill>
                      </w14:textFill>
                    </w:rPr>
                    <w:t>设置的1套</w:t>
                  </w:r>
                  <w:r>
                    <w:rPr>
                      <w:rFonts w:hint="eastAsia" w:cs="Times New Roman"/>
                      <w:b w:val="0"/>
                      <w:bCs/>
                      <w:color w:val="000000" w:themeColor="text1"/>
                      <w:kern w:val="24"/>
                      <w:lang w:val="en-US" w:eastAsia="zh-CN"/>
                      <w14:textFill>
                        <w14:solidFill>
                          <w14:schemeClr w14:val="tx1"/>
                        </w14:solidFill>
                      </w14:textFill>
                    </w:rPr>
                    <w:t>喷塑</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脉冲滤筒除尘器处理后并入排气筒DA00</w:t>
                  </w:r>
                  <w:r>
                    <w:rPr>
                      <w:rFonts w:hint="default" w:ascii="Times New Roman" w:hAnsi="Times New Roman" w:cs="Times New Roman"/>
                      <w:b w:val="0"/>
                      <w:bCs/>
                      <w:color w:val="000000" w:themeColor="text1"/>
                      <w:kern w:val="24"/>
                      <w:lang w:val="en-US" w:eastAsia="zh-CN"/>
                      <w14:textFill>
                        <w14:solidFill>
                          <w14:schemeClr w14:val="tx1"/>
                        </w14:solidFill>
                      </w14:textFill>
                    </w:rPr>
                    <w:t>2</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一同排放</w:t>
                  </w:r>
                </w:p>
              </w:tc>
              <w:tc>
                <w:tcPr>
                  <w:tcW w:w="1359" w:type="pct"/>
                  <w:vMerge w:val="continue"/>
                  <w:vAlign w:val="center"/>
                </w:tcPr>
                <w:p w14:paraId="2D93D6E2">
                  <w:pPr>
                    <w:pStyle w:val="124"/>
                    <w:pageBreakBefore w:val="0"/>
                    <w:kinsoku/>
                    <w:overflowPunct/>
                    <w:topLinePunct w:val="0"/>
                    <w:bidi w:val="0"/>
                    <w:ind w:left="0" w:leftChars="0" w:right="0" w:firstLine="0" w:firstLineChars="0"/>
                    <w:rPr>
                      <w:rFonts w:hint="default" w:ascii="Times New Roman" w:hAnsi="Times New Roman" w:eastAsia="宋体" w:cs="Times New Roman"/>
                      <w:b w:val="0"/>
                      <w:bCs/>
                      <w:color w:val="000000" w:themeColor="text1"/>
                      <w:kern w:val="24"/>
                      <w:lang w:val="en-US" w:eastAsia="zh-CN"/>
                      <w14:textFill>
                        <w14:solidFill>
                          <w14:schemeClr w14:val="tx1"/>
                        </w14:solidFill>
                      </w14:textFill>
                    </w:rPr>
                  </w:pPr>
                </w:p>
              </w:tc>
            </w:tr>
            <w:tr w14:paraId="4B8EF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4" w:type="pct"/>
                  <w:vMerge w:val="continue"/>
                  <w:vAlign w:val="center"/>
                </w:tcPr>
                <w:p w14:paraId="36E10A28">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 w:val="0"/>
                      <w:bCs/>
                      <w:color w:val="000000" w:themeColor="text1"/>
                      <w:szCs w:val="21"/>
                      <w14:textFill>
                        <w14:solidFill>
                          <w14:schemeClr w14:val="tx1"/>
                        </w14:solidFill>
                      </w14:textFill>
                    </w:rPr>
                  </w:pPr>
                </w:p>
              </w:tc>
              <w:tc>
                <w:tcPr>
                  <w:tcW w:w="560" w:type="pct"/>
                  <w:tcBorders>
                    <w:bottom w:val="single" w:color="auto" w:sz="4" w:space="0"/>
                  </w:tcBorders>
                  <w:vAlign w:val="center"/>
                </w:tcPr>
                <w:p w14:paraId="0AFC90BB">
                  <w:pPr>
                    <w:pStyle w:val="124"/>
                    <w:pageBreakBefore w:val="0"/>
                    <w:kinsoku/>
                    <w:overflowPunct/>
                    <w:topLinePunct w:val="0"/>
                    <w:bidi w:val="0"/>
                    <w:ind w:left="0" w:leftChars="0" w:right="0" w:firstLine="0" w:firstLineChars="0"/>
                    <w:rPr>
                      <w:rFonts w:hint="default" w:ascii="Times New Roman" w:hAnsi="Times New Roman" w:cs="Times New Roman"/>
                      <w:b w:val="0"/>
                      <w:bCs/>
                      <w:color w:val="000000" w:themeColor="text1"/>
                      <w:szCs w:val="21"/>
                      <w:lang w:val="en-US" w:eastAsia="zh-CN"/>
                      <w14:textFill>
                        <w14:solidFill>
                          <w14:schemeClr w14:val="tx1"/>
                        </w14:solidFill>
                      </w14:textFill>
                    </w:rPr>
                  </w:pPr>
                  <w:r>
                    <w:rPr>
                      <w:rFonts w:hint="default" w:ascii="Times New Roman" w:hAnsi="Times New Roman" w:cs="Times New Roman"/>
                      <w:b w:val="0"/>
                      <w:bCs/>
                      <w:color w:val="000000" w:themeColor="text1"/>
                      <w:szCs w:val="21"/>
                      <w:lang w:val="en-US" w:eastAsia="zh-CN"/>
                      <w14:textFill>
                        <w14:solidFill>
                          <w14:schemeClr w14:val="tx1"/>
                        </w14:solidFill>
                      </w14:textFill>
                    </w:rPr>
                    <w:t>手工刷字废气、泄漏废气</w:t>
                  </w:r>
                </w:p>
              </w:tc>
              <w:tc>
                <w:tcPr>
                  <w:tcW w:w="2815" w:type="pct"/>
                  <w:tcBorders>
                    <w:bottom w:val="single" w:color="auto" w:sz="4" w:space="0"/>
                  </w:tcBorders>
                  <w:vAlign w:val="center"/>
                </w:tcPr>
                <w:p w14:paraId="57974861">
                  <w:pPr>
                    <w:pStyle w:val="124"/>
                    <w:pageBreakBefore w:val="0"/>
                    <w:kinsoku/>
                    <w:overflowPunct/>
                    <w:topLinePunct w:val="0"/>
                    <w:bidi w:val="0"/>
                    <w:ind w:left="0" w:leftChars="0" w:right="0" w:firstLine="0" w:firstLineChars="0"/>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szCs w:val="21"/>
                      <w:lang w:val="en-US" w:eastAsia="zh-CN"/>
                      <w14:textFill>
                        <w14:solidFill>
                          <w14:schemeClr w14:val="tx1"/>
                        </w14:solidFill>
                      </w14:textFill>
                    </w:rPr>
                    <w:t>手工刷字废气、液化石油气泄漏废气无组织排放，采取加强车间通风等措施</w:t>
                  </w:r>
                </w:p>
              </w:tc>
              <w:tc>
                <w:tcPr>
                  <w:tcW w:w="1359" w:type="pct"/>
                  <w:vAlign w:val="center"/>
                </w:tcPr>
                <w:p w14:paraId="78D09306">
                  <w:pPr>
                    <w:pStyle w:val="124"/>
                    <w:pageBreakBefore w:val="0"/>
                    <w:kinsoku/>
                    <w:overflowPunct/>
                    <w:topLinePunct w:val="0"/>
                    <w:bidi w:val="0"/>
                    <w:ind w:left="0" w:leftChars="0" w:right="0" w:firstLine="0" w:firstLineChars="0"/>
                    <w:rPr>
                      <w:rFonts w:hint="default" w:ascii="Times New Roman" w:hAnsi="Times New Roman" w:eastAsia="宋体" w:cs="Times New Roman"/>
                      <w:b w:val="0"/>
                      <w:bCs/>
                      <w:color w:val="000000" w:themeColor="text1"/>
                      <w:kern w:val="24"/>
                      <w:lang w:val="en-US" w:eastAsia="zh-CN"/>
                      <w14:textFill>
                        <w14:solidFill>
                          <w14:schemeClr w14:val="tx1"/>
                        </w14:solidFill>
                      </w14:textFill>
                    </w:rPr>
                  </w:pPr>
                  <w:r>
                    <w:rPr>
                      <w:rFonts w:hint="default" w:ascii="Times New Roman" w:hAnsi="Times New Roman" w:cs="Times New Roman"/>
                      <w:b w:val="0"/>
                      <w:bCs/>
                      <w:color w:val="000000" w:themeColor="text1"/>
                      <w:kern w:val="24"/>
                      <w:lang w:val="en-US" w:eastAsia="zh-CN"/>
                      <w14:textFill>
                        <w14:solidFill>
                          <w14:schemeClr w14:val="tx1"/>
                        </w14:solidFill>
                      </w14:textFill>
                    </w:rPr>
                    <w:t>非甲烷总烃执行</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《大气污染物综合排放标准》（GB16297-1996）中表2无组织监控浓度限值</w:t>
                  </w:r>
                </w:p>
              </w:tc>
            </w:tr>
            <w:tr w14:paraId="58251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4" w:type="pct"/>
                  <w:vMerge w:val="restart"/>
                  <w:vAlign w:val="center"/>
                </w:tcPr>
                <w:p w14:paraId="0F0D7D79">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废水</w:t>
                  </w:r>
                </w:p>
              </w:tc>
              <w:tc>
                <w:tcPr>
                  <w:tcW w:w="560" w:type="pct"/>
                  <w:vAlign w:val="center"/>
                </w:tcPr>
                <w:p w14:paraId="33FE0CB6">
                  <w:pPr>
                    <w:pageBreakBefore w:val="0"/>
                    <w:widowControl/>
                    <w:kinsoku/>
                    <w:overflowPunct/>
                    <w:topLinePunct w:val="0"/>
                    <w:bidi w:val="0"/>
                    <w:ind w:left="0" w:leftChars="0" w:right="0"/>
                    <w:jc w:val="center"/>
                    <w:rPr>
                      <w:rFonts w:hint="default" w:ascii="Times New Roman" w:hAnsi="Times New Roman" w:eastAsia="宋体" w:cs="Times New Roman"/>
                      <w:b w:val="0"/>
                      <w:bCs/>
                      <w:color w:val="000000" w:themeColor="text1"/>
                      <w:szCs w:val="21"/>
                      <w:lang w:eastAsia="zh-CN"/>
                      <w14:textFill>
                        <w14:solidFill>
                          <w14:schemeClr w14:val="tx1"/>
                        </w14:solidFill>
                      </w14:textFill>
                    </w:rPr>
                  </w:pPr>
                  <w:r>
                    <w:rPr>
                      <w:rFonts w:hint="default" w:ascii="Times New Roman" w:hAnsi="Times New Roman" w:cs="Times New Roman"/>
                      <w:b w:val="0"/>
                      <w:bCs/>
                      <w:color w:val="000000" w:themeColor="text1"/>
                      <w:szCs w:val="21"/>
                      <w:lang w:eastAsia="zh-CN"/>
                      <w14:textFill>
                        <w14:solidFill>
                          <w14:schemeClr w14:val="tx1"/>
                        </w14:solidFill>
                      </w14:textFill>
                    </w:rPr>
                    <w:t>生活污水</w:t>
                  </w:r>
                </w:p>
              </w:tc>
              <w:tc>
                <w:tcPr>
                  <w:tcW w:w="2815" w:type="pct"/>
                  <w:vAlign w:val="center"/>
                </w:tcPr>
                <w:p w14:paraId="59C8A6A9">
                  <w:pPr>
                    <w:rPr>
                      <w:rFonts w:hint="default" w:ascii="Times New Roman" w:hAnsi="Times New Roman" w:eastAsia="宋体" w:cs="Times New Roman"/>
                      <w:b w:val="0"/>
                      <w:bCs/>
                      <w:color w:val="000000" w:themeColor="text1"/>
                      <w:szCs w:val="21"/>
                      <w:lang w:eastAsia="zh-CN"/>
                      <w14:textFill>
                        <w14:solidFill>
                          <w14:schemeClr w14:val="tx1"/>
                        </w14:solidFill>
                      </w14:textFill>
                    </w:rPr>
                  </w:pPr>
                  <w:r>
                    <w:rPr>
                      <w:rStyle w:val="112"/>
                      <w:rFonts w:hint="default" w:ascii="Times New Roman" w:hAnsi="Times New Roman" w:cs="Times New Roman"/>
                      <w:color w:val="000000" w:themeColor="text1"/>
                      <w:sz w:val="21"/>
                      <w:szCs w:val="21"/>
                      <w:lang w:eastAsia="zh-CN"/>
                      <w14:textFill>
                        <w14:solidFill>
                          <w14:schemeClr w14:val="tx1"/>
                        </w14:solidFill>
                      </w14:textFill>
                    </w:rPr>
                    <w:t>本项目设置</w:t>
                  </w:r>
                  <w:r>
                    <w:rPr>
                      <w:rStyle w:val="112"/>
                      <w:rFonts w:hint="default" w:ascii="Times New Roman" w:hAnsi="Times New Roman" w:cs="Times New Roman"/>
                      <w:color w:val="000000" w:themeColor="text1"/>
                      <w:sz w:val="21"/>
                      <w:szCs w:val="21"/>
                      <w:lang w:val="en-US" w:eastAsia="zh-CN"/>
                      <w14:textFill>
                        <w14:solidFill>
                          <w14:schemeClr w14:val="tx1"/>
                        </w14:solidFill>
                      </w14:textFill>
                    </w:rPr>
                    <w:t>1个1m3化粪池，1个1m</w:t>
                  </w:r>
                  <w:r>
                    <w:rPr>
                      <w:rStyle w:val="112"/>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Style w:val="112"/>
                      <w:rFonts w:hint="default" w:ascii="Times New Roman" w:hAnsi="Times New Roman" w:cs="Times New Roman"/>
                      <w:color w:val="000000" w:themeColor="text1"/>
                      <w:sz w:val="21"/>
                      <w:szCs w:val="21"/>
                      <w:lang w:val="en-US" w:eastAsia="zh-CN"/>
                      <w14:textFill>
                        <w14:solidFill>
                          <w14:schemeClr w14:val="tx1"/>
                        </w14:solidFill>
                      </w14:textFill>
                    </w:rPr>
                    <w:t>收集池，1个处理能力为1m3/d的一体化生活污水处理设施，</w:t>
                  </w:r>
                  <w:r>
                    <w:rPr>
                      <w:rFonts w:hint="default" w:ascii="Times New Roman" w:hAnsi="Times New Roman" w:cs="Times New Roman"/>
                      <w:color w:val="000000" w:themeColor="text1"/>
                      <w:lang w:val="en-US" w:eastAsia="zh-CN"/>
                      <w14:textFill>
                        <w14:solidFill>
                          <w14:schemeClr w14:val="tx1"/>
                        </w14:solidFill>
                      </w14:textFill>
                    </w:rPr>
                    <w:t>本项目生活污水经化粪池收集后进入一体化生活污水处理设施，经处理达绿化标准后进入收集池，回用于绿化，不外排</w:t>
                  </w:r>
                  <w:r>
                    <w:rPr>
                      <w:rStyle w:val="112"/>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359" w:type="pct"/>
                  <w:vAlign w:val="center"/>
                </w:tcPr>
                <w:p w14:paraId="64529DD8">
                  <w:pPr>
                    <w:pageBreakBefore w:val="0"/>
                    <w:kinsoku/>
                    <w:overflowPunct/>
                    <w:topLinePunct w:val="0"/>
                    <w:bidi w:val="0"/>
                    <w:adjustRightInd w:val="0"/>
                    <w:snapToGrid w:val="0"/>
                    <w:spacing w:line="0" w:lineRule="atLeast"/>
                    <w:ind w:left="0" w:leftChars="0" w:right="0"/>
                    <w:jc w:val="center"/>
                    <w:rPr>
                      <w:rFonts w:hint="default" w:ascii="Times New Roman" w:hAnsi="Times New Roman" w:eastAsia="宋体" w:cs="Times New Roman"/>
                      <w:b w:val="0"/>
                      <w:bCs/>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《城市污水再生利用 城市杂用水水质》（GB/T18920-2020）绿化标准</w:t>
                  </w:r>
                </w:p>
              </w:tc>
            </w:tr>
            <w:tr w14:paraId="6C1BD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4" w:type="pct"/>
                  <w:vMerge w:val="continue"/>
                  <w:vAlign w:val="center"/>
                </w:tcPr>
                <w:p w14:paraId="27E1331F">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 w:val="0"/>
                      <w:bCs/>
                      <w:color w:val="000000" w:themeColor="text1"/>
                      <w:sz w:val="21"/>
                      <w:szCs w:val="21"/>
                      <w14:textFill>
                        <w14:solidFill>
                          <w14:schemeClr w14:val="tx1"/>
                        </w14:solidFill>
                      </w14:textFill>
                    </w:rPr>
                  </w:pPr>
                </w:p>
              </w:tc>
              <w:tc>
                <w:tcPr>
                  <w:tcW w:w="560" w:type="pct"/>
                  <w:vAlign w:val="center"/>
                </w:tcPr>
                <w:p w14:paraId="4F91685C">
                  <w:pPr>
                    <w:pStyle w:val="29"/>
                    <w:pageBreakBefore w:val="0"/>
                    <w:widowControl w:val="0"/>
                    <w:kinsoku/>
                    <w:overflowPunct/>
                    <w:topLinePunct w:val="0"/>
                    <w:bidi w:val="0"/>
                    <w:spacing w:before="0" w:beforeAutospacing="0" w:after="0" w:afterAutospacing="0"/>
                    <w:ind w:left="0" w:leftChars="0" w:right="0"/>
                    <w:jc w:val="center"/>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szCs w:val="21"/>
                      <w:lang w:eastAsia="zh-CN"/>
                      <w14:textFill>
                        <w14:solidFill>
                          <w14:schemeClr w14:val="tx1"/>
                        </w14:solidFill>
                      </w14:textFill>
                    </w:rPr>
                    <w:t>生产废水</w:t>
                  </w:r>
                </w:p>
              </w:tc>
              <w:tc>
                <w:tcPr>
                  <w:tcW w:w="2815" w:type="pct"/>
                  <w:vAlign w:val="center"/>
                </w:tcPr>
                <w:p w14:paraId="19068646">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本项目生产过程中水压试验、气密试验用水循环使用，不外排；喷淋塔定期补充新鲜水，循环使用，废液每年更换一次，废液经收集后暂存于危废暂存间，定期交由有危废资质的单位进行处置。</w:t>
                  </w:r>
                </w:p>
              </w:tc>
              <w:tc>
                <w:tcPr>
                  <w:tcW w:w="1359" w:type="pct"/>
                  <w:vAlign w:val="center"/>
                </w:tcPr>
                <w:p w14:paraId="3C1037B6">
                  <w:pPr>
                    <w:pageBreakBefore w:val="0"/>
                    <w:kinsoku/>
                    <w:overflowPunct/>
                    <w:topLinePunct w:val="0"/>
                    <w:bidi w:val="0"/>
                    <w:adjustRightInd w:val="0"/>
                    <w:snapToGrid w:val="0"/>
                    <w:spacing w:line="0" w:lineRule="atLeast"/>
                    <w:ind w:left="0" w:leftChars="0" w:right="0"/>
                    <w:jc w:val="center"/>
                    <w:rPr>
                      <w:rFonts w:hint="default" w:ascii="Times New Roman" w:hAnsi="Times New Roman" w:eastAsia="宋体" w:cs="Times New Roman"/>
                      <w:b w:val="0"/>
                      <w:bCs/>
                      <w:color w:val="000000" w:themeColor="text1"/>
                      <w:szCs w:val="21"/>
                      <w:lang w:eastAsia="zh-CN"/>
                      <w14:textFill>
                        <w14:solidFill>
                          <w14:schemeClr w14:val="tx1"/>
                        </w14:solidFill>
                      </w14:textFill>
                    </w:rPr>
                  </w:pPr>
                  <w:r>
                    <w:rPr>
                      <w:rFonts w:hint="default" w:ascii="Times New Roman" w:hAnsi="Times New Roman" w:eastAsia="宋体" w:cs="Times New Roman"/>
                      <w:b w:val="0"/>
                      <w:bCs/>
                      <w:color w:val="000000" w:themeColor="text1"/>
                      <w:szCs w:val="21"/>
                      <w:lang w:val="en-US" w:eastAsia="zh-CN"/>
                      <w14:textFill>
                        <w14:solidFill>
                          <w14:schemeClr w14:val="tx1"/>
                        </w14:solidFill>
                      </w14:textFill>
                    </w:rPr>
                    <w:t>/</w:t>
                  </w:r>
                </w:p>
              </w:tc>
            </w:tr>
            <w:tr w14:paraId="05FAD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4" w:type="pct"/>
                  <w:vMerge w:val="continue"/>
                  <w:vAlign w:val="center"/>
                </w:tcPr>
                <w:p w14:paraId="516CE73E">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 w:val="0"/>
                      <w:bCs/>
                      <w:color w:val="000000" w:themeColor="text1"/>
                      <w:sz w:val="21"/>
                      <w:szCs w:val="21"/>
                      <w14:textFill>
                        <w14:solidFill>
                          <w14:schemeClr w14:val="tx1"/>
                        </w14:solidFill>
                      </w14:textFill>
                    </w:rPr>
                  </w:pPr>
                </w:p>
              </w:tc>
              <w:tc>
                <w:tcPr>
                  <w:tcW w:w="560" w:type="pct"/>
                  <w:vAlign w:val="center"/>
                </w:tcPr>
                <w:p w14:paraId="0AA0EB8B">
                  <w:pPr>
                    <w:pStyle w:val="29"/>
                    <w:pageBreakBefore w:val="0"/>
                    <w:widowControl w:val="0"/>
                    <w:kinsoku/>
                    <w:overflowPunct/>
                    <w:topLinePunct w:val="0"/>
                    <w:bidi w:val="0"/>
                    <w:spacing w:before="0" w:beforeAutospacing="0" w:after="0" w:afterAutospacing="0"/>
                    <w:ind w:left="0" w:leftChars="0" w:right="0"/>
                    <w:jc w:val="center"/>
                    <w:rPr>
                      <w:rFonts w:hint="default" w:ascii="Times New Roman" w:hAnsi="Times New Roman"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szCs w:val="21"/>
                      <w:lang w:eastAsia="zh-CN"/>
                      <w14:textFill>
                        <w14:solidFill>
                          <w14:schemeClr w14:val="tx1"/>
                        </w14:solidFill>
                      </w14:textFill>
                    </w:rPr>
                    <w:t>初期雨水</w:t>
                  </w:r>
                </w:p>
              </w:tc>
              <w:tc>
                <w:tcPr>
                  <w:tcW w:w="2815" w:type="pct"/>
                  <w:vAlign w:val="center"/>
                </w:tcPr>
                <w:p w14:paraId="23252077">
                  <w:pPr>
                    <w:pStyle w:val="47"/>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本项目租用“浩峰公司塑料项目”闲置厂房进行建设，根据调查，“浩峰公司塑料项目”建设过程中配套建设了雨水收集池等相关环保设施，现有初期雨水收集池容积为20m3，初期雨水经收集后用于“浩峰公司塑料项目”生产环节使用。</w:t>
                  </w:r>
                </w:p>
              </w:tc>
              <w:tc>
                <w:tcPr>
                  <w:tcW w:w="1359" w:type="pct"/>
                  <w:vAlign w:val="center"/>
                </w:tcPr>
                <w:p w14:paraId="549C71AE">
                  <w:pPr>
                    <w:pageBreakBefore w:val="0"/>
                    <w:kinsoku/>
                    <w:overflowPunct/>
                    <w:topLinePunct w:val="0"/>
                    <w:bidi w:val="0"/>
                    <w:adjustRightInd w:val="0"/>
                    <w:snapToGrid w:val="0"/>
                    <w:spacing w:line="0" w:lineRule="atLeast"/>
                    <w:ind w:left="0" w:leftChars="0" w:right="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p>
              </w:tc>
            </w:tr>
            <w:tr w14:paraId="55189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4" w:type="pct"/>
                  <w:vAlign w:val="center"/>
                </w:tcPr>
                <w:p w14:paraId="0095875A">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噪声</w:t>
                  </w:r>
                </w:p>
              </w:tc>
              <w:tc>
                <w:tcPr>
                  <w:tcW w:w="560" w:type="pct"/>
                  <w:vAlign w:val="center"/>
                </w:tcPr>
                <w:p w14:paraId="39F65872">
                  <w:pPr>
                    <w:pageBreakBefore w:val="0"/>
                    <w:kinsoku/>
                    <w:overflowPunct/>
                    <w:topLinePunct w:val="0"/>
                    <w:bidi w:val="0"/>
                    <w:ind w:left="0" w:leftChars="0" w:right="0"/>
                    <w:jc w:val="center"/>
                    <w:rPr>
                      <w:rFonts w:hint="default" w:ascii="Times New Roman" w:hAnsi="Times New Roman" w:eastAsia="宋体" w:cs="Times New Roman"/>
                      <w:b w:val="0"/>
                      <w:bCs/>
                      <w:color w:val="000000" w:themeColor="text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Cs w:val="21"/>
                      <w:lang w:val="en-US" w:eastAsia="zh-CN"/>
                      <w14:textFill>
                        <w14:solidFill>
                          <w14:schemeClr w14:val="tx1"/>
                        </w14:solidFill>
                      </w14:textFill>
                    </w:rPr>
                    <w:t>噪声</w:t>
                  </w:r>
                </w:p>
              </w:tc>
              <w:tc>
                <w:tcPr>
                  <w:tcW w:w="2815" w:type="pct"/>
                  <w:vAlign w:val="center"/>
                </w:tcPr>
                <w:p w14:paraId="1F21118E">
                  <w:pPr>
                    <w:pageBreakBefore w:val="0"/>
                    <w:kinsoku/>
                    <w:overflowPunct/>
                    <w:topLinePunct w:val="0"/>
                    <w:bidi w:val="0"/>
                    <w:ind w:left="0" w:leftChars="0" w:right="0"/>
                    <w:jc w:val="center"/>
                    <w:rPr>
                      <w:rFonts w:hint="default" w:ascii="Times New Roman" w:hAnsi="Times New Roman" w:cs="Times New Roman"/>
                      <w:b w:val="0"/>
                      <w:bCs/>
                      <w:color w:val="000000" w:themeColor="text1"/>
                      <w:szCs w:val="21"/>
                      <w14:textFill>
                        <w14:solidFill>
                          <w14:schemeClr w14:val="tx1"/>
                        </w14:solidFill>
                      </w14:textFill>
                    </w:rPr>
                  </w:pPr>
                  <w:r>
                    <w:rPr>
                      <w:rFonts w:hint="default" w:ascii="Times New Roman" w:hAnsi="Times New Roman" w:cs="Times New Roman"/>
                      <w:b w:val="0"/>
                      <w:bCs/>
                      <w:color w:val="000000" w:themeColor="text1"/>
                      <w:szCs w:val="21"/>
                      <w14:textFill>
                        <w14:solidFill>
                          <w14:schemeClr w14:val="tx1"/>
                        </w14:solidFill>
                      </w14:textFill>
                    </w:rPr>
                    <w:t>项目区所有生产设备均置于厂房内，</w:t>
                  </w:r>
                  <w:r>
                    <w:rPr>
                      <w:rFonts w:hint="default" w:ascii="Times New Roman" w:hAnsi="Times New Roman" w:cs="Times New Roman"/>
                      <w:b w:val="0"/>
                      <w:bCs/>
                      <w:color w:val="000000" w:themeColor="text1"/>
                      <w:sz w:val="21"/>
                      <w:szCs w:val="21"/>
                      <w14:textFill>
                        <w14:solidFill>
                          <w14:schemeClr w14:val="tx1"/>
                        </w14:solidFill>
                      </w14:textFill>
                    </w:rPr>
                    <w:t>选用低噪设备、安装减震垫、厂房隔音</w:t>
                  </w:r>
                </w:p>
              </w:tc>
              <w:tc>
                <w:tcPr>
                  <w:tcW w:w="1359" w:type="pct"/>
                  <w:vAlign w:val="center"/>
                </w:tcPr>
                <w:p w14:paraId="6B150D0B">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《工业企业厂界环境噪声排放标准》（GB12348-2008）</w:t>
                  </w:r>
                  <w:r>
                    <w:rPr>
                      <w:rFonts w:hint="default" w:ascii="Times New Roman" w:hAnsi="Times New Roman" w:cs="Times New Roman"/>
                      <w:color w:val="000000" w:themeColor="text1"/>
                      <w:kern w:val="0"/>
                      <w:sz w:val="21"/>
                      <w:szCs w:val="21"/>
                      <w:lang w:val="en-US" w:eastAsia="zh-CN"/>
                      <w14:textFill>
                        <w14:solidFill>
                          <w14:schemeClr w14:val="tx1"/>
                        </w14:solidFill>
                      </w14:textFill>
                    </w:rPr>
                    <w:t>3</w:t>
                  </w:r>
                  <w:r>
                    <w:rPr>
                      <w:rFonts w:hint="default" w:ascii="Times New Roman" w:hAnsi="Times New Roman" w:cs="Times New Roman"/>
                      <w:color w:val="000000" w:themeColor="text1"/>
                      <w:kern w:val="0"/>
                      <w:sz w:val="21"/>
                      <w:szCs w:val="21"/>
                      <w14:textFill>
                        <w14:solidFill>
                          <w14:schemeClr w14:val="tx1"/>
                        </w14:solidFill>
                      </w14:textFill>
                    </w:rPr>
                    <w:t>类标准</w:t>
                  </w:r>
                </w:p>
              </w:tc>
            </w:tr>
            <w:tr w14:paraId="64D69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4" w:type="pct"/>
                  <w:vMerge w:val="restart"/>
                  <w:vAlign w:val="center"/>
                </w:tcPr>
                <w:p w14:paraId="6D446ADB">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固废</w:t>
                  </w:r>
                </w:p>
              </w:tc>
              <w:tc>
                <w:tcPr>
                  <w:tcW w:w="560" w:type="pct"/>
                  <w:vAlign w:val="center"/>
                </w:tcPr>
                <w:p w14:paraId="0CDC876A">
                  <w:pPr>
                    <w:pageBreakBefore w:val="0"/>
                    <w:widowControl/>
                    <w:kinsoku/>
                    <w:overflowPunct/>
                    <w:topLinePunct w:val="0"/>
                    <w:bidi w:val="0"/>
                    <w:ind w:left="0" w:leftChars="0" w:right="0"/>
                    <w:jc w:val="center"/>
                    <w:rPr>
                      <w:rFonts w:hint="default" w:ascii="Times New Roman" w:hAnsi="Times New Roman" w:eastAsia="宋体" w:cs="Times New Roman"/>
                      <w:b w:val="0"/>
                      <w:bCs/>
                      <w:color w:val="000000" w:themeColor="text1"/>
                      <w:szCs w:val="21"/>
                      <w:lang w:eastAsia="zh-CN"/>
                      <w14:textFill>
                        <w14:solidFill>
                          <w14:schemeClr w14:val="tx1"/>
                        </w14:solidFill>
                      </w14:textFill>
                    </w:rPr>
                  </w:pPr>
                  <w:r>
                    <w:rPr>
                      <w:rFonts w:hint="default" w:ascii="Times New Roman" w:hAnsi="Times New Roman" w:cs="Times New Roman"/>
                      <w:b w:val="0"/>
                      <w:bCs/>
                      <w:color w:val="000000" w:themeColor="text1"/>
                      <w:szCs w:val="21"/>
                      <w:lang w:eastAsia="zh-CN"/>
                      <w14:textFill>
                        <w14:solidFill>
                          <w14:schemeClr w14:val="tx1"/>
                        </w14:solidFill>
                      </w14:textFill>
                    </w:rPr>
                    <w:t>生活垃圾收集桶</w:t>
                  </w:r>
                </w:p>
              </w:tc>
              <w:tc>
                <w:tcPr>
                  <w:tcW w:w="2815" w:type="pct"/>
                  <w:vAlign w:val="center"/>
                </w:tcPr>
                <w:p w14:paraId="0129ED48">
                  <w:pPr>
                    <w:pageBreakBefore w:val="0"/>
                    <w:widowControl/>
                    <w:kinsoku/>
                    <w:overflowPunct/>
                    <w:topLinePunct w:val="0"/>
                    <w:bidi w:val="0"/>
                    <w:ind w:left="0" w:leftChars="0" w:right="0"/>
                    <w:jc w:val="center"/>
                    <w:rPr>
                      <w:rFonts w:hint="default" w:ascii="Times New Roman" w:hAnsi="Times New Roman" w:cs="Times New Roman"/>
                      <w:b w:val="0"/>
                      <w:bCs/>
                      <w:color w:val="000000" w:themeColor="text1"/>
                      <w:szCs w:val="21"/>
                      <w14:textFill>
                        <w14:solidFill>
                          <w14:schemeClr w14:val="tx1"/>
                        </w14:solidFill>
                      </w14:textFill>
                    </w:rPr>
                  </w:pPr>
                  <w:r>
                    <w:rPr>
                      <w:rFonts w:hint="default" w:ascii="Times New Roman" w:hAnsi="Times New Roman" w:cs="Times New Roman"/>
                      <w:b w:val="0"/>
                      <w:bCs/>
                      <w:color w:val="000000" w:themeColor="text1"/>
                      <w:szCs w:val="21"/>
                      <w14:textFill>
                        <w14:solidFill>
                          <w14:schemeClr w14:val="tx1"/>
                        </w14:solidFill>
                      </w14:textFill>
                    </w:rPr>
                    <w:t>厂区内分散设置若干带盖垃圾收集桶，用于收集生活垃圾</w:t>
                  </w:r>
                </w:p>
              </w:tc>
              <w:tc>
                <w:tcPr>
                  <w:tcW w:w="1359" w:type="pct"/>
                  <w:vMerge w:val="restart"/>
                  <w:vAlign w:val="center"/>
                </w:tcPr>
                <w:p w14:paraId="0B667F6E">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 w:val="0"/>
                      <w:bCs/>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处置率100%</w:t>
                  </w:r>
                </w:p>
              </w:tc>
            </w:tr>
            <w:tr w14:paraId="09213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4" w:type="pct"/>
                  <w:vMerge w:val="continue"/>
                  <w:vAlign w:val="center"/>
                </w:tcPr>
                <w:p w14:paraId="7A70F444">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 w:val="0"/>
                      <w:bCs/>
                      <w:color w:val="000000" w:themeColor="text1"/>
                      <w:sz w:val="21"/>
                      <w:szCs w:val="21"/>
                      <w14:textFill>
                        <w14:solidFill>
                          <w14:schemeClr w14:val="tx1"/>
                        </w14:solidFill>
                      </w14:textFill>
                    </w:rPr>
                  </w:pPr>
                </w:p>
              </w:tc>
              <w:tc>
                <w:tcPr>
                  <w:tcW w:w="560" w:type="pct"/>
                  <w:vAlign w:val="center"/>
                </w:tcPr>
                <w:p w14:paraId="498B4177">
                  <w:pPr>
                    <w:pageBreakBefore w:val="0"/>
                    <w:widowControl/>
                    <w:kinsoku/>
                    <w:overflowPunct/>
                    <w:topLinePunct w:val="0"/>
                    <w:bidi w:val="0"/>
                    <w:ind w:left="0" w:leftChars="0" w:right="0"/>
                    <w:jc w:val="center"/>
                    <w:rPr>
                      <w:rFonts w:hint="default" w:ascii="Times New Roman" w:hAnsi="Times New Roman" w:cs="Times New Roman"/>
                      <w:b w:val="0"/>
                      <w:bCs/>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生活</w:t>
                  </w:r>
                  <w:r>
                    <w:rPr>
                      <w:rFonts w:hint="default" w:ascii="Times New Roman" w:hAnsi="Times New Roman" w:eastAsia="宋体" w:cs="Times New Roman"/>
                      <w:color w:val="000000" w:themeColor="text1"/>
                      <w:sz w:val="21"/>
                      <w:szCs w:val="21"/>
                      <w14:textFill>
                        <w14:solidFill>
                          <w14:schemeClr w14:val="tx1"/>
                        </w14:solidFill>
                      </w14:textFill>
                    </w:rPr>
                    <w:t>污水处理设施污泥</w:t>
                  </w:r>
                </w:p>
              </w:tc>
              <w:tc>
                <w:tcPr>
                  <w:tcW w:w="2815" w:type="pct"/>
                  <w:vAlign w:val="center"/>
                </w:tcPr>
                <w:p w14:paraId="5C352030">
                  <w:pPr>
                    <w:pageBreakBefore w:val="0"/>
                    <w:widowControl/>
                    <w:kinsoku/>
                    <w:overflowPunct/>
                    <w:topLinePunct w:val="0"/>
                    <w:bidi w:val="0"/>
                    <w:ind w:left="0" w:leftChars="0" w:right="0"/>
                    <w:jc w:val="center"/>
                    <w:rPr>
                      <w:rFonts w:hint="default" w:ascii="Times New Roman" w:hAnsi="Times New Roman" w:cs="Times New Roman"/>
                      <w:b w:val="0"/>
                      <w:bCs/>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委托环卫部门清运处置</w:t>
                  </w:r>
                </w:p>
              </w:tc>
              <w:tc>
                <w:tcPr>
                  <w:tcW w:w="1359" w:type="pct"/>
                  <w:vMerge w:val="continue"/>
                  <w:vAlign w:val="center"/>
                </w:tcPr>
                <w:p w14:paraId="3E98794D">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color w:val="000000" w:themeColor="text1"/>
                      <w:sz w:val="21"/>
                      <w:szCs w:val="21"/>
                      <w14:textFill>
                        <w14:solidFill>
                          <w14:schemeClr w14:val="tx1"/>
                        </w14:solidFill>
                      </w14:textFill>
                    </w:rPr>
                  </w:pPr>
                </w:p>
              </w:tc>
            </w:tr>
            <w:tr w14:paraId="6868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4" w:type="pct"/>
                  <w:vMerge w:val="continue"/>
                  <w:vAlign w:val="center"/>
                </w:tcPr>
                <w:p w14:paraId="51EAD9FC">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 w:val="0"/>
                      <w:bCs/>
                      <w:color w:val="000000" w:themeColor="text1"/>
                      <w:sz w:val="21"/>
                      <w:szCs w:val="21"/>
                      <w14:textFill>
                        <w14:solidFill>
                          <w14:schemeClr w14:val="tx1"/>
                        </w14:solidFill>
                      </w14:textFill>
                    </w:rPr>
                  </w:pPr>
                </w:p>
              </w:tc>
              <w:tc>
                <w:tcPr>
                  <w:tcW w:w="560" w:type="pct"/>
                  <w:vAlign w:val="center"/>
                </w:tcPr>
                <w:p w14:paraId="3A7DEEBB">
                  <w:pPr>
                    <w:pageBreakBefore w:val="0"/>
                    <w:widowControl/>
                    <w:kinsoku/>
                    <w:overflowPunct/>
                    <w:topLinePunct w:val="0"/>
                    <w:bidi w:val="0"/>
                    <w:ind w:left="0" w:leftChars="0" w:right="0" w:rightChars="0"/>
                    <w:jc w:val="center"/>
                    <w:rPr>
                      <w:rFonts w:hint="default" w:ascii="Times New Roman" w:hAnsi="Times New Roman" w:eastAsia="宋体" w:cs="Times New Roman"/>
                      <w:b w:val="0"/>
                      <w:bCs/>
                      <w:color w:val="000000" w:themeColor="text1"/>
                      <w:szCs w:val="21"/>
                      <w:lang w:eastAsia="zh-CN"/>
                      <w14:textFill>
                        <w14:solidFill>
                          <w14:schemeClr w14:val="tx1"/>
                        </w14:solidFill>
                      </w14:textFill>
                    </w:rPr>
                  </w:pPr>
                  <w:r>
                    <w:rPr>
                      <w:rFonts w:hint="default" w:ascii="Times New Roman" w:hAnsi="Times New Roman" w:cs="Times New Roman"/>
                      <w:b w:val="0"/>
                      <w:bCs/>
                      <w:color w:val="000000" w:themeColor="text1"/>
                      <w:szCs w:val="21"/>
                      <w:lang w:eastAsia="zh-CN"/>
                      <w14:textFill>
                        <w14:solidFill>
                          <w14:schemeClr w14:val="tx1"/>
                        </w14:solidFill>
                      </w14:textFill>
                    </w:rPr>
                    <w:t>一般固废暂存区</w:t>
                  </w:r>
                </w:p>
              </w:tc>
              <w:tc>
                <w:tcPr>
                  <w:tcW w:w="2815" w:type="pct"/>
                  <w:vAlign w:val="center"/>
                </w:tcPr>
                <w:p w14:paraId="798DA9A6">
                  <w:pPr>
                    <w:pageBreakBefore w:val="0"/>
                    <w:kinsoku/>
                    <w:overflowPunct/>
                    <w:topLinePunct w:val="0"/>
                    <w:bidi w:val="0"/>
                    <w:ind w:left="0" w:leftChars="0" w:right="0"/>
                    <w:jc w:val="center"/>
                    <w:rPr>
                      <w:rFonts w:hint="default" w:ascii="Times New Roman" w:hAnsi="Times New Roman" w:eastAsia="宋体" w:cs="Times New Roman"/>
                      <w:b w:val="0"/>
                      <w:bCs/>
                      <w:color w:val="000000" w:themeColor="text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Cs w:val="21"/>
                      <w:lang w:val="en-US" w:eastAsia="zh-CN"/>
                      <w14:textFill>
                        <w14:solidFill>
                          <w14:schemeClr w14:val="tx1"/>
                        </w14:solidFill>
                      </w14:textFill>
                    </w:rPr>
                    <w:t>生产区南侧设置1个约5m</w:t>
                  </w:r>
                  <w:r>
                    <w:rPr>
                      <w:rFonts w:hint="default" w:ascii="Times New Roman" w:hAnsi="Times New Roman" w:eastAsia="宋体" w:cs="Times New Roman"/>
                      <w:b w:val="0"/>
                      <w:bCs/>
                      <w:color w:val="000000" w:themeColor="text1"/>
                      <w:szCs w:val="21"/>
                      <w:vertAlign w:val="superscript"/>
                      <w:lang w:val="en-US" w:eastAsia="zh-CN"/>
                      <w14:textFill>
                        <w14:solidFill>
                          <w14:schemeClr w14:val="tx1"/>
                        </w14:solidFill>
                      </w14:textFill>
                    </w:rPr>
                    <w:t>2</w:t>
                  </w:r>
                  <w:r>
                    <w:rPr>
                      <w:rFonts w:hint="default" w:ascii="Times New Roman" w:hAnsi="Times New Roman" w:eastAsia="宋体" w:cs="Times New Roman"/>
                      <w:b w:val="0"/>
                      <w:bCs/>
                      <w:color w:val="000000" w:themeColor="text1"/>
                      <w:szCs w:val="21"/>
                      <w:lang w:val="en-US" w:eastAsia="zh-CN"/>
                      <w14:textFill>
                        <w14:solidFill>
                          <w14:schemeClr w14:val="tx1"/>
                        </w14:solidFill>
                      </w14:textFill>
                    </w:rPr>
                    <w:t>的</w:t>
                  </w:r>
                  <w:r>
                    <w:rPr>
                      <w:rFonts w:hint="default" w:ascii="Times New Roman" w:hAnsi="Times New Roman" w:cs="Times New Roman"/>
                      <w:b w:val="0"/>
                      <w:bCs/>
                      <w:color w:val="000000" w:themeColor="text1"/>
                      <w:szCs w:val="21"/>
                      <w:lang w:val="en-US" w:eastAsia="zh-CN"/>
                      <w14:textFill>
                        <w14:solidFill>
                          <w14:schemeClr w14:val="tx1"/>
                        </w14:solidFill>
                      </w14:textFill>
                    </w:rPr>
                    <w:t>一般固废暂存区</w:t>
                  </w:r>
                  <w:r>
                    <w:rPr>
                      <w:rFonts w:hint="default" w:ascii="Times New Roman" w:hAnsi="Times New Roman" w:eastAsia="宋体" w:cs="Times New Roman"/>
                      <w:b w:val="0"/>
                      <w:bCs/>
                      <w:color w:val="000000" w:themeColor="text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液化石油气钢瓶</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进入压扁区压扁后，同废瓶阀、废钢丸经收集至</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一般固废暂存区</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暂存，定期外售</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废橡胶圈、焚烧炉燃灰、除尘灰、</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废滤筒、脱硫废渣经收集</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至</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一般固废暂存区</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暂存，</w:t>
                  </w:r>
                  <w:r>
                    <w:rPr>
                      <w:rFonts w:hint="eastAsia" w:cs="Times New Roman"/>
                      <w:b w:val="0"/>
                      <w:bCs w:val="0"/>
                      <w:color w:val="000000" w:themeColor="text1"/>
                      <w:sz w:val="21"/>
                      <w:szCs w:val="21"/>
                      <w:lang w:val="en-US" w:eastAsia="zh-CN"/>
                      <w14:textFill>
                        <w14:solidFill>
                          <w14:schemeClr w14:val="tx1"/>
                        </w14:solidFill>
                      </w14:textFill>
                    </w:rPr>
                    <w:t>定期外售废品回收商处置</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szCs w:val="21"/>
                      <w:lang w:val="en-US" w:eastAsia="zh-CN"/>
                      <w14:textFill>
                        <w14:solidFill>
                          <w14:schemeClr w14:val="tx1"/>
                        </w14:solidFill>
                      </w14:textFill>
                    </w:rPr>
                    <w:t>一般固体废物按照相关要求妥善处置，项目产生的生产固废执行《一般固体废物分类与代码》（GB/T39198-2020）</w:t>
                  </w:r>
                </w:p>
              </w:tc>
              <w:tc>
                <w:tcPr>
                  <w:tcW w:w="1359" w:type="pct"/>
                  <w:vMerge w:val="continue"/>
                  <w:vAlign w:val="center"/>
                </w:tcPr>
                <w:p w14:paraId="4979B9C7">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 w:val="0"/>
                      <w:bCs/>
                      <w:color w:val="000000" w:themeColor="text1"/>
                      <w:szCs w:val="21"/>
                      <w14:textFill>
                        <w14:solidFill>
                          <w14:schemeClr w14:val="tx1"/>
                        </w14:solidFill>
                      </w14:textFill>
                    </w:rPr>
                  </w:pPr>
                </w:p>
              </w:tc>
            </w:tr>
            <w:tr w14:paraId="53E2B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4" w:type="pct"/>
                  <w:vMerge w:val="continue"/>
                  <w:vAlign w:val="center"/>
                </w:tcPr>
                <w:p w14:paraId="66DF4906">
                  <w:pPr>
                    <w:pStyle w:val="22"/>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 w:val="0"/>
                      <w:bCs/>
                      <w:color w:val="000000" w:themeColor="text1"/>
                      <w:sz w:val="21"/>
                      <w:szCs w:val="21"/>
                      <w14:textFill>
                        <w14:solidFill>
                          <w14:schemeClr w14:val="tx1"/>
                        </w14:solidFill>
                      </w14:textFill>
                    </w:rPr>
                  </w:pPr>
                </w:p>
              </w:tc>
              <w:tc>
                <w:tcPr>
                  <w:tcW w:w="560" w:type="pct"/>
                  <w:vAlign w:val="center"/>
                </w:tcPr>
                <w:p w14:paraId="205E50A8">
                  <w:pPr>
                    <w:pageBreakBefore w:val="0"/>
                    <w:widowControl/>
                    <w:kinsoku/>
                    <w:overflowPunct/>
                    <w:topLinePunct w:val="0"/>
                    <w:bidi w:val="0"/>
                    <w:ind w:left="0" w:leftChars="0" w:right="0" w:rightChars="0"/>
                    <w:jc w:val="center"/>
                    <w:rPr>
                      <w:rFonts w:hint="default" w:ascii="Times New Roman" w:hAnsi="Times New Roman" w:cs="Times New Roman"/>
                      <w:b w:val="0"/>
                      <w:bCs/>
                      <w:color w:val="000000" w:themeColor="text1"/>
                      <w:szCs w:val="21"/>
                      <w14:textFill>
                        <w14:solidFill>
                          <w14:schemeClr w14:val="tx1"/>
                        </w14:solidFill>
                      </w14:textFill>
                    </w:rPr>
                  </w:pPr>
                  <w:r>
                    <w:rPr>
                      <w:rFonts w:hint="default" w:ascii="Times New Roman" w:hAnsi="Times New Roman" w:cs="Times New Roman"/>
                      <w:b w:val="0"/>
                      <w:bCs/>
                      <w:color w:val="000000" w:themeColor="text1"/>
                      <w:szCs w:val="21"/>
                      <w:lang w:eastAsia="zh-CN"/>
                      <w14:textFill>
                        <w14:solidFill>
                          <w14:schemeClr w14:val="tx1"/>
                        </w14:solidFill>
                      </w14:textFill>
                    </w:rPr>
                    <w:t>危废暂存间</w:t>
                  </w:r>
                </w:p>
              </w:tc>
              <w:tc>
                <w:tcPr>
                  <w:tcW w:w="2815" w:type="pct"/>
                  <w:vAlign w:val="center"/>
                </w:tcPr>
                <w:p w14:paraId="36ACD5A7">
                  <w:pPr>
                    <w:pageBreakBefore w:val="0"/>
                    <w:widowControl/>
                    <w:kinsoku/>
                    <w:overflowPunct/>
                    <w:topLinePunct w:val="0"/>
                    <w:bidi w:val="0"/>
                    <w:ind w:left="0" w:leftChars="0" w:right="0"/>
                    <w:jc w:val="center"/>
                    <w:rPr>
                      <w:rFonts w:hint="default" w:ascii="Times New Roman" w:hAnsi="Times New Roman" w:cs="Times New Roman"/>
                      <w:b w:val="0"/>
                      <w:bCs/>
                      <w:color w:val="000000" w:themeColor="text1"/>
                      <w:szCs w:val="21"/>
                      <w14:textFill>
                        <w14:solidFill>
                          <w14:schemeClr w14:val="tx1"/>
                        </w14:solidFill>
                      </w14:textFill>
                    </w:rPr>
                  </w:pPr>
                  <w:r>
                    <w:rPr>
                      <w:rFonts w:hint="default" w:ascii="Times New Roman" w:hAnsi="Times New Roman" w:cs="Times New Roman"/>
                      <w:b w:val="0"/>
                      <w:bCs/>
                      <w:color w:val="000000" w:themeColor="text1"/>
                      <w:szCs w:val="21"/>
                      <w:lang w:eastAsia="zh-CN"/>
                      <w14:textFill>
                        <w14:solidFill>
                          <w14:schemeClr w14:val="tx1"/>
                        </w14:solidFill>
                      </w14:textFill>
                    </w:rPr>
                    <w:t>生产区南侧</w:t>
                  </w:r>
                  <w:r>
                    <w:rPr>
                      <w:rFonts w:hint="default" w:ascii="Times New Roman" w:hAnsi="Times New Roman" w:cs="Times New Roman"/>
                      <w:b w:val="0"/>
                      <w:bCs/>
                      <w:color w:val="000000" w:themeColor="text1"/>
                      <w:szCs w:val="21"/>
                      <w:lang w:val="en-US" w:eastAsia="zh-CN"/>
                      <w14:textFill>
                        <w14:solidFill>
                          <w14:schemeClr w14:val="tx1"/>
                        </w14:solidFill>
                      </w14:textFill>
                    </w:rPr>
                    <w:t>设置1间</w:t>
                  </w:r>
                  <w:r>
                    <w:rPr>
                      <w:rFonts w:hint="default" w:ascii="Times New Roman" w:hAnsi="Times New Roman" w:cs="Times New Roman"/>
                      <w:b w:val="0"/>
                      <w:bCs/>
                      <w:color w:val="000000" w:themeColor="text1"/>
                      <w:szCs w:val="21"/>
                      <w14:textFill>
                        <w14:solidFill>
                          <w14:schemeClr w14:val="tx1"/>
                        </w14:solidFill>
                      </w14:textFill>
                    </w:rPr>
                    <w:t>危废暂存间</w:t>
                  </w:r>
                  <w:r>
                    <w:rPr>
                      <w:rFonts w:hint="default" w:ascii="Times New Roman" w:hAnsi="Times New Roman" w:cs="Times New Roman"/>
                      <w:b w:val="0"/>
                      <w:bCs/>
                      <w:color w:val="000000" w:themeColor="text1"/>
                      <w:szCs w:val="21"/>
                      <w:lang w:eastAsia="zh-CN"/>
                      <w14:textFill>
                        <w14:solidFill>
                          <w14:schemeClr w14:val="tx1"/>
                        </w14:solidFill>
                      </w14:textFill>
                    </w:rPr>
                    <w:t>，</w:t>
                  </w:r>
                  <w:r>
                    <w:rPr>
                      <w:rFonts w:hint="default" w:ascii="Times New Roman" w:hAnsi="Times New Roman" w:cs="Times New Roman"/>
                      <w:b w:val="0"/>
                      <w:bCs/>
                      <w:color w:val="000000" w:themeColor="text1"/>
                      <w:szCs w:val="21"/>
                      <w14:textFill>
                        <w14:solidFill>
                          <w14:schemeClr w14:val="tx1"/>
                        </w14:solidFill>
                      </w14:textFill>
                    </w:rPr>
                    <w:t>建筑面积</w:t>
                  </w:r>
                  <w:r>
                    <w:rPr>
                      <w:rFonts w:hint="default" w:ascii="Times New Roman" w:hAnsi="Times New Roman" w:cs="Times New Roman"/>
                      <w:b w:val="0"/>
                      <w:bCs/>
                      <w:color w:val="000000" w:themeColor="text1"/>
                      <w:szCs w:val="21"/>
                      <w:lang w:val="en-US" w:eastAsia="zh-CN"/>
                      <w14:textFill>
                        <w14:solidFill>
                          <w14:schemeClr w14:val="tx1"/>
                        </w14:solidFill>
                      </w14:textFill>
                    </w:rPr>
                    <w:t>5</w:t>
                  </w:r>
                  <w:r>
                    <w:rPr>
                      <w:rFonts w:hint="default" w:ascii="Times New Roman" w:hAnsi="Times New Roman" w:cs="Times New Roman"/>
                      <w:b w:val="0"/>
                      <w:bCs/>
                      <w:color w:val="000000" w:themeColor="text1"/>
                      <w:szCs w:val="21"/>
                      <w14:textFill>
                        <w14:solidFill>
                          <w14:schemeClr w14:val="tx1"/>
                        </w14:solidFill>
                      </w14:textFill>
                    </w:rPr>
                    <w:t>m</w:t>
                  </w:r>
                  <w:r>
                    <w:rPr>
                      <w:rFonts w:hint="default" w:ascii="Times New Roman" w:hAnsi="Times New Roman" w:cs="Times New Roman"/>
                      <w:b w:val="0"/>
                      <w:bCs/>
                      <w:color w:val="000000" w:themeColor="text1"/>
                      <w:szCs w:val="21"/>
                      <w:vertAlign w:val="superscript"/>
                      <w14:textFill>
                        <w14:solidFill>
                          <w14:schemeClr w14:val="tx1"/>
                        </w14:solidFill>
                      </w14:textFill>
                    </w:rPr>
                    <w:t>2</w:t>
                  </w:r>
                  <w:r>
                    <w:rPr>
                      <w:rFonts w:hint="default" w:ascii="Times New Roman" w:hAnsi="Times New Roman" w:cs="Times New Roman"/>
                      <w:b w:val="0"/>
                      <w:bCs/>
                      <w:color w:val="000000" w:themeColor="text1"/>
                      <w:szCs w:val="21"/>
                      <w14:textFill>
                        <w14:solidFill>
                          <w14:schemeClr w14:val="tx1"/>
                        </w14:solidFill>
                      </w14:textFill>
                    </w:rPr>
                    <w:t>，危废暂存间做好“三防”措施，按《危险废物贮存污染控制标准》（GB18597-2023）的要求进行建设</w:t>
                  </w:r>
                </w:p>
              </w:tc>
              <w:tc>
                <w:tcPr>
                  <w:tcW w:w="1359" w:type="pct"/>
                  <w:vMerge w:val="continue"/>
                  <w:vAlign w:val="center"/>
                </w:tcPr>
                <w:p w14:paraId="621C6A1F">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 w:val="0"/>
                      <w:bCs/>
                      <w:color w:val="000000" w:themeColor="text1"/>
                      <w:szCs w:val="21"/>
                      <w14:textFill>
                        <w14:solidFill>
                          <w14:schemeClr w14:val="tx1"/>
                        </w14:solidFill>
                      </w14:textFill>
                    </w:rPr>
                  </w:pPr>
                </w:p>
              </w:tc>
            </w:tr>
            <w:tr w14:paraId="26AA1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64" w:type="pct"/>
                  <w:vAlign w:val="center"/>
                </w:tcPr>
                <w:p w14:paraId="74DAB1CC">
                  <w:pPr>
                    <w:pageBreakBefore w:val="0"/>
                    <w:widowControl/>
                    <w:kinsoku/>
                    <w:overflowPunct/>
                    <w:topLinePunct w:val="0"/>
                    <w:bidi w:val="0"/>
                    <w:ind w:left="0" w:leftChars="0" w:right="0"/>
                    <w:jc w:val="center"/>
                    <w:rPr>
                      <w:rFonts w:hint="default" w:ascii="Times New Roman" w:hAnsi="Times New Roman" w:cs="Times New Roman"/>
                      <w:b w:val="0"/>
                      <w:bCs/>
                      <w:color w:val="000000" w:themeColor="text1"/>
                      <w:szCs w:val="21"/>
                      <w14:textFill>
                        <w14:solidFill>
                          <w14:schemeClr w14:val="tx1"/>
                        </w14:solidFill>
                      </w14:textFill>
                    </w:rPr>
                  </w:pPr>
                  <w:r>
                    <w:rPr>
                      <w:rFonts w:hint="default" w:ascii="Times New Roman" w:hAnsi="Times New Roman" w:cs="Times New Roman"/>
                      <w:b w:val="0"/>
                      <w:bCs/>
                      <w:color w:val="000000" w:themeColor="text1"/>
                      <w:szCs w:val="21"/>
                      <w14:textFill>
                        <w14:solidFill>
                          <w14:schemeClr w14:val="tx1"/>
                        </w14:solidFill>
                      </w14:textFill>
                    </w:rPr>
                    <w:t>分区防渗</w:t>
                  </w:r>
                </w:p>
              </w:tc>
              <w:tc>
                <w:tcPr>
                  <w:tcW w:w="4735" w:type="pct"/>
                  <w:gridSpan w:val="3"/>
                  <w:vAlign w:val="center"/>
                </w:tcPr>
                <w:p w14:paraId="0B4A9B1E">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b/>
                      <w:bCs w:val="0"/>
                      <w:color w:val="000000" w:themeColor="text1"/>
                      <w14:textFill>
                        <w14:solidFill>
                          <w14:schemeClr w14:val="tx1"/>
                        </w14:solidFill>
                      </w14:textFill>
                    </w:rPr>
                    <w:t>重点防渗</w:t>
                  </w:r>
                  <w:r>
                    <w:rPr>
                      <w:rFonts w:hint="default" w:ascii="Times New Roman" w:hAnsi="Times New Roman" w:cs="Times New Roman"/>
                      <w:b/>
                      <w:bCs w:val="0"/>
                      <w:color w:val="000000" w:themeColor="text1"/>
                      <w:lang w:eastAsia="zh-CN"/>
                      <w14:textFill>
                        <w14:solidFill>
                          <w14:schemeClr w14:val="tx1"/>
                        </w14:solidFill>
                      </w14:textFill>
                    </w:rPr>
                    <w:t>区：</w:t>
                  </w:r>
                  <w:r>
                    <w:rPr>
                      <w:rFonts w:hint="default" w:ascii="Times New Roman" w:hAnsi="Times New Roman" w:cs="Times New Roman"/>
                      <w:b w:val="0"/>
                      <w:bCs w:val="0"/>
                      <w:color w:val="000000" w:themeColor="text1"/>
                      <w:sz w:val="21"/>
                      <w:szCs w:val="21"/>
                      <w:lang w:eastAsia="zh-CN"/>
                      <w14:textFill>
                        <w14:solidFill>
                          <w14:schemeClr w14:val="tx1"/>
                        </w14:solidFill>
                      </w14:textFill>
                    </w:rPr>
                    <w:t>液化气瓶区、</w:t>
                  </w:r>
                  <w:r>
                    <w:rPr>
                      <w:rFonts w:hint="default" w:ascii="Times New Roman" w:hAnsi="Times New Roman" w:eastAsia="宋体" w:cs="Times New Roman"/>
                      <w:b w:val="0"/>
                      <w:bCs w:val="0"/>
                      <w:color w:val="000000" w:themeColor="text1"/>
                      <w:sz w:val="21"/>
                      <w:szCs w:val="21"/>
                      <w14:textFill>
                        <w14:solidFill>
                          <w14:schemeClr w14:val="tx1"/>
                        </w14:solidFill>
                      </w14:textFill>
                    </w:rPr>
                    <w:t>危</w:t>
                  </w:r>
                  <w:r>
                    <w:rPr>
                      <w:rFonts w:hint="default" w:ascii="Times New Roman" w:hAnsi="Times New Roman" w:eastAsia="宋体" w:cs="Times New Roman"/>
                      <w:color w:val="000000" w:themeColor="text1"/>
                      <w:sz w:val="21"/>
                      <w:szCs w:val="21"/>
                      <w14:textFill>
                        <w14:solidFill>
                          <w14:schemeClr w14:val="tx1"/>
                        </w14:solidFill>
                      </w14:textFill>
                    </w:rPr>
                    <w:t>废暂存间</w:t>
                  </w:r>
                  <w:r>
                    <w:rPr>
                      <w:rFonts w:hint="default" w:ascii="Times New Roman" w:hAnsi="Times New Roman" w:cs="Times New Roman"/>
                      <w:color w:val="000000" w:themeColor="text1"/>
                      <w:sz w:val="21"/>
                      <w:szCs w:val="21"/>
                      <w:lang w:eastAsia="zh-CN"/>
                      <w14:textFill>
                        <w14:solidFill>
                          <w14:schemeClr w14:val="tx1"/>
                        </w14:solidFill>
                      </w14:textFill>
                    </w:rPr>
                    <w:t>作为</w:t>
                  </w:r>
                  <w:r>
                    <w:rPr>
                      <w:rFonts w:hint="default" w:ascii="Times New Roman" w:hAnsi="Times New Roman" w:eastAsia="宋体" w:cs="Times New Roman"/>
                      <w:color w:val="000000" w:themeColor="text1"/>
                      <w:sz w:val="21"/>
                      <w:szCs w:val="21"/>
                      <w14:textFill>
                        <w14:solidFill>
                          <w14:schemeClr w14:val="tx1"/>
                        </w14:solidFill>
                      </w14:textFill>
                    </w:rPr>
                    <w:t>重点防渗</w:t>
                  </w:r>
                  <w:r>
                    <w:rPr>
                      <w:rFonts w:hint="default" w:ascii="Times New Roman" w:hAnsi="Times New Roman" w:cs="Times New Roman"/>
                      <w:color w:val="000000" w:themeColor="text1"/>
                      <w:sz w:val="21"/>
                      <w:szCs w:val="21"/>
                      <w:lang w:eastAsia="zh-CN"/>
                      <w14:textFill>
                        <w14:solidFill>
                          <w14:schemeClr w14:val="tx1"/>
                        </w14:solidFill>
                      </w14:textFill>
                    </w:rPr>
                    <w:t>区。液化气瓶区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按照</w:t>
                  </w:r>
                  <w:r>
                    <w:rPr>
                      <w:rFonts w:hint="default" w:ascii="Times New Roman" w:hAnsi="Times New Roman" w:eastAsia="宋体" w:cs="Times New Roman"/>
                      <w:color w:val="000000" w:themeColor="text1"/>
                      <w:sz w:val="21"/>
                      <w:szCs w:val="21"/>
                      <w14:textFill>
                        <w14:solidFill>
                          <w14:schemeClr w14:val="tx1"/>
                        </w14:solidFill>
                      </w14:textFill>
                    </w:rPr>
                    <w:t>《环境影响评价技术导则 地下水环境》（HJ610-2016）中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重点</w:t>
                  </w:r>
                  <w:r>
                    <w:rPr>
                      <w:rFonts w:hint="default" w:ascii="Times New Roman" w:hAnsi="Times New Roman" w:eastAsia="宋体" w:cs="Times New Roman"/>
                      <w:color w:val="000000" w:themeColor="text1"/>
                      <w:sz w:val="21"/>
                      <w:szCs w:val="21"/>
                      <w14:textFill>
                        <w14:solidFill>
                          <w14:schemeClr w14:val="tx1"/>
                        </w14:solidFill>
                      </w14:textFill>
                    </w:rPr>
                    <w:t>防渗区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进行防渗</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等效黏土防渗层 Mb≥6.0m，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color w:val="000000" w:themeColor="text1"/>
                      <w:sz w:val="21"/>
                      <w:szCs w:val="21"/>
                      <w14:textFill>
                        <w14:solidFill>
                          <w14:schemeClr w14:val="tx1"/>
                        </w14:solidFill>
                      </w14:textFill>
                    </w:rPr>
                    <w:t>&lt;1.0×10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cm/s</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或参照 GB 18598 执行。</w:t>
                  </w:r>
                </w:p>
                <w:p w14:paraId="0A107492">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危</w:t>
                  </w:r>
                  <w:r>
                    <w:rPr>
                      <w:rFonts w:hint="default" w:ascii="Times New Roman" w:hAnsi="Times New Roman" w:eastAsia="宋体" w:cs="Times New Roman"/>
                      <w:color w:val="000000" w:themeColor="text1"/>
                      <w:sz w:val="21"/>
                      <w:szCs w:val="21"/>
                      <w14:textFill>
                        <w14:solidFill>
                          <w14:schemeClr w14:val="tx1"/>
                        </w14:solidFill>
                      </w14:textFill>
                    </w:rPr>
                    <w:t>废暂存间、</w:t>
                  </w:r>
                  <w:r>
                    <w:rPr>
                      <w:rFonts w:hint="eastAsia" w:cs="Times New Roman"/>
                      <w:color w:val="000000" w:themeColor="text1"/>
                      <w:sz w:val="21"/>
                      <w:szCs w:val="21"/>
                      <w:lang w:eastAsia="zh-CN"/>
                      <w14:textFill>
                        <w14:solidFill>
                          <w14:schemeClr w14:val="tx1"/>
                        </w14:solidFill>
                      </w14:textFill>
                    </w:rPr>
                    <w:t>废气喷淋设施区域参照</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执行《危险废物贮存污染控制标准》（GB18597-20</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23</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）相关要求，防渗层为至少1 m厚黏土层（渗透系数不大于10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cm/s），或至少2 mm厚高密度聚乙烯膜等人工防渗材料（渗透系数不大于10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cm/s）</w:t>
                  </w:r>
                  <w:r>
                    <w:rPr>
                      <w:rFonts w:hint="default" w:ascii="Times New Roman" w:hAnsi="Times New Roman" w:cs="Times New Roman"/>
                      <w:b w:val="0"/>
                      <w:bCs/>
                      <w:color w:val="000000" w:themeColor="text1"/>
                      <w:sz w:val="21"/>
                      <w:szCs w:val="21"/>
                      <w14:textFill>
                        <w14:solidFill>
                          <w14:schemeClr w14:val="tx1"/>
                        </w14:solidFill>
                      </w14:textFill>
                    </w:rPr>
                    <w:t>。</w:t>
                  </w:r>
                </w:p>
                <w:p w14:paraId="3EC3D9DD">
                  <w:pPr>
                    <w:pageBreakBefore w:val="0"/>
                    <w:widowControl/>
                    <w:kinsoku/>
                    <w:overflowPunct/>
                    <w:topLinePunct w:val="0"/>
                    <w:bidi w:val="0"/>
                    <w:ind w:left="0" w:leftChars="0" w:right="0" w:rightChars="0"/>
                    <w:jc w:val="center"/>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bCs w:val="0"/>
                      <w:color w:val="000000" w:themeColor="text1"/>
                      <w14:textFill>
                        <w14:solidFill>
                          <w14:schemeClr w14:val="tx1"/>
                        </w14:solidFill>
                      </w14:textFill>
                    </w:rPr>
                    <w:t>一般防渗区</w:t>
                  </w:r>
                  <w:r>
                    <w:rPr>
                      <w:rFonts w:hint="default" w:ascii="Times New Roman" w:hAnsi="Times New Roman" w:cs="Times New Roman"/>
                      <w:b/>
                      <w:bCs w:val="0"/>
                      <w:color w:val="000000" w:themeColor="text1"/>
                      <w:lang w:eastAsia="zh-CN"/>
                      <w14:textFill>
                        <w14:solidFill>
                          <w14:schemeClr w14:val="tx1"/>
                        </w14:solidFill>
                      </w14:textFill>
                    </w:rPr>
                    <w:t>：</w:t>
                  </w:r>
                  <w:r>
                    <w:rPr>
                      <w:rFonts w:hint="default" w:ascii="Times New Roman" w:hAnsi="Times New Roman" w:cs="Times New Roman"/>
                      <w:b w:val="0"/>
                      <w:bCs/>
                      <w:color w:val="000000" w:themeColor="text1"/>
                      <w:sz w:val="21"/>
                      <w:szCs w:val="21"/>
                      <w:lang w:eastAsia="zh-CN"/>
                      <w14:textFill>
                        <w14:solidFill>
                          <w14:schemeClr w14:val="tx1"/>
                        </w14:solidFill>
                      </w14:textFill>
                    </w:rPr>
                    <w:t>生产区、待检区、成品区、压扁区、一般固废暂存区、辅料库、化粪池、一体化生活污水处理设施、收集池等区域地面为一般防渗区</w:t>
                  </w:r>
                  <w:r>
                    <w:rPr>
                      <w:rFonts w:hint="default" w:ascii="Times New Roman" w:hAnsi="Times New Roman" w:cs="Times New Roman"/>
                      <w:b w:val="0"/>
                      <w:bCs/>
                      <w:color w:val="000000" w:themeColor="text1"/>
                      <w:sz w:val="21"/>
                      <w:szCs w:val="21"/>
                      <w14:textFill>
                        <w14:solidFill>
                          <w14:schemeClr w14:val="tx1"/>
                        </w14:solidFill>
                      </w14:textFill>
                    </w:rPr>
                    <w:t>，</w:t>
                  </w:r>
                  <w:r>
                    <w:rPr>
                      <w:rFonts w:hint="default" w:ascii="Times New Roman" w:hAnsi="Times New Roman" w:cs="Times New Roman"/>
                      <w:b w:val="0"/>
                      <w:bCs/>
                      <w:color w:val="000000" w:themeColor="text1"/>
                      <w:sz w:val="21"/>
                      <w:szCs w:val="18"/>
                      <w:highlight w:val="none"/>
                      <w14:textFill>
                        <w14:solidFill>
                          <w14:schemeClr w14:val="tx1"/>
                        </w14:solidFill>
                      </w14:textFill>
                    </w:rPr>
                    <w:t>按照《环境影响评价技术导则 地下水环境》（HJ610-2016）中一般防渗区的防渗要求</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进行防渗</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等效黏土防渗层 Mb≥</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b w:val="0"/>
                      <w:bCs/>
                      <w:color w:val="000000" w:themeColor="text1"/>
                      <w:sz w:val="21"/>
                      <w:szCs w:val="21"/>
                      <w14:textFill>
                        <w14:solidFill>
                          <w14:schemeClr w14:val="tx1"/>
                        </w14:solidFill>
                      </w14:textFill>
                    </w:rPr>
                    <w:t>m，</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b w:val="0"/>
                      <w:bCs/>
                      <w:color w:val="000000" w:themeColor="text1"/>
                      <w:sz w:val="21"/>
                      <w:szCs w:val="21"/>
                      <w14:textFill>
                        <w14:solidFill>
                          <w14:schemeClr w14:val="tx1"/>
                        </w14:solidFill>
                      </w14:textFill>
                    </w:rPr>
                    <w:t>&lt;1.0×10</w:t>
                  </w:r>
                  <w:r>
                    <w:rPr>
                      <w:rFonts w:hint="default" w:ascii="Times New Roman" w:hAnsi="Times New Roman" w:eastAsia="宋体" w:cs="Times New Roman"/>
                      <w:b w:val="0"/>
                      <w:bCs/>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b w:val="0"/>
                      <w:bCs/>
                      <w:color w:val="000000" w:themeColor="text1"/>
                      <w:sz w:val="21"/>
                      <w:szCs w:val="21"/>
                      <w14:textFill>
                        <w14:solidFill>
                          <w14:schemeClr w14:val="tx1"/>
                        </w14:solidFill>
                      </w14:textFill>
                    </w:rPr>
                    <w:t>cm/s</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 xml:space="preserve">或参照 GB </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16889</w:t>
                  </w:r>
                  <w:r>
                    <w:rPr>
                      <w:rFonts w:hint="default" w:ascii="Times New Roman" w:hAnsi="Times New Roman" w:eastAsia="宋体" w:cs="Times New Roman"/>
                      <w:b w:val="0"/>
                      <w:bCs/>
                      <w:color w:val="000000" w:themeColor="text1"/>
                      <w:sz w:val="21"/>
                      <w:szCs w:val="21"/>
                      <w14:textFill>
                        <w14:solidFill>
                          <w14:schemeClr w14:val="tx1"/>
                        </w14:solidFill>
                      </w14:textFill>
                    </w:rPr>
                    <w:t>执行</w:t>
                  </w:r>
                  <w:r>
                    <w:rPr>
                      <w:rFonts w:hint="default" w:ascii="Times New Roman" w:hAnsi="Times New Roman" w:cs="Times New Roman"/>
                      <w:b w:val="0"/>
                      <w:bCs/>
                      <w:color w:val="000000" w:themeColor="text1"/>
                      <w:sz w:val="21"/>
                      <w:szCs w:val="21"/>
                      <w14:textFill>
                        <w14:solidFill>
                          <w14:schemeClr w14:val="tx1"/>
                        </w14:solidFill>
                      </w14:textFill>
                    </w:rPr>
                    <w:t>。</w:t>
                  </w:r>
                </w:p>
                <w:p w14:paraId="26934321">
                  <w:pPr>
                    <w:pageBreakBefore w:val="0"/>
                    <w:kinsoku/>
                    <w:overflowPunct/>
                    <w:topLinePunct w:val="0"/>
                    <w:bidi w:val="0"/>
                    <w:adjustRightInd w:val="0"/>
                    <w:snapToGrid w:val="0"/>
                    <w:spacing w:line="0" w:lineRule="atLeast"/>
                    <w:ind w:left="0" w:leftChars="0" w:right="0"/>
                    <w:jc w:val="center"/>
                    <w:rPr>
                      <w:rFonts w:hint="default" w:ascii="Times New Roman" w:hAnsi="Times New Roman" w:cs="Times New Roman"/>
                      <w:b w:val="0"/>
                      <w:bCs/>
                      <w:color w:val="000000" w:themeColor="text1"/>
                      <w:szCs w:val="21"/>
                      <w14:textFill>
                        <w14:solidFill>
                          <w14:schemeClr w14:val="tx1"/>
                        </w14:solidFill>
                      </w14:textFill>
                    </w:rPr>
                  </w:pPr>
                  <w:r>
                    <w:rPr>
                      <w:rFonts w:hint="default" w:ascii="Times New Roman" w:hAnsi="Times New Roman" w:cs="Times New Roman"/>
                      <w:b/>
                      <w:bCs w:val="0"/>
                      <w:color w:val="000000" w:themeColor="text1"/>
                      <w14:textFill>
                        <w14:solidFill>
                          <w14:schemeClr w14:val="tx1"/>
                        </w14:solidFill>
                      </w14:textFill>
                    </w:rPr>
                    <w:t>简单防渗区</w:t>
                  </w:r>
                  <w:r>
                    <w:rPr>
                      <w:rFonts w:hint="default" w:ascii="Times New Roman" w:hAnsi="Times New Roman" w:cs="Times New Roman"/>
                      <w:b/>
                      <w:bCs w:val="0"/>
                      <w:color w:val="000000" w:themeColor="text1"/>
                      <w:lang w:eastAsia="zh-CN"/>
                      <w14:textFill>
                        <w14:solidFill>
                          <w14:schemeClr w14:val="tx1"/>
                        </w14:solidFill>
                      </w14:textFill>
                    </w:rPr>
                    <w:t>：</w:t>
                  </w:r>
                  <w:r>
                    <w:rPr>
                      <w:rFonts w:hint="default" w:ascii="Times New Roman" w:hAnsi="Times New Roman" w:cs="Times New Roman"/>
                      <w:b w:val="0"/>
                      <w:bCs/>
                      <w:color w:val="000000" w:themeColor="text1"/>
                      <w:lang w:eastAsia="zh-CN"/>
                      <w14:textFill>
                        <w14:solidFill>
                          <w14:schemeClr w14:val="tx1"/>
                        </w14:solidFill>
                      </w14:textFill>
                    </w:rPr>
                    <w:t>车间运输通道、办公区等区域地面</w:t>
                  </w:r>
                  <w:r>
                    <w:rPr>
                      <w:rFonts w:hint="default" w:ascii="Times New Roman" w:hAnsi="Times New Roman" w:cs="Times New Roman"/>
                      <w:b w:val="0"/>
                      <w:bCs/>
                      <w:color w:val="000000" w:themeColor="text1"/>
                      <w:sz w:val="21"/>
                      <w:szCs w:val="21"/>
                      <w14:textFill>
                        <w14:solidFill>
                          <w14:schemeClr w14:val="tx1"/>
                        </w14:solidFill>
                      </w14:textFill>
                    </w:rPr>
                    <w:t>为简单防渗区，地面硬化</w:t>
                  </w:r>
                  <w:r>
                    <w:rPr>
                      <w:rFonts w:hint="default" w:ascii="Times New Roman" w:hAnsi="Times New Roman" w:cs="Times New Roman"/>
                      <w:b w:val="0"/>
                      <w:bCs/>
                      <w:color w:val="000000" w:themeColor="text1"/>
                      <w:sz w:val="21"/>
                      <w:szCs w:val="21"/>
                      <w:lang w:eastAsia="zh-CN"/>
                      <w14:textFill>
                        <w14:solidFill>
                          <w14:schemeClr w14:val="tx1"/>
                        </w14:solidFill>
                      </w14:textFill>
                    </w:rPr>
                    <w:t>处理</w:t>
                  </w:r>
                </w:p>
              </w:tc>
            </w:tr>
          </w:tbl>
          <w:p w14:paraId="575300CF">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表4-</w:t>
            </w:r>
            <w:r>
              <w:rPr>
                <w:rFonts w:hint="default" w:ascii="Times New Roman" w:hAnsi="Times New Roman" w:cs="Times New Roman"/>
                <w:b/>
                <w:color w:val="000000" w:themeColor="text1"/>
                <w:sz w:val="21"/>
                <w:szCs w:val="21"/>
                <w:lang w:val="en-US" w:eastAsia="zh-CN"/>
                <w14:textFill>
                  <w14:solidFill>
                    <w14:schemeClr w14:val="tx1"/>
                  </w14:solidFill>
                </w14:textFill>
              </w:rPr>
              <w:t>24</w:t>
            </w:r>
            <w:r>
              <w:rPr>
                <w:rFonts w:hint="default" w:ascii="Times New Roman" w:hAnsi="Times New Roman" w:eastAsia="宋体" w:cs="Times New Roman"/>
                <w:b/>
                <w:color w:val="000000" w:themeColor="text1"/>
                <w:sz w:val="21"/>
                <w:szCs w:val="21"/>
                <w14:textFill>
                  <w14:solidFill>
                    <w14:schemeClr w14:val="tx1"/>
                  </w14:solidFill>
                </w14:textFill>
              </w:rPr>
              <w:t xml:space="preserve">  </w:t>
            </w:r>
            <w:r>
              <w:rPr>
                <w:rFonts w:hint="default" w:ascii="Times New Roman" w:hAnsi="Times New Roman" w:cs="Times New Roman"/>
                <w:b/>
                <w:color w:val="000000" w:themeColor="text1"/>
                <w:sz w:val="21"/>
                <w:szCs w:val="21"/>
                <w:lang w:eastAsia="zh-CN"/>
                <w14:textFill>
                  <w14:solidFill>
                    <w14:schemeClr w14:val="tx1"/>
                  </w14:solidFill>
                </w14:textFill>
              </w:rPr>
              <w:t>竣工验收</w:t>
            </w:r>
            <w:r>
              <w:rPr>
                <w:rFonts w:hint="default" w:ascii="Times New Roman" w:hAnsi="Times New Roman" w:eastAsia="宋体" w:cs="Times New Roman"/>
                <w:b/>
                <w:color w:val="000000" w:themeColor="text1"/>
                <w:sz w:val="21"/>
                <w:szCs w:val="21"/>
                <w14:textFill>
                  <w14:solidFill>
                    <w14:schemeClr w14:val="tx1"/>
                  </w14:solidFill>
                </w14:textFill>
              </w:rPr>
              <w:t>监测一览表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638"/>
              <w:gridCol w:w="835"/>
              <w:gridCol w:w="2123"/>
              <w:gridCol w:w="962"/>
              <w:gridCol w:w="2891"/>
            </w:tblGrid>
            <w:tr w14:paraId="07DC8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83" w:type="pct"/>
                  <w:vAlign w:val="center"/>
                </w:tcPr>
                <w:p w14:paraId="2E5E4F44">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cs="Times New Roman"/>
                      <w:b/>
                      <w:color w:val="000000" w:themeColor="text1"/>
                      <w:sz w:val="21"/>
                      <w:szCs w:val="21"/>
                      <w:lang w:eastAsia="zh-CN"/>
                      <w14:textFill>
                        <w14:solidFill>
                          <w14:schemeClr w14:val="tx1"/>
                        </w14:solidFill>
                      </w14:textFill>
                    </w:rPr>
                    <w:t>监测项目</w:t>
                  </w:r>
                </w:p>
              </w:tc>
              <w:tc>
                <w:tcPr>
                  <w:tcW w:w="912" w:type="pct"/>
                  <w:gridSpan w:val="2"/>
                  <w:vAlign w:val="center"/>
                </w:tcPr>
                <w:p w14:paraId="7D07064D">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监测点位</w:t>
                  </w:r>
                </w:p>
              </w:tc>
              <w:tc>
                <w:tcPr>
                  <w:tcW w:w="1315" w:type="pct"/>
                  <w:vAlign w:val="center"/>
                </w:tcPr>
                <w:p w14:paraId="16B1B0EB">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监测指标</w:t>
                  </w:r>
                </w:p>
              </w:tc>
              <w:tc>
                <w:tcPr>
                  <w:tcW w:w="596" w:type="pct"/>
                  <w:vAlign w:val="center"/>
                </w:tcPr>
                <w:p w14:paraId="2E27651C">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监测频率</w:t>
                  </w:r>
                </w:p>
              </w:tc>
              <w:tc>
                <w:tcPr>
                  <w:tcW w:w="1791" w:type="pct"/>
                  <w:vAlign w:val="center"/>
                </w:tcPr>
                <w:p w14:paraId="575F4017">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执行标准</w:t>
                  </w:r>
                </w:p>
              </w:tc>
            </w:tr>
            <w:tr w14:paraId="281B5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3" w:hRule="atLeast"/>
                <w:jc w:val="center"/>
              </w:trPr>
              <w:tc>
                <w:tcPr>
                  <w:tcW w:w="383" w:type="pct"/>
                  <w:vMerge w:val="restart"/>
                  <w:vAlign w:val="center"/>
                </w:tcPr>
                <w:p w14:paraId="6784CF54">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szCs w:val="21"/>
                      <w:lang w:eastAsia="zh-CN"/>
                      <w14:textFill>
                        <w14:solidFill>
                          <w14:schemeClr w14:val="tx1"/>
                        </w14:solidFill>
                      </w14:textFill>
                    </w:rPr>
                    <w:t>废气</w:t>
                  </w:r>
                </w:p>
              </w:tc>
              <w:tc>
                <w:tcPr>
                  <w:tcW w:w="395" w:type="pct"/>
                  <w:vMerge w:val="restart"/>
                  <w:vAlign w:val="center"/>
                </w:tcPr>
                <w:p w14:paraId="6342E9C6">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有组织</w:t>
                  </w:r>
                </w:p>
              </w:tc>
              <w:tc>
                <w:tcPr>
                  <w:tcW w:w="517" w:type="pct"/>
                  <w:vAlign w:val="center"/>
                </w:tcPr>
                <w:p w14:paraId="78E2DB19">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DA001</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排放口</w:t>
                  </w:r>
                </w:p>
              </w:tc>
              <w:tc>
                <w:tcPr>
                  <w:tcW w:w="1315" w:type="pct"/>
                  <w:vAlign w:val="center"/>
                </w:tcPr>
                <w:p w14:paraId="46964B0E">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颗粒物、二氧化硫、氮氧化物、非甲烷总烃、烟气黑度</w:t>
                  </w:r>
                </w:p>
              </w:tc>
              <w:tc>
                <w:tcPr>
                  <w:tcW w:w="596" w:type="pct"/>
                  <w:vMerge w:val="restart"/>
                  <w:vAlign w:val="center"/>
                </w:tcPr>
                <w:p w14:paraId="701879FF">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竣工验收时，连续监测2天，每天采样3次</w:t>
                  </w:r>
                </w:p>
              </w:tc>
              <w:tc>
                <w:tcPr>
                  <w:tcW w:w="1791" w:type="pct"/>
                  <w:vAlign w:val="center"/>
                </w:tcPr>
                <w:p w14:paraId="0AD3ADD5">
                  <w:pPr>
                    <w:pStyle w:val="124"/>
                    <w:pageBreakBefore w:val="0"/>
                    <w:kinsoku/>
                    <w:overflowPunct/>
                    <w:topLinePunct w:val="0"/>
                    <w:bidi w:val="0"/>
                    <w:ind w:left="0" w:leftChars="0" w:right="0" w:rightChars="0" w:firstLine="0" w:firstLineChars="0"/>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颗粒物、二氧化硫</w:t>
                  </w:r>
                  <w:r>
                    <w:rPr>
                      <w:rFonts w:hint="eastAsia" w:ascii="Times New Roman" w:hAnsi="Times New Roman" w:eastAsia="宋体" w:cs="Times New Roman"/>
                      <w:b w:val="0"/>
                      <w:bCs/>
                      <w:color w:val="000000" w:themeColor="text1"/>
                      <w:kern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烟气黑度参照执行《工业炉窑大气污染物排放标准》（GB9078－1996）</w:t>
                  </w:r>
                  <w:r>
                    <w:rPr>
                      <w:rFonts w:hint="eastAsia" w:cs="Times New Roman"/>
                      <w:b w:val="0"/>
                      <w:bCs/>
                      <w:color w:val="000000" w:themeColor="text1"/>
                      <w:kern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NOx、非甲烷总烃</w:t>
                  </w:r>
                  <w:r>
                    <w:rPr>
                      <w:rFonts w:hint="default" w:ascii="Times New Roman" w:hAnsi="Times New Roman" w:cs="Times New Roman"/>
                      <w:b w:val="0"/>
                      <w:bCs/>
                      <w:color w:val="000000" w:themeColor="text1"/>
                      <w:kern w:val="24"/>
                      <w:lang w:val="en-US" w:eastAsia="zh-CN"/>
                      <w14:textFill>
                        <w14:solidFill>
                          <w14:schemeClr w14:val="tx1"/>
                        </w14:solidFill>
                      </w14:textFill>
                    </w:rPr>
                    <w:t>参照执行</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《大气污染物综合排放标准》（GB16297-1996）表2标准。</w:t>
                  </w:r>
                </w:p>
              </w:tc>
            </w:tr>
            <w:tr w14:paraId="51153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83" w:type="pct"/>
                  <w:vMerge w:val="continue"/>
                  <w:vAlign w:val="center"/>
                </w:tcPr>
                <w:p w14:paraId="65A32E86">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000000" w:themeColor="text1"/>
                      <w:sz w:val="21"/>
                      <w:szCs w:val="21"/>
                      <w:lang w:eastAsia="zh-CN"/>
                      <w14:textFill>
                        <w14:solidFill>
                          <w14:schemeClr w14:val="tx1"/>
                        </w14:solidFill>
                      </w14:textFill>
                    </w:rPr>
                  </w:pPr>
                </w:p>
              </w:tc>
              <w:tc>
                <w:tcPr>
                  <w:tcW w:w="395" w:type="pct"/>
                  <w:vMerge w:val="continue"/>
                  <w:vAlign w:val="center"/>
                </w:tcPr>
                <w:p w14:paraId="448A06A4">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517" w:type="pct"/>
                  <w:vAlign w:val="center"/>
                </w:tcPr>
                <w:p w14:paraId="3EDE4AF8">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DA00</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排放口</w:t>
                  </w:r>
                </w:p>
              </w:tc>
              <w:tc>
                <w:tcPr>
                  <w:tcW w:w="1315" w:type="pct"/>
                  <w:vAlign w:val="center"/>
                </w:tcPr>
                <w:p w14:paraId="70E20D2A">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颗粒物</w:t>
                  </w:r>
                </w:p>
              </w:tc>
              <w:tc>
                <w:tcPr>
                  <w:tcW w:w="596" w:type="pct"/>
                  <w:vMerge w:val="continue"/>
                  <w:vAlign w:val="center"/>
                </w:tcPr>
                <w:p w14:paraId="7EBC6310">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p>
              </w:tc>
              <w:tc>
                <w:tcPr>
                  <w:tcW w:w="1791" w:type="pct"/>
                  <w:vAlign w:val="center"/>
                </w:tcPr>
                <w:p w14:paraId="7498F3C4">
                  <w:pPr>
                    <w:pStyle w:val="124"/>
                    <w:pageBreakBefore w:val="0"/>
                    <w:kinsoku/>
                    <w:overflowPunct/>
                    <w:topLinePunct w:val="0"/>
                    <w:bidi w:val="0"/>
                    <w:ind w:left="0" w:leftChars="0" w:right="0" w:rightChars="0" w:firstLine="0" w:firstLineChars="0"/>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颗粒物</w:t>
                  </w:r>
                  <w:r>
                    <w:rPr>
                      <w:rFonts w:hint="default" w:ascii="Times New Roman" w:hAnsi="Times New Roman" w:cs="Times New Roman"/>
                      <w:b w:val="0"/>
                      <w:bCs/>
                      <w:color w:val="000000" w:themeColor="text1"/>
                      <w:kern w:val="24"/>
                      <w:lang w:val="en-US" w:eastAsia="zh-CN"/>
                      <w14:textFill>
                        <w14:solidFill>
                          <w14:schemeClr w14:val="tx1"/>
                        </w14:solidFill>
                      </w14:textFill>
                    </w:rPr>
                    <w:t>执行</w:t>
                  </w:r>
                  <w:r>
                    <w:rPr>
                      <w:rFonts w:hint="default" w:ascii="Times New Roman" w:hAnsi="Times New Roman" w:eastAsia="宋体" w:cs="Times New Roman"/>
                      <w:color w:val="000000" w:themeColor="text1"/>
                      <w:lang w:val="en-US" w:eastAsia="zh-CN"/>
                      <w14:textFill>
                        <w14:solidFill>
                          <w14:schemeClr w14:val="tx1"/>
                        </w14:solidFill>
                      </w14:textFill>
                    </w:rPr>
                    <w:t>《大气污染物综合排放标准》（GB16297-1996）</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表2标准</w:t>
                  </w:r>
                </w:p>
              </w:tc>
            </w:tr>
            <w:tr w14:paraId="2CEB2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383" w:type="pct"/>
                  <w:vMerge w:val="continue"/>
                  <w:vAlign w:val="center"/>
                </w:tcPr>
                <w:p w14:paraId="2C1241F8">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395" w:type="pct"/>
                  <w:vMerge w:val="restart"/>
                  <w:vAlign w:val="center"/>
                </w:tcPr>
                <w:p w14:paraId="50C2C027">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无组织</w:t>
                  </w:r>
                </w:p>
              </w:tc>
              <w:tc>
                <w:tcPr>
                  <w:tcW w:w="517" w:type="pct"/>
                  <w:vAlign w:val="center"/>
                </w:tcPr>
                <w:p w14:paraId="7E4A2E6B">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厂界</w:t>
                  </w:r>
                </w:p>
              </w:tc>
              <w:tc>
                <w:tcPr>
                  <w:tcW w:w="1315" w:type="pct"/>
                  <w:vAlign w:val="center"/>
                </w:tcPr>
                <w:p w14:paraId="6154ACF2">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颗粒物、非甲烷总烃、臭气浓度</w:t>
                  </w:r>
                </w:p>
              </w:tc>
              <w:tc>
                <w:tcPr>
                  <w:tcW w:w="596" w:type="pct"/>
                  <w:vMerge w:val="continue"/>
                  <w:vAlign w:val="center"/>
                </w:tcPr>
                <w:p w14:paraId="1266A6C7">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p>
              </w:tc>
              <w:tc>
                <w:tcPr>
                  <w:tcW w:w="1791" w:type="pct"/>
                  <w:vAlign w:val="center"/>
                </w:tcPr>
                <w:p w14:paraId="27208419">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颗粒物、非甲烷总烃</w:t>
                  </w:r>
                  <w:r>
                    <w:rPr>
                      <w:rFonts w:hint="eastAsia" w:cs="Times New Roman"/>
                      <w:color w:val="000000" w:themeColor="text1"/>
                      <w:szCs w:val="21"/>
                      <w:lang w:eastAsia="zh-CN"/>
                      <w14:textFill>
                        <w14:solidFill>
                          <w14:schemeClr w14:val="tx1"/>
                        </w14:solidFill>
                      </w14:textFill>
                    </w:rPr>
                    <w:t>执行</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《大气污染物综合排放标准》（GB16297-1996）中表2无组织监控浓度限值</w:t>
                  </w:r>
                  <w:r>
                    <w:rPr>
                      <w:rFonts w:hint="eastAsia" w:cs="Times New Roman"/>
                      <w:b w:val="0"/>
                      <w:bCs/>
                      <w:color w:val="000000" w:themeColor="text1"/>
                      <w:kern w:val="24"/>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臭气浓度执行《恶臭污染物排放标准》（GB14554-93）中表1二级标准限值</w:t>
                  </w:r>
                </w:p>
              </w:tc>
            </w:tr>
            <w:tr w14:paraId="3465E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83" w:type="pct"/>
                  <w:vMerge w:val="continue"/>
                  <w:vAlign w:val="center"/>
                </w:tcPr>
                <w:p w14:paraId="2929B655">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395" w:type="pct"/>
                  <w:vMerge w:val="continue"/>
                  <w:vAlign w:val="center"/>
                </w:tcPr>
                <w:p w14:paraId="0C4426EB">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517" w:type="pct"/>
                  <w:vAlign w:val="center"/>
                </w:tcPr>
                <w:p w14:paraId="764AA641">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生产车间外</w:t>
                  </w:r>
                </w:p>
              </w:tc>
              <w:tc>
                <w:tcPr>
                  <w:tcW w:w="1315" w:type="pct"/>
                  <w:vAlign w:val="center"/>
                </w:tcPr>
                <w:p w14:paraId="19759E8B">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NMHC</w:t>
                  </w:r>
                </w:p>
              </w:tc>
              <w:tc>
                <w:tcPr>
                  <w:tcW w:w="596" w:type="pct"/>
                  <w:vMerge w:val="continue"/>
                  <w:vAlign w:val="center"/>
                </w:tcPr>
                <w:p w14:paraId="6CFCCB63">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p>
              </w:tc>
              <w:tc>
                <w:tcPr>
                  <w:tcW w:w="1791" w:type="pct"/>
                  <w:vAlign w:val="center"/>
                </w:tcPr>
                <w:p w14:paraId="4A6B273B">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《挥发性有机物无组织排放控制标准》（GB 37822-2019）</w:t>
                  </w:r>
                </w:p>
              </w:tc>
            </w:tr>
            <w:tr w14:paraId="1028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83" w:type="pct"/>
                  <w:vAlign w:val="center"/>
                </w:tcPr>
                <w:p w14:paraId="539B2484">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szCs w:val="21"/>
                      <w:lang w:eastAsia="zh-CN"/>
                      <w14:textFill>
                        <w14:solidFill>
                          <w14:schemeClr w14:val="tx1"/>
                        </w14:solidFill>
                      </w14:textFill>
                    </w:rPr>
                    <w:t>废水</w:t>
                  </w:r>
                </w:p>
              </w:tc>
              <w:tc>
                <w:tcPr>
                  <w:tcW w:w="912" w:type="pct"/>
                  <w:gridSpan w:val="2"/>
                  <w:shd w:val="clear" w:color="auto" w:fill="auto"/>
                  <w:vAlign w:val="center"/>
                </w:tcPr>
                <w:p w14:paraId="19747826">
                  <w:pPr>
                    <w:pageBreakBefore w:val="0"/>
                    <w:widowControl/>
                    <w:kinsoku/>
                    <w:overflowPunct/>
                    <w:topLinePunct w:val="0"/>
                    <w:bidi w:val="0"/>
                    <w:ind w:left="0" w:leftChars="0" w:right="0" w:right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生活</w:t>
                  </w:r>
                  <w:r>
                    <w:rPr>
                      <w:rFonts w:hint="default" w:ascii="Times New Roman" w:hAnsi="Times New Roman" w:eastAsia="宋体" w:cs="Times New Roman"/>
                      <w:color w:val="000000" w:themeColor="text1"/>
                      <w:sz w:val="21"/>
                      <w:szCs w:val="21"/>
                      <w14:textFill>
                        <w14:solidFill>
                          <w14:schemeClr w14:val="tx1"/>
                        </w14:solidFill>
                      </w14:textFill>
                    </w:rPr>
                    <w:t>污水处理设施</w:t>
                  </w:r>
                  <w:r>
                    <w:rPr>
                      <w:rFonts w:hint="default" w:ascii="Times New Roman" w:hAnsi="Times New Roman" w:cs="Times New Roman"/>
                      <w:color w:val="000000" w:themeColor="text1"/>
                      <w:sz w:val="21"/>
                      <w:szCs w:val="21"/>
                      <w:lang w:eastAsia="zh-CN"/>
                      <w14:textFill>
                        <w14:solidFill>
                          <w14:schemeClr w14:val="tx1"/>
                        </w14:solidFill>
                      </w14:textFill>
                    </w:rPr>
                    <w:t>出口</w:t>
                  </w:r>
                </w:p>
              </w:tc>
              <w:tc>
                <w:tcPr>
                  <w:tcW w:w="1315" w:type="pct"/>
                  <w:vAlign w:val="center"/>
                </w:tcPr>
                <w:p w14:paraId="1FAB931B">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pH、色度（稀释倍数）、嗅、浊度（NTU）、五日生化需氧量（BOD5）、氨氮（以N计）、阴离子表面活性剂、溶解性总固体、溶解氧、总氯、大肠埃希氏菌</w:t>
                  </w:r>
                </w:p>
              </w:tc>
              <w:tc>
                <w:tcPr>
                  <w:tcW w:w="596" w:type="pct"/>
                  <w:vAlign w:val="center"/>
                </w:tcPr>
                <w:p w14:paraId="72FD7303">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竣工验收时，连续监测2天，每天采样</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次</w:t>
                  </w:r>
                </w:p>
              </w:tc>
              <w:tc>
                <w:tcPr>
                  <w:tcW w:w="1791" w:type="pct"/>
                  <w:vAlign w:val="center"/>
                </w:tcPr>
                <w:p w14:paraId="35D66A55">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《城市污水再生利用 城市杂用水水质》（GB/T18920-2020）绿化标准</w:t>
                  </w:r>
                </w:p>
              </w:tc>
            </w:tr>
            <w:tr w14:paraId="00FF4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83" w:type="pct"/>
                  <w:vAlign w:val="center"/>
                </w:tcPr>
                <w:p w14:paraId="2014C45E">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噪声</w:t>
                  </w:r>
                </w:p>
              </w:tc>
              <w:tc>
                <w:tcPr>
                  <w:tcW w:w="912" w:type="pct"/>
                  <w:gridSpan w:val="2"/>
                  <w:vAlign w:val="center"/>
                </w:tcPr>
                <w:p w14:paraId="5B830ABD">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项目厂界项目东、南、西、北外1m处</w:t>
                  </w:r>
                </w:p>
              </w:tc>
              <w:tc>
                <w:tcPr>
                  <w:tcW w:w="1315" w:type="pct"/>
                  <w:vAlign w:val="center"/>
                </w:tcPr>
                <w:p w14:paraId="0D6961A3">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等效连续A声级</w:t>
                  </w:r>
                </w:p>
              </w:tc>
              <w:tc>
                <w:tcPr>
                  <w:tcW w:w="596" w:type="pct"/>
                  <w:vAlign w:val="center"/>
                </w:tcPr>
                <w:p w14:paraId="3643B402">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竣工验收时，监测2天，昼间、夜间各1次</w:t>
                  </w:r>
                </w:p>
              </w:tc>
              <w:tc>
                <w:tcPr>
                  <w:tcW w:w="1791" w:type="pct"/>
                  <w:vAlign w:val="center"/>
                </w:tcPr>
                <w:p w14:paraId="3A442469">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《工业企业厂界环境噪声排放标准》（GB 12348—2008）</w:t>
                  </w:r>
                  <w:r>
                    <w:rPr>
                      <w:rFonts w:hint="default" w:ascii="Times New Roman" w:hAnsi="Times New Roman" w:cs="Times New Roman"/>
                      <w:b w:val="0"/>
                      <w:bCs/>
                      <w:color w:val="000000" w:themeColor="text1"/>
                      <w:sz w:val="21"/>
                      <w:szCs w:val="21"/>
                      <w:lang w:eastAsia="zh-CN"/>
                      <w14:textFill>
                        <w14:solidFill>
                          <w14:schemeClr w14:val="tx1"/>
                        </w14:solidFill>
                      </w14:textFill>
                    </w:rPr>
                    <w:t>3类标准</w:t>
                  </w:r>
                </w:p>
              </w:tc>
            </w:tr>
          </w:tbl>
          <w:p w14:paraId="273E7163">
            <w:pPr>
              <w:pStyle w:val="20"/>
              <w:pageBreakBefore w:val="0"/>
              <w:kinsoku/>
              <w:overflowPunct/>
              <w:topLinePunct w:val="0"/>
              <w:autoSpaceDE/>
              <w:autoSpaceDN/>
              <w:bidi w:val="0"/>
              <w:adjustRightInd/>
              <w:spacing w:line="360" w:lineRule="auto"/>
              <w:ind w:left="0" w:leftChars="0" w:right="0" w:rightChars="0" w:firstLine="480" w:firstLineChars="200"/>
              <w:rPr>
                <w:rFonts w:hint="default" w:ascii="Times New Roman" w:hAnsi="Times New Roman" w:cs="Times New Roman"/>
                <w:color w:val="000000" w:themeColor="text1"/>
                <w:kern w:val="24"/>
                <w:lang w:val="en-US" w:eastAsia="zh-CN"/>
                <w14:textFill>
                  <w14:solidFill>
                    <w14:schemeClr w14:val="tx1"/>
                  </w14:solidFill>
                </w14:textFill>
              </w:rPr>
            </w:pPr>
          </w:p>
          <w:p w14:paraId="228D837D">
            <w:pPr>
              <w:pStyle w:val="20"/>
              <w:pageBreakBefore w:val="0"/>
              <w:kinsoku/>
              <w:overflowPunct/>
              <w:topLinePunct w:val="0"/>
              <w:autoSpaceDE/>
              <w:autoSpaceDN/>
              <w:bidi w:val="0"/>
              <w:adjustRightInd/>
              <w:spacing w:line="360" w:lineRule="auto"/>
              <w:ind w:left="0" w:leftChars="0" w:right="0" w:rightChars="0" w:firstLine="480" w:firstLineChars="200"/>
              <w:rPr>
                <w:rFonts w:hint="default" w:ascii="Times New Roman" w:hAnsi="Times New Roman" w:cs="Times New Roman"/>
                <w:color w:val="000000" w:themeColor="text1"/>
                <w:kern w:val="24"/>
                <w:lang w:val="en-US" w:eastAsia="zh-CN"/>
                <w14:textFill>
                  <w14:solidFill>
                    <w14:schemeClr w14:val="tx1"/>
                  </w14:solidFill>
                </w14:textFill>
              </w:rPr>
            </w:pPr>
          </w:p>
          <w:p w14:paraId="04BEB002">
            <w:pPr>
              <w:pStyle w:val="20"/>
              <w:pageBreakBefore w:val="0"/>
              <w:kinsoku/>
              <w:overflowPunct/>
              <w:topLinePunct w:val="0"/>
              <w:autoSpaceDE/>
              <w:autoSpaceDN/>
              <w:bidi w:val="0"/>
              <w:adjustRightInd/>
              <w:spacing w:line="360" w:lineRule="auto"/>
              <w:ind w:right="0" w:rightChars="0"/>
              <w:rPr>
                <w:rFonts w:hint="eastAsia" w:cs="Times New Roman"/>
                <w:color w:val="000000" w:themeColor="text1"/>
                <w:kern w:val="24"/>
                <w:lang w:val="en-US" w:eastAsia="zh-CN"/>
                <w14:textFill>
                  <w14:solidFill>
                    <w14:schemeClr w14:val="tx1"/>
                  </w14:solidFill>
                </w14:textFill>
              </w:rPr>
            </w:pPr>
          </w:p>
          <w:p w14:paraId="5D2748F0">
            <w:pPr>
              <w:pStyle w:val="20"/>
              <w:pageBreakBefore w:val="0"/>
              <w:kinsoku/>
              <w:overflowPunct/>
              <w:topLinePunct w:val="0"/>
              <w:autoSpaceDE/>
              <w:autoSpaceDN/>
              <w:bidi w:val="0"/>
              <w:adjustRightInd/>
              <w:spacing w:line="360" w:lineRule="auto"/>
              <w:ind w:right="0" w:rightChars="0"/>
              <w:rPr>
                <w:rFonts w:hint="eastAsia" w:cs="Times New Roman"/>
                <w:color w:val="000000" w:themeColor="text1"/>
                <w:kern w:val="24"/>
                <w:lang w:val="en-US" w:eastAsia="zh-CN"/>
                <w14:textFill>
                  <w14:solidFill>
                    <w14:schemeClr w14:val="tx1"/>
                  </w14:solidFill>
                </w14:textFill>
              </w:rPr>
            </w:pPr>
          </w:p>
          <w:p w14:paraId="3091F334">
            <w:pPr>
              <w:pStyle w:val="20"/>
              <w:pageBreakBefore w:val="0"/>
              <w:kinsoku/>
              <w:overflowPunct/>
              <w:topLinePunct w:val="0"/>
              <w:autoSpaceDE/>
              <w:autoSpaceDN/>
              <w:bidi w:val="0"/>
              <w:adjustRightInd/>
              <w:spacing w:line="360" w:lineRule="auto"/>
              <w:ind w:right="0" w:rightChars="0"/>
              <w:rPr>
                <w:rFonts w:hint="eastAsia" w:cs="Times New Roman"/>
                <w:color w:val="000000" w:themeColor="text1"/>
                <w:kern w:val="24"/>
                <w:lang w:val="en-US" w:eastAsia="zh-CN"/>
                <w14:textFill>
                  <w14:solidFill>
                    <w14:schemeClr w14:val="tx1"/>
                  </w14:solidFill>
                </w14:textFill>
              </w:rPr>
            </w:pPr>
          </w:p>
          <w:p w14:paraId="6CE522EA">
            <w:pPr>
              <w:pStyle w:val="20"/>
              <w:pageBreakBefore w:val="0"/>
              <w:kinsoku/>
              <w:overflowPunct/>
              <w:topLinePunct w:val="0"/>
              <w:autoSpaceDE/>
              <w:autoSpaceDN/>
              <w:bidi w:val="0"/>
              <w:adjustRightInd/>
              <w:spacing w:line="360" w:lineRule="auto"/>
              <w:ind w:right="0" w:rightChars="0"/>
              <w:rPr>
                <w:rFonts w:hint="eastAsia" w:cs="Times New Roman"/>
                <w:color w:val="000000" w:themeColor="text1"/>
                <w:kern w:val="24"/>
                <w:lang w:val="en-US" w:eastAsia="zh-CN"/>
                <w14:textFill>
                  <w14:solidFill>
                    <w14:schemeClr w14:val="tx1"/>
                  </w14:solidFill>
                </w14:textFill>
              </w:rPr>
            </w:pPr>
          </w:p>
          <w:p w14:paraId="56696E26">
            <w:pPr>
              <w:pStyle w:val="20"/>
              <w:pageBreakBefore w:val="0"/>
              <w:kinsoku/>
              <w:overflowPunct/>
              <w:topLinePunct w:val="0"/>
              <w:autoSpaceDE/>
              <w:autoSpaceDN/>
              <w:bidi w:val="0"/>
              <w:adjustRightInd/>
              <w:spacing w:line="360" w:lineRule="auto"/>
              <w:ind w:right="0" w:rightChars="0"/>
              <w:rPr>
                <w:rFonts w:hint="eastAsia" w:cs="Times New Roman"/>
                <w:color w:val="000000" w:themeColor="text1"/>
                <w:kern w:val="24"/>
                <w:lang w:val="en-US" w:eastAsia="zh-CN"/>
                <w14:textFill>
                  <w14:solidFill>
                    <w14:schemeClr w14:val="tx1"/>
                  </w14:solidFill>
                </w14:textFill>
              </w:rPr>
            </w:pPr>
          </w:p>
          <w:p w14:paraId="5BA515D5">
            <w:pPr>
              <w:pStyle w:val="20"/>
              <w:pageBreakBefore w:val="0"/>
              <w:kinsoku/>
              <w:overflowPunct/>
              <w:topLinePunct w:val="0"/>
              <w:autoSpaceDE/>
              <w:autoSpaceDN/>
              <w:bidi w:val="0"/>
              <w:adjustRightInd/>
              <w:spacing w:line="360" w:lineRule="auto"/>
              <w:ind w:right="0" w:rightChars="0"/>
              <w:rPr>
                <w:rFonts w:hint="eastAsia" w:cs="Times New Roman"/>
                <w:color w:val="000000" w:themeColor="text1"/>
                <w:kern w:val="24"/>
                <w:lang w:val="en-US" w:eastAsia="zh-CN"/>
                <w14:textFill>
                  <w14:solidFill>
                    <w14:schemeClr w14:val="tx1"/>
                  </w14:solidFill>
                </w14:textFill>
              </w:rPr>
            </w:pPr>
          </w:p>
          <w:p w14:paraId="11AA1952">
            <w:pPr>
              <w:pStyle w:val="20"/>
              <w:pageBreakBefore w:val="0"/>
              <w:kinsoku/>
              <w:overflowPunct/>
              <w:topLinePunct w:val="0"/>
              <w:autoSpaceDE/>
              <w:autoSpaceDN/>
              <w:bidi w:val="0"/>
              <w:adjustRightInd/>
              <w:spacing w:line="360" w:lineRule="auto"/>
              <w:ind w:right="0" w:rightChars="0"/>
              <w:rPr>
                <w:rFonts w:hint="eastAsia" w:cs="Times New Roman"/>
                <w:color w:val="000000" w:themeColor="text1"/>
                <w:kern w:val="24"/>
                <w:lang w:val="en-US" w:eastAsia="zh-CN"/>
                <w14:textFill>
                  <w14:solidFill>
                    <w14:schemeClr w14:val="tx1"/>
                  </w14:solidFill>
                </w14:textFill>
              </w:rPr>
            </w:pPr>
          </w:p>
          <w:p w14:paraId="471C7734">
            <w:pPr>
              <w:pStyle w:val="20"/>
              <w:pageBreakBefore w:val="0"/>
              <w:kinsoku/>
              <w:overflowPunct/>
              <w:topLinePunct w:val="0"/>
              <w:autoSpaceDE/>
              <w:autoSpaceDN/>
              <w:bidi w:val="0"/>
              <w:adjustRightInd/>
              <w:spacing w:line="360" w:lineRule="auto"/>
              <w:ind w:right="0" w:rightChars="0"/>
              <w:rPr>
                <w:rFonts w:hint="eastAsia" w:cs="Times New Roman"/>
                <w:color w:val="000000" w:themeColor="text1"/>
                <w:kern w:val="24"/>
                <w:lang w:val="en-US" w:eastAsia="zh-CN"/>
                <w14:textFill>
                  <w14:solidFill>
                    <w14:schemeClr w14:val="tx1"/>
                  </w14:solidFill>
                </w14:textFill>
              </w:rPr>
            </w:pPr>
          </w:p>
          <w:p w14:paraId="5D547CB5">
            <w:pPr>
              <w:pStyle w:val="20"/>
              <w:pageBreakBefore w:val="0"/>
              <w:kinsoku/>
              <w:overflowPunct/>
              <w:topLinePunct w:val="0"/>
              <w:autoSpaceDE/>
              <w:autoSpaceDN/>
              <w:bidi w:val="0"/>
              <w:adjustRightInd/>
              <w:spacing w:line="360" w:lineRule="auto"/>
              <w:ind w:right="0" w:rightChars="0"/>
              <w:rPr>
                <w:rFonts w:hint="eastAsia" w:cs="Times New Roman"/>
                <w:color w:val="000000" w:themeColor="text1"/>
                <w:kern w:val="24"/>
                <w:lang w:val="en-US" w:eastAsia="zh-CN"/>
                <w14:textFill>
                  <w14:solidFill>
                    <w14:schemeClr w14:val="tx1"/>
                  </w14:solidFill>
                </w14:textFill>
              </w:rPr>
            </w:pPr>
          </w:p>
          <w:p w14:paraId="2BE3A7BE">
            <w:pPr>
              <w:pStyle w:val="20"/>
              <w:pageBreakBefore w:val="0"/>
              <w:kinsoku/>
              <w:overflowPunct/>
              <w:topLinePunct w:val="0"/>
              <w:autoSpaceDE/>
              <w:autoSpaceDN/>
              <w:bidi w:val="0"/>
              <w:adjustRightInd/>
              <w:spacing w:line="360" w:lineRule="auto"/>
              <w:ind w:right="0" w:rightChars="0"/>
              <w:rPr>
                <w:rFonts w:hint="eastAsia" w:cs="Times New Roman"/>
                <w:color w:val="000000" w:themeColor="text1"/>
                <w:kern w:val="24"/>
                <w:lang w:val="en-US" w:eastAsia="zh-CN"/>
                <w14:textFill>
                  <w14:solidFill>
                    <w14:schemeClr w14:val="tx1"/>
                  </w14:solidFill>
                </w14:textFill>
              </w:rPr>
            </w:pPr>
          </w:p>
          <w:p w14:paraId="22730CED">
            <w:pPr>
              <w:pStyle w:val="20"/>
              <w:pageBreakBefore w:val="0"/>
              <w:kinsoku/>
              <w:overflowPunct/>
              <w:topLinePunct w:val="0"/>
              <w:autoSpaceDE/>
              <w:autoSpaceDN/>
              <w:bidi w:val="0"/>
              <w:adjustRightInd/>
              <w:spacing w:line="360" w:lineRule="auto"/>
              <w:ind w:right="0" w:rightChars="0"/>
              <w:rPr>
                <w:rFonts w:hint="eastAsia" w:cs="Times New Roman"/>
                <w:color w:val="000000" w:themeColor="text1"/>
                <w:kern w:val="24"/>
                <w:lang w:val="en-US" w:eastAsia="zh-CN"/>
                <w14:textFill>
                  <w14:solidFill>
                    <w14:schemeClr w14:val="tx1"/>
                  </w14:solidFill>
                </w14:textFill>
              </w:rPr>
            </w:pPr>
          </w:p>
          <w:p w14:paraId="711DDC06">
            <w:pPr>
              <w:pStyle w:val="20"/>
              <w:pageBreakBefore w:val="0"/>
              <w:kinsoku/>
              <w:overflowPunct/>
              <w:topLinePunct w:val="0"/>
              <w:autoSpaceDE/>
              <w:autoSpaceDN/>
              <w:bidi w:val="0"/>
              <w:adjustRightInd/>
              <w:spacing w:line="360" w:lineRule="auto"/>
              <w:ind w:right="0" w:rightChars="0"/>
              <w:rPr>
                <w:rFonts w:hint="eastAsia" w:cs="Times New Roman"/>
                <w:color w:val="000000" w:themeColor="text1"/>
                <w:kern w:val="24"/>
                <w:lang w:val="en-US" w:eastAsia="zh-CN"/>
                <w14:textFill>
                  <w14:solidFill>
                    <w14:schemeClr w14:val="tx1"/>
                  </w14:solidFill>
                </w14:textFill>
              </w:rPr>
            </w:pPr>
          </w:p>
          <w:p w14:paraId="4E71752C">
            <w:pPr>
              <w:pStyle w:val="20"/>
              <w:pageBreakBefore w:val="0"/>
              <w:kinsoku/>
              <w:overflowPunct/>
              <w:topLinePunct w:val="0"/>
              <w:autoSpaceDE/>
              <w:autoSpaceDN/>
              <w:bidi w:val="0"/>
              <w:adjustRightInd/>
              <w:spacing w:line="360" w:lineRule="auto"/>
              <w:ind w:right="0" w:rightChars="0"/>
              <w:rPr>
                <w:rFonts w:hint="eastAsia" w:cs="Times New Roman"/>
                <w:color w:val="000000" w:themeColor="text1"/>
                <w:kern w:val="24"/>
                <w:lang w:val="en-US" w:eastAsia="zh-CN"/>
                <w14:textFill>
                  <w14:solidFill>
                    <w14:schemeClr w14:val="tx1"/>
                  </w14:solidFill>
                </w14:textFill>
              </w:rPr>
            </w:pPr>
          </w:p>
          <w:p w14:paraId="18B5EDE1">
            <w:pPr>
              <w:pStyle w:val="20"/>
              <w:pageBreakBefore w:val="0"/>
              <w:kinsoku/>
              <w:overflowPunct/>
              <w:topLinePunct w:val="0"/>
              <w:autoSpaceDE/>
              <w:autoSpaceDN/>
              <w:bidi w:val="0"/>
              <w:adjustRightInd/>
              <w:spacing w:line="360" w:lineRule="auto"/>
              <w:ind w:right="0" w:rightChars="0"/>
              <w:rPr>
                <w:rFonts w:hint="default" w:ascii="Times New Roman" w:hAnsi="Times New Roman" w:eastAsia="宋体" w:cs="Times New Roman"/>
                <w:color w:val="000000" w:themeColor="text1"/>
                <w:kern w:val="24"/>
                <w:lang w:val="en-US" w:eastAsia="zh-CN"/>
                <w14:textFill>
                  <w14:solidFill>
                    <w14:schemeClr w14:val="tx1"/>
                  </w14:solidFill>
                </w14:textFill>
              </w:rPr>
            </w:pPr>
          </w:p>
        </w:tc>
      </w:tr>
    </w:tbl>
    <w:p w14:paraId="763C4F85">
      <w:pPr>
        <w:pageBreakBefore w:val="0"/>
        <w:kinsoku/>
        <w:overflowPunct/>
        <w:topLinePunct w:val="0"/>
        <w:bidi w:val="0"/>
        <w:ind w:left="0" w:leftChars="0" w:right="0"/>
        <w:rPr>
          <w:rFonts w:hint="default" w:ascii="Times New Roman" w:hAnsi="Times New Roman" w:cs="Times New Roman"/>
          <w:color w:val="000000" w:themeColor="text1"/>
          <w:lang w:eastAsia="zh-CN"/>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420F765C">
      <w:pPr>
        <w:pStyle w:val="29"/>
        <w:adjustRightInd w:val="0"/>
        <w:snapToGrid w:val="0"/>
        <w:spacing w:before="0" w:beforeAutospacing="0" w:after="0" w:afterAutospacing="0"/>
        <w:jc w:val="center"/>
        <w:outlineLvl w:val="0"/>
        <w:rPr>
          <w:rFonts w:hint="default" w:ascii="Times New Roman" w:hAnsi="Times New Roman" w:cs="Times New Roman"/>
          <w:snapToGrid w:val="0"/>
          <w:color w:val="000000" w:themeColor="text1"/>
          <w:sz w:val="30"/>
          <w:szCs w:val="30"/>
          <w14:textFill>
            <w14:solidFill>
              <w14:schemeClr w14:val="tx1"/>
            </w14:solidFill>
          </w14:textFill>
        </w:rPr>
      </w:pPr>
      <w:bookmarkStart w:id="14" w:name="_Toc6939"/>
      <w:r>
        <w:rPr>
          <w:rFonts w:hint="default" w:ascii="Times New Roman" w:hAnsi="Times New Roman" w:cs="Times New Roman"/>
          <w:b/>
          <w:bCs/>
          <w:snapToGrid w:val="0"/>
          <w:color w:val="000000" w:themeColor="text1"/>
          <w:sz w:val="30"/>
          <w:szCs w:val="30"/>
          <w14:textFill>
            <w14:solidFill>
              <w14:schemeClr w14:val="tx1"/>
            </w14:solidFill>
          </w14:textFill>
        </w:rPr>
        <w:t>五、</w:t>
      </w:r>
      <w:bookmarkStart w:id="15" w:name="_Hlk54167917"/>
      <w:r>
        <w:rPr>
          <w:rFonts w:hint="default" w:ascii="Times New Roman" w:hAnsi="Times New Roman" w:cs="Times New Roman"/>
          <w:b/>
          <w:bCs/>
          <w:snapToGrid w:val="0"/>
          <w:color w:val="000000" w:themeColor="text1"/>
          <w:sz w:val="30"/>
          <w:szCs w:val="30"/>
          <w14:textFill>
            <w14:solidFill>
              <w14:schemeClr w14:val="tx1"/>
            </w14:solidFill>
          </w14:textFill>
        </w:rPr>
        <w:t>环境保护措施监督检查清单</w:t>
      </w:r>
      <w:bookmarkEnd w:id="14"/>
      <w:bookmarkEnd w:id="15"/>
    </w:p>
    <w:p w14:paraId="5430362C">
      <w:pPr>
        <w:pageBreakBefore w:val="0"/>
        <w:kinsoku/>
        <w:overflowPunct/>
        <w:topLinePunct w:val="0"/>
        <w:bidi w:val="0"/>
        <w:ind w:left="0" w:leftChars="0" w:right="0"/>
        <w:rPr>
          <w:rFonts w:hint="default" w:ascii="Times New Roman" w:hAnsi="Times New Roman" w:cs="Times New Roman"/>
          <w:color w:val="000000" w:themeColor="text1"/>
          <w:lang w:eastAsia="zh-CN"/>
          <w14:textFill>
            <w14:solidFill>
              <w14:schemeClr w14:val="tx1"/>
            </w14:solidFill>
          </w14:textFill>
        </w:rPr>
      </w:pPr>
    </w:p>
    <w:tbl>
      <w:tblPr>
        <w:tblStyle w:val="33"/>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7"/>
        <w:gridCol w:w="863"/>
        <w:gridCol w:w="863"/>
        <w:gridCol w:w="1247"/>
        <w:gridCol w:w="3185"/>
        <w:gridCol w:w="1925"/>
      </w:tblGrid>
      <w:tr w14:paraId="6A0798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tcBorders>
              <w:tl2br w:val="single" w:color="auto" w:sz="4" w:space="0"/>
            </w:tcBorders>
          </w:tcPr>
          <w:p w14:paraId="01821C05">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内容</w:t>
            </w:r>
          </w:p>
          <w:p w14:paraId="7A32CFE3">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要素</w:t>
            </w:r>
          </w:p>
        </w:tc>
        <w:tc>
          <w:tcPr>
            <w:tcW w:w="1726" w:type="dxa"/>
            <w:gridSpan w:val="2"/>
            <w:vAlign w:val="center"/>
          </w:tcPr>
          <w:p w14:paraId="0E1063D7">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排放口（编号、名称）/污染源</w:t>
            </w:r>
          </w:p>
        </w:tc>
        <w:tc>
          <w:tcPr>
            <w:tcW w:w="1247" w:type="dxa"/>
            <w:vAlign w:val="center"/>
          </w:tcPr>
          <w:p w14:paraId="09137557">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污染物项目</w:t>
            </w:r>
          </w:p>
        </w:tc>
        <w:tc>
          <w:tcPr>
            <w:tcW w:w="3185" w:type="dxa"/>
            <w:vAlign w:val="center"/>
          </w:tcPr>
          <w:p w14:paraId="1DF95E63">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环境保护措施</w:t>
            </w:r>
          </w:p>
        </w:tc>
        <w:tc>
          <w:tcPr>
            <w:tcW w:w="1925" w:type="dxa"/>
            <w:vAlign w:val="center"/>
          </w:tcPr>
          <w:p w14:paraId="24DDD699">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执行标准</w:t>
            </w:r>
          </w:p>
        </w:tc>
      </w:tr>
      <w:tr w14:paraId="1D6B0E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Merge w:val="restart"/>
            <w:vAlign w:val="center"/>
          </w:tcPr>
          <w:p w14:paraId="5E95B2DB">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大气环境</w:t>
            </w:r>
          </w:p>
        </w:tc>
        <w:tc>
          <w:tcPr>
            <w:tcW w:w="863" w:type="dxa"/>
            <w:vMerge w:val="restart"/>
            <w:vAlign w:val="center"/>
          </w:tcPr>
          <w:p w14:paraId="32D8C5AA">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生产车间</w:t>
            </w:r>
          </w:p>
        </w:tc>
        <w:tc>
          <w:tcPr>
            <w:tcW w:w="863" w:type="dxa"/>
            <w:vAlign w:val="center"/>
          </w:tcPr>
          <w:p w14:paraId="0ED8E321">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DA001排放口</w:t>
            </w:r>
          </w:p>
        </w:tc>
        <w:tc>
          <w:tcPr>
            <w:tcW w:w="1247" w:type="dxa"/>
            <w:vAlign w:val="center"/>
          </w:tcPr>
          <w:p w14:paraId="3033E847">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颗粒物、二氧化硫、氮氧化物、烟气黑度</w:t>
            </w:r>
          </w:p>
        </w:tc>
        <w:tc>
          <w:tcPr>
            <w:tcW w:w="3185" w:type="dxa"/>
            <w:vAlign w:val="center"/>
          </w:tcPr>
          <w:p w14:paraId="43DD2A25">
            <w:pPr>
              <w:pStyle w:val="124"/>
              <w:pageBreakBefore w:val="0"/>
              <w:kinsoku/>
              <w:overflowPunct/>
              <w:topLinePunct w:val="0"/>
              <w:bidi w:val="0"/>
              <w:ind w:left="0" w:leftChars="0" w:right="0" w:rightChars="0" w:firstLine="0" w:firstLineChars="0"/>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b w:val="0"/>
                <w:bCs/>
                <w:color w:val="000000" w:themeColor="text1"/>
                <w:lang w:val="en-US" w:eastAsia="zh-CN"/>
                <w14:textFill>
                  <w14:solidFill>
                    <w14:schemeClr w14:val="tx1"/>
                  </w14:solidFill>
                </w14:textFill>
              </w:rPr>
              <w:t>焚烧炉燃烧废气</w:t>
            </w:r>
            <w:r>
              <w:rPr>
                <w:rFonts w:hint="default" w:ascii="Times New Roman" w:hAnsi="Times New Roman" w:cs="Times New Roman"/>
                <w:b w:val="0"/>
                <w:bCs/>
                <w:color w:val="000000" w:themeColor="text1"/>
                <w:kern w:val="24"/>
                <w:lang w:val="en-US" w:eastAsia="zh-CN"/>
                <w14:textFill>
                  <w14:solidFill>
                    <w14:schemeClr w14:val="tx1"/>
                  </w14:solidFill>
                </w14:textFill>
              </w:rPr>
              <w:t>经收集后进入一套“旋风+布袋+喷淋”设施处理后通过1根15m高排气筒DA001排放。</w:t>
            </w:r>
            <w:r>
              <w:rPr>
                <w:rFonts w:hint="eastAsia" w:cs="Times New Roman"/>
                <w:b w:val="0"/>
                <w:bCs/>
                <w:color w:val="000000" w:themeColor="text1"/>
                <w:kern w:val="24"/>
                <w:lang w:val="en-US" w:eastAsia="zh-CN"/>
                <w14:textFill>
                  <w14:solidFill>
                    <w14:schemeClr w14:val="tx1"/>
                  </w14:solidFill>
                </w14:textFill>
              </w:rPr>
              <w:t>烘干固化废气包含液化气燃烧废气、钢瓶烘干废气；烘干固化废气引入焚烧炉通过热力焚烧后同焚烧废气进入废气处理系统处理后一同并入排气筒DA001一同排放。</w:t>
            </w:r>
          </w:p>
        </w:tc>
        <w:tc>
          <w:tcPr>
            <w:tcW w:w="1925" w:type="dxa"/>
            <w:vAlign w:val="center"/>
          </w:tcPr>
          <w:p w14:paraId="49536378">
            <w:pPr>
              <w:pStyle w:val="124"/>
              <w:pageBreakBefore w:val="0"/>
              <w:kinsoku/>
              <w:overflowPunct/>
              <w:topLinePunct w:val="0"/>
              <w:bidi w:val="0"/>
              <w:ind w:left="0" w:leftChars="0" w:right="0" w:rightChars="0" w:firstLine="0" w:firstLineChars="0"/>
              <w:rPr>
                <w:rFonts w:hint="default" w:ascii="Times New Roman" w:hAnsi="Times New Roman" w:eastAsia="宋体" w:cs="Times New Roman"/>
                <w:b w:val="0"/>
                <w:bCs/>
                <w:color w:val="000000" w:themeColor="text1"/>
                <w:kern w:val="24"/>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颗粒物、二氧化硫</w:t>
            </w:r>
            <w:r>
              <w:rPr>
                <w:rFonts w:hint="eastAsia" w:ascii="Times New Roman" w:hAnsi="Times New Roman" w:eastAsia="宋体" w:cs="Times New Roman"/>
                <w:b w:val="0"/>
                <w:bCs/>
                <w:color w:val="000000" w:themeColor="text1"/>
                <w:kern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烟气黑度参照执行《工业炉窑大气污染物排放标准》（GB9078－1996）</w:t>
            </w:r>
            <w:r>
              <w:rPr>
                <w:rFonts w:hint="eastAsia" w:cs="Times New Roman"/>
                <w:b w:val="0"/>
                <w:bCs/>
                <w:color w:val="000000" w:themeColor="text1"/>
                <w:kern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NOx、非甲烷总烃</w:t>
            </w:r>
            <w:r>
              <w:rPr>
                <w:rFonts w:hint="default" w:ascii="Times New Roman" w:hAnsi="Times New Roman" w:cs="Times New Roman"/>
                <w:b w:val="0"/>
                <w:bCs/>
                <w:color w:val="000000" w:themeColor="text1"/>
                <w:kern w:val="24"/>
                <w:lang w:val="en-US" w:eastAsia="zh-CN"/>
                <w14:textFill>
                  <w14:solidFill>
                    <w14:schemeClr w14:val="tx1"/>
                  </w14:solidFill>
                </w14:textFill>
              </w:rPr>
              <w:t>参照执行</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《大气污染物综合排放标准》（GB16297-1996）表2标准。</w:t>
            </w:r>
          </w:p>
        </w:tc>
      </w:tr>
      <w:tr w14:paraId="21886A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Merge w:val="continue"/>
            <w:vAlign w:val="center"/>
          </w:tcPr>
          <w:p w14:paraId="42EC4818">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863" w:type="dxa"/>
            <w:vMerge w:val="continue"/>
            <w:vAlign w:val="center"/>
          </w:tcPr>
          <w:p w14:paraId="51FE7BD9">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3" w:type="dxa"/>
            <w:vAlign w:val="center"/>
          </w:tcPr>
          <w:p w14:paraId="45C25534">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DA002排放口</w:t>
            </w:r>
          </w:p>
        </w:tc>
        <w:tc>
          <w:tcPr>
            <w:tcW w:w="1247" w:type="dxa"/>
            <w:vAlign w:val="center"/>
          </w:tcPr>
          <w:p w14:paraId="5388919C">
            <w:pPr>
              <w:adjustRightInd w:val="0"/>
              <w:snapToGrid w:val="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颗粒物</w:t>
            </w:r>
          </w:p>
        </w:tc>
        <w:tc>
          <w:tcPr>
            <w:tcW w:w="3185" w:type="dxa"/>
            <w:vAlign w:val="center"/>
          </w:tcPr>
          <w:p w14:paraId="2D44EADD">
            <w:pPr>
              <w:pStyle w:val="124"/>
              <w:pageBreakBefore w:val="0"/>
              <w:kinsoku/>
              <w:overflowPunct/>
              <w:topLinePunct w:val="0"/>
              <w:bidi w:val="0"/>
              <w:ind w:left="0" w:leftChars="0" w:right="0" w:rightChars="0" w:firstLine="0" w:firstLineChars="0"/>
              <w:rPr>
                <w:rFonts w:hint="default" w:ascii="Times New Roman" w:hAnsi="Times New Roman" w:cs="Times New Roman"/>
                <w:b w:val="0"/>
                <w:bCs/>
                <w:color w:val="000000" w:themeColor="text1"/>
                <w:kern w:val="24"/>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抛丸除锈废气</w:t>
            </w:r>
            <w:r>
              <w:rPr>
                <w:rFonts w:hint="eastAsia" w:cs="Times New Roman"/>
                <w:b w:val="0"/>
                <w:bCs/>
                <w:color w:val="000000" w:themeColor="text1"/>
                <w:kern w:val="24"/>
                <w:lang w:val="en-US" w:eastAsia="zh-CN"/>
                <w14:textFill>
                  <w14:solidFill>
                    <w14:schemeClr w14:val="tx1"/>
                  </w14:solidFill>
                </w14:textFill>
              </w:rPr>
              <w:t>、喷塑废气经各自设置的1套</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脉冲滤筒除尘器</w:t>
            </w:r>
            <w:r>
              <w:rPr>
                <w:rFonts w:hint="eastAsia" w:cs="Times New Roman"/>
                <w:b w:val="0"/>
                <w:bCs/>
                <w:color w:val="000000" w:themeColor="text1"/>
                <w:kern w:val="24"/>
                <w:lang w:val="en-US" w:eastAsia="zh-CN"/>
                <w14:textFill>
                  <w14:solidFill>
                    <w14:schemeClr w14:val="tx1"/>
                  </w14:solidFill>
                </w14:textFill>
              </w:rPr>
              <w:t>（共2套）</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处理后并入排气筒DA00</w:t>
            </w:r>
            <w:r>
              <w:rPr>
                <w:rFonts w:hint="default" w:ascii="Times New Roman" w:hAnsi="Times New Roman" w:cs="Times New Roman"/>
                <w:b w:val="0"/>
                <w:bCs/>
                <w:color w:val="000000" w:themeColor="text1"/>
                <w:kern w:val="24"/>
                <w:lang w:val="en-US" w:eastAsia="zh-CN"/>
                <w14:textFill>
                  <w14:solidFill>
                    <w14:schemeClr w14:val="tx1"/>
                  </w14:solidFill>
                </w14:textFill>
              </w:rPr>
              <w:t>2</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一同排放。</w:t>
            </w:r>
          </w:p>
        </w:tc>
        <w:tc>
          <w:tcPr>
            <w:tcW w:w="1925" w:type="dxa"/>
            <w:vAlign w:val="center"/>
          </w:tcPr>
          <w:p w14:paraId="2BC2331E">
            <w:pPr>
              <w:pStyle w:val="124"/>
              <w:pageBreakBefore w:val="0"/>
              <w:kinsoku/>
              <w:overflowPunct/>
              <w:topLinePunct w:val="0"/>
              <w:bidi w:val="0"/>
              <w:ind w:left="0" w:leftChars="0" w:right="0" w:rightChars="0" w:firstLine="0" w:firstLineChars="0"/>
              <w:rPr>
                <w:rFonts w:hint="default" w:ascii="Times New Roman" w:hAnsi="Times New Roman" w:eastAsia="宋体" w:cs="Times New Roman"/>
                <w:b w:val="0"/>
                <w:bCs/>
                <w:color w:val="000000" w:themeColor="text1"/>
                <w:kern w:val="24"/>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颗粒物</w:t>
            </w:r>
            <w:r>
              <w:rPr>
                <w:rFonts w:hint="default" w:ascii="Times New Roman" w:hAnsi="Times New Roman" w:cs="Times New Roman"/>
                <w:b w:val="0"/>
                <w:bCs/>
                <w:color w:val="000000" w:themeColor="text1"/>
                <w:kern w:val="24"/>
                <w:lang w:val="en-US" w:eastAsia="zh-CN"/>
                <w14:textFill>
                  <w14:solidFill>
                    <w14:schemeClr w14:val="tx1"/>
                  </w14:solidFill>
                </w14:textFill>
              </w:rPr>
              <w:t>执行</w:t>
            </w:r>
            <w:r>
              <w:rPr>
                <w:rFonts w:hint="default" w:ascii="Times New Roman" w:hAnsi="Times New Roman" w:eastAsia="宋体" w:cs="Times New Roman"/>
                <w:color w:val="000000" w:themeColor="text1"/>
                <w:lang w:val="en-US" w:eastAsia="zh-CN"/>
                <w14:textFill>
                  <w14:solidFill>
                    <w14:schemeClr w14:val="tx1"/>
                  </w14:solidFill>
                </w14:textFill>
              </w:rPr>
              <w:t>《大气污染物综合排放标准》（GB16297-1996）</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表2标准</w:t>
            </w:r>
          </w:p>
        </w:tc>
      </w:tr>
      <w:tr w14:paraId="015CEE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Merge w:val="continue"/>
            <w:vAlign w:val="center"/>
          </w:tcPr>
          <w:p w14:paraId="08C73A50">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863" w:type="dxa"/>
            <w:vMerge w:val="continue"/>
            <w:vAlign w:val="center"/>
          </w:tcPr>
          <w:p w14:paraId="5EC3945E">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p>
        </w:tc>
        <w:tc>
          <w:tcPr>
            <w:tcW w:w="863" w:type="dxa"/>
            <w:vAlign w:val="center"/>
          </w:tcPr>
          <w:p w14:paraId="5F873F18">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无组织废气</w:t>
            </w:r>
          </w:p>
        </w:tc>
        <w:tc>
          <w:tcPr>
            <w:tcW w:w="1247" w:type="dxa"/>
            <w:vAlign w:val="center"/>
          </w:tcPr>
          <w:p w14:paraId="701207EC">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颗粒物、非甲烷总烃、臭气浓度</w:t>
            </w:r>
          </w:p>
        </w:tc>
        <w:tc>
          <w:tcPr>
            <w:tcW w:w="3185" w:type="dxa"/>
            <w:vAlign w:val="center"/>
          </w:tcPr>
          <w:p w14:paraId="5FB38248">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车间内</w:t>
            </w:r>
            <w:r>
              <w:rPr>
                <w:rFonts w:hint="default" w:ascii="Times New Roman" w:hAnsi="Times New Roman" w:cs="Times New Roman"/>
                <w:color w:val="000000" w:themeColor="text1"/>
                <w:szCs w:val="21"/>
                <w14:textFill>
                  <w14:solidFill>
                    <w14:schemeClr w14:val="tx1"/>
                  </w14:solidFill>
                </w14:textFill>
              </w:rPr>
              <w:t>加强通风及管理</w:t>
            </w:r>
          </w:p>
        </w:tc>
        <w:tc>
          <w:tcPr>
            <w:tcW w:w="1925" w:type="dxa"/>
            <w:vAlign w:val="center"/>
          </w:tcPr>
          <w:p w14:paraId="12BE85AE">
            <w:pPr>
              <w:pStyle w:val="124"/>
              <w:pageBreakBefore w:val="0"/>
              <w:kinsoku/>
              <w:overflowPunct/>
              <w:topLinePunct w:val="0"/>
              <w:bidi w:val="0"/>
              <w:ind w:left="0" w:leftChars="0" w:right="0" w:rightChars="0" w:firstLine="0" w:firstLineChars="0"/>
              <w:rPr>
                <w:rFonts w:hint="default" w:ascii="Times New Roman" w:hAnsi="Times New Roman" w:eastAsia="宋体" w:cs="Times New Roman"/>
                <w:b w:val="0"/>
                <w:bCs/>
                <w:color w:val="000000" w:themeColor="text1"/>
                <w:kern w:val="24"/>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颗粒物、非甲烷总烃</w:t>
            </w:r>
            <w:r>
              <w:rPr>
                <w:rFonts w:hint="eastAsia" w:cs="Times New Roman"/>
                <w:color w:val="000000" w:themeColor="text1"/>
                <w:szCs w:val="21"/>
                <w:lang w:eastAsia="zh-CN"/>
                <w14:textFill>
                  <w14:solidFill>
                    <w14:schemeClr w14:val="tx1"/>
                  </w14:solidFill>
                </w14:textFill>
              </w:rPr>
              <w:t>执行</w:t>
            </w:r>
            <w:r>
              <w:rPr>
                <w:rFonts w:hint="default" w:ascii="Times New Roman" w:hAnsi="Times New Roman" w:eastAsia="宋体" w:cs="Times New Roman"/>
                <w:b w:val="0"/>
                <w:bCs/>
                <w:color w:val="000000" w:themeColor="text1"/>
                <w:kern w:val="24"/>
                <w:lang w:val="en-US" w:eastAsia="zh-CN"/>
                <w14:textFill>
                  <w14:solidFill>
                    <w14:schemeClr w14:val="tx1"/>
                  </w14:solidFill>
                </w14:textFill>
              </w:rPr>
              <w:t>《大气污染物综合排放标准》（GB16297-1996）中表2无组织监控浓度限值</w:t>
            </w:r>
            <w:r>
              <w:rPr>
                <w:rFonts w:hint="eastAsia" w:cs="Times New Roman"/>
                <w:b w:val="0"/>
                <w:bCs/>
                <w:color w:val="000000" w:themeColor="text1"/>
                <w:kern w:val="24"/>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臭气浓度执行《恶臭污染物排放标准》（GB14554-93）中表1二级标准限值</w:t>
            </w:r>
          </w:p>
        </w:tc>
      </w:tr>
      <w:tr w14:paraId="7F48FF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Merge w:val="restart"/>
            <w:vAlign w:val="center"/>
          </w:tcPr>
          <w:p w14:paraId="30E68964">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地表水环境</w:t>
            </w:r>
          </w:p>
        </w:tc>
        <w:tc>
          <w:tcPr>
            <w:tcW w:w="863" w:type="dxa"/>
            <w:vMerge w:val="restart"/>
            <w:vAlign w:val="center"/>
          </w:tcPr>
          <w:p w14:paraId="415716F9">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生产车间</w:t>
            </w:r>
          </w:p>
        </w:tc>
        <w:tc>
          <w:tcPr>
            <w:tcW w:w="863" w:type="dxa"/>
            <w:vAlign w:val="center"/>
          </w:tcPr>
          <w:p w14:paraId="652AECC6">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生活污水</w:t>
            </w:r>
          </w:p>
        </w:tc>
        <w:tc>
          <w:tcPr>
            <w:tcW w:w="1247" w:type="dxa"/>
            <w:vAlign w:val="center"/>
          </w:tcPr>
          <w:p w14:paraId="25E0BD02">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CODcr</w:t>
            </w:r>
            <w:r>
              <w:rPr>
                <w:rFonts w:hint="default" w:ascii="Times New Roman" w:hAnsi="Times New Roman" w:cs="Times New Roman"/>
                <w:color w:val="000000" w:themeColor="text1"/>
                <w:szCs w:val="21"/>
                <w:lang w:bidi="ar"/>
                <w14:textFill>
                  <w14:solidFill>
                    <w14:schemeClr w14:val="tx1"/>
                  </w14:solidFill>
                </w14:textFill>
              </w:rPr>
              <w:t>、</w:t>
            </w:r>
            <w:r>
              <w:rPr>
                <w:rFonts w:hint="default" w:ascii="Times New Roman" w:hAnsi="Times New Roman" w:cs="Times New Roman"/>
                <w:color w:val="000000" w:themeColor="text1"/>
                <w:kern w:val="0"/>
                <w:szCs w:val="21"/>
                <w14:textFill>
                  <w14:solidFill>
                    <w14:schemeClr w14:val="tx1"/>
                  </w14:solidFill>
                </w14:textFill>
              </w:rPr>
              <w:t>BOD</w:t>
            </w:r>
            <w:r>
              <w:rPr>
                <w:rFonts w:hint="default" w:ascii="Times New Roman" w:hAnsi="Times New Roman" w:cs="Times New Roman"/>
                <w:color w:val="000000" w:themeColor="text1"/>
                <w:kern w:val="0"/>
                <w:szCs w:val="21"/>
                <w:vertAlign w:val="subscript"/>
                <w14:textFill>
                  <w14:solidFill>
                    <w14:schemeClr w14:val="tx1"/>
                  </w14:solidFill>
                </w14:textFill>
              </w:rPr>
              <w:t>5</w:t>
            </w:r>
            <w:r>
              <w:rPr>
                <w:rFonts w:hint="default" w:ascii="Times New Roman" w:hAnsi="Times New Roman" w:cs="Times New Roman"/>
                <w:color w:val="000000" w:themeColor="text1"/>
                <w:szCs w:val="21"/>
                <w:lang w:bidi="ar"/>
                <w14:textFill>
                  <w14:solidFill>
                    <w14:schemeClr w14:val="tx1"/>
                  </w14:solidFill>
                </w14:textFill>
              </w:rPr>
              <w:t>、</w:t>
            </w:r>
            <w:r>
              <w:rPr>
                <w:rFonts w:hint="default" w:ascii="Times New Roman" w:hAnsi="Times New Roman" w:cs="Times New Roman"/>
                <w:color w:val="000000" w:themeColor="text1"/>
                <w:kern w:val="0"/>
                <w:szCs w:val="21"/>
                <w14:textFill>
                  <w14:solidFill>
                    <w14:schemeClr w14:val="tx1"/>
                  </w14:solidFill>
                </w14:textFill>
              </w:rPr>
              <w:t>SS</w:t>
            </w:r>
            <w:r>
              <w:rPr>
                <w:rFonts w:hint="default" w:ascii="Times New Roman" w:hAnsi="Times New Roman" w:cs="Times New Roman"/>
                <w:color w:val="000000" w:themeColor="text1"/>
                <w:szCs w:val="21"/>
                <w:lang w:bidi="ar"/>
                <w14:textFill>
                  <w14:solidFill>
                    <w14:schemeClr w14:val="tx1"/>
                  </w14:solidFill>
                </w14:textFill>
              </w:rPr>
              <w:t>、</w:t>
            </w:r>
            <w:r>
              <w:rPr>
                <w:rFonts w:hint="default" w:ascii="Times New Roman" w:hAnsi="Times New Roman" w:cs="Times New Roman"/>
                <w:color w:val="000000" w:themeColor="text1"/>
                <w:kern w:val="0"/>
                <w:szCs w:val="21"/>
                <w14:textFill>
                  <w14:solidFill>
                    <w14:schemeClr w14:val="tx1"/>
                  </w14:solidFill>
                </w14:textFill>
              </w:rPr>
              <w:t>氨氮</w:t>
            </w:r>
            <w:r>
              <w:rPr>
                <w:rFonts w:hint="default" w:ascii="Times New Roman" w:hAnsi="Times New Roman" w:cs="Times New Roman"/>
                <w:color w:val="000000" w:themeColor="text1"/>
                <w:szCs w:val="21"/>
                <w:lang w:bidi="ar"/>
                <w14:textFill>
                  <w14:solidFill>
                    <w14:schemeClr w14:val="tx1"/>
                  </w14:solidFill>
                </w14:textFill>
              </w:rPr>
              <w:t>、总磷、</w:t>
            </w:r>
          </w:p>
        </w:tc>
        <w:tc>
          <w:tcPr>
            <w:tcW w:w="3185" w:type="dxa"/>
            <w:vAlign w:val="center"/>
          </w:tcPr>
          <w:p w14:paraId="26ADF763">
            <w:pPr>
              <w:rPr>
                <w:rFonts w:hint="default" w:ascii="Times New Roman" w:hAnsi="Times New Roman" w:cs="Times New Roman"/>
                <w:color w:val="000000" w:themeColor="text1"/>
                <w:szCs w:val="21"/>
                <w14:textFill>
                  <w14:solidFill>
                    <w14:schemeClr w14:val="tx1"/>
                  </w14:solidFill>
                </w14:textFill>
              </w:rPr>
            </w:pPr>
            <w:r>
              <w:rPr>
                <w:rStyle w:val="112"/>
                <w:rFonts w:hint="default" w:ascii="Times New Roman" w:hAnsi="Times New Roman" w:cs="Times New Roman"/>
                <w:color w:val="000000" w:themeColor="text1"/>
                <w:sz w:val="21"/>
                <w:szCs w:val="21"/>
                <w:lang w:eastAsia="zh-CN"/>
                <w14:textFill>
                  <w14:solidFill>
                    <w14:schemeClr w14:val="tx1"/>
                  </w14:solidFill>
                </w14:textFill>
              </w:rPr>
              <w:t>本项目设置</w:t>
            </w:r>
            <w:r>
              <w:rPr>
                <w:rStyle w:val="112"/>
                <w:rFonts w:hint="default" w:ascii="Times New Roman" w:hAnsi="Times New Roman" w:cs="Times New Roman"/>
                <w:color w:val="000000" w:themeColor="text1"/>
                <w:sz w:val="21"/>
                <w:szCs w:val="21"/>
                <w:lang w:val="en-US" w:eastAsia="zh-CN"/>
                <w14:textFill>
                  <w14:solidFill>
                    <w14:schemeClr w14:val="tx1"/>
                  </w14:solidFill>
                </w14:textFill>
              </w:rPr>
              <w:t>1个1m</w:t>
            </w:r>
            <w:r>
              <w:rPr>
                <w:rStyle w:val="112"/>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Style w:val="112"/>
                <w:rFonts w:hint="default" w:ascii="Times New Roman" w:hAnsi="Times New Roman" w:cs="Times New Roman"/>
                <w:color w:val="000000" w:themeColor="text1"/>
                <w:sz w:val="21"/>
                <w:szCs w:val="21"/>
                <w:lang w:val="en-US" w:eastAsia="zh-CN"/>
                <w14:textFill>
                  <w14:solidFill>
                    <w14:schemeClr w14:val="tx1"/>
                  </w14:solidFill>
                </w14:textFill>
              </w:rPr>
              <w:t>化粪池，1个1m</w:t>
            </w:r>
            <w:r>
              <w:rPr>
                <w:rStyle w:val="112"/>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Style w:val="112"/>
                <w:rFonts w:hint="default" w:ascii="Times New Roman" w:hAnsi="Times New Roman" w:cs="Times New Roman"/>
                <w:color w:val="000000" w:themeColor="text1"/>
                <w:sz w:val="21"/>
                <w:szCs w:val="21"/>
                <w:lang w:val="en-US" w:eastAsia="zh-CN"/>
                <w14:textFill>
                  <w14:solidFill>
                    <w14:schemeClr w14:val="tx1"/>
                  </w14:solidFill>
                </w14:textFill>
              </w:rPr>
              <w:t>收集池，1个处理能力为1m3/d的一体化生活污水处理设施，</w:t>
            </w:r>
            <w:r>
              <w:rPr>
                <w:rFonts w:hint="default" w:ascii="Times New Roman" w:hAnsi="Times New Roman" w:cs="Times New Roman"/>
                <w:color w:val="000000" w:themeColor="text1"/>
                <w:lang w:val="en-US" w:eastAsia="zh-CN"/>
                <w14:textFill>
                  <w14:solidFill>
                    <w14:schemeClr w14:val="tx1"/>
                  </w14:solidFill>
                </w14:textFill>
              </w:rPr>
              <w:t>本项目生活污水经化粪池收集后进入一体化生活污水处理设施，经处理达绿化标准后进入收集池，回用于绿化，不外排</w:t>
            </w:r>
            <w:r>
              <w:rPr>
                <w:rStyle w:val="112"/>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925" w:type="dxa"/>
            <w:vAlign w:val="center"/>
          </w:tcPr>
          <w:p w14:paraId="1A444DA5">
            <w:pPr>
              <w:pageBreakBefore w:val="0"/>
              <w:kinsoku/>
              <w:overflowPunct/>
              <w:topLinePunct w:val="0"/>
              <w:bidi w:val="0"/>
              <w:adjustRightInd w:val="0"/>
              <w:snapToGrid w:val="0"/>
              <w:spacing w:line="0" w:lineRule="atLeast"/>
              <w:ind w:left="0" w:leftChars="0" w:right="0"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《城市污水再生利用 城市杂用水水质》（GB/T18920-2020）绿化标准</w:t>
            </w:r>
          </w:p>
        </w:tc>
      </w:tr>
      <w:tr w14:paraId="6290B1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717" w:type="dxa"/>
            <w:vMerge w:val="continue"/>
            <w:vAlign w:val="center"/>
          </w:tcPr>
          <w:p w14:paraId="5974936C">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863" w:type="dxa"/>
            <w:vMerge w:val="continue"/>
            <w:vAlign w:val="center"/>
          </w:tcPr>
          <w:p w14:paraId="6ACBC442">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863" w:type="dxa"/>
            <w:vAlign w:val="center"/>
          </w:tcPr>
          <w:p w14:paraId="46F6084A">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生产废水</w:t>
            </w:r>
          </w:p>
        </w:tc>
        <w:tc>
          <w:tcPr>
            <w:tcW w:w="1247" w:type="dxa"/>
            <w:vAlign w:val="center"/>
          </w:tcPr>
          <w:p w14:paraId="24CB94EC">
            <w:pPr>
              <w:pStyle w:val="31"/>
              <w:spacing w:after="0"/>
              <w:ind w:firstLine="0" w:firstLineChars="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pH、</w:t>
            </w:r>
            <w:r>
              <w:rPr>
                <w:rFonts w:hint="default" w:ascii="Times New Roman" w:hAnsi="Times New Roman" w:cs="Times New Roman"/>
                <w:color w:val="000000" w:themeColor="text1"/>
                <w:kern w:val="0"/>
                <w:szCs w:val="21"/>
                <w14:textFill>
                  <w14:solidFill>
                    <w14:schemeClr w14:val="tx1"/>
                  </w14:solidFill>
                </w14:textFill>
              </w:rPr>
              <w:t>CODcr</w:t>
            </w:r>
            <w:r>
              <w:rPr>
                <w:rFonts w:hint="default" w:ascii="Times New Roman" w:hAnsi="Times New Roman" w:cs="Times New Roman"/>
                <w:color w:val="000000" w:themeColor="text1"/>
                <w:szCs w:val="21"/>
                <w:lang w:bidi="ar"/>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氨氮、SS</w:t>
            </w:r>
          </w:p>
        </w:tc>
        <w:tc>
          <w:tcPr>
            <w:tcW w:w="3185" w:type="dxa"/>
            <w:vAlign w:val="center"/>
          </w:tcPr>
          <w:p w14:paraId="11073E69">
            <w:pPr>
              <w:adjustRightInd w:val="0"/>
              <w:snapToGrid w:val="0"/>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本项目生产过程中</w:t>
            </w:r>
            <w:r>
              <w:rPr>
                <w:rFonts w:hint="default" w:ascii="Times New Roman" w:hAnsi="Times New Roman" w:cs="Times New Roman"/>
                <w:b w:val="0"/>
                <w:bCs/>
                <w:color w:val="000000" w:themeColor="text1"/>
                <w:kern w:val="2"/>
                <w:sz w:val="21"/>
                <w:szCs w:val="21"/>
                <w:lang w:val="en-US" w:eastAsia="zh-CN" w:bidi="ar-SA"/>
                <w14:textFill>
                  <w14:solidFill>
                    <w14:schemeClr w14:val="tx1"/>
                  </w14:solidFill>
                </w14:textFill>
              </w:rPr>
              <w:t>水压试验、气密试验用水</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循环使用，不外排；喷淋塔定期补充新鲜水，循环使用，废液每年更换一次，废液经收集后暂存于危废暂存间，定期交由有危废资质的单位进行处置。</w:t>
            </w:r>
          </w:p>
        </w:tc>
        <w:tc>
          <w:tcPr>
            <w:tcW w:w="1925" w:type="dxa"/>
            <w:vAlign w:val="center"/>
          </w:tcPr>
          <w:p w14:paraId="52902C84">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2B9832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Merge w:val="continue"/>
            <w:vAlign w:val="center"/>
          </w:tcPr>
          <w:p w14:paraId="25684678">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863" w:type="dxa"/>
            <w:vMerge w:val="continue"/>
            <w:vAlign w:val="center"/>
          </w:tcPr>
          <w:p w14:paraId="66F5D8FA">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3" w:type="dxa"/>
            <w:vAlign w:val="center"/>
          </w:tcPr>
          <w:p w14:paraId="4FBE8123">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初期雨水</w:t>
            </w:r>
          </w:p>
        </w:tc>
        <w:tc>
          <w:tcPr>
            <w:tcW w:w="1247" w:type="dxa"/>
            <w:vAlign w:val="center"/>
          </w:tcPr>
          <w:p w14:paraId="4082E1DD">
            <w:pPr>
              <w:pStyle w:val="31"/>
              <w:spacing w:after="0"/>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SS</w:t>
            </w:r>
          </w:p>
        </w:tc>
        <w:tc>
          <w:tcPr>
            <w:tcW w:w="3185" w:type="dxa"/>
            <w:vAlign w:val="center"/>
          </w:tcPr>
          <w:p w14:paraId="2B60C445">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本项目租用“浩峰公司塑料项目”闲置厂房进行建设，根据调查，“浩峰公司塑料项目”建设过程中配套建设了雨水收集池等相关环保设施，现有初期雨水收集池容积为20m3，初期雨水经收集后用于“浩峰公司塑料项目”生产环节使用。</w:t>
            </w:r>
          </w:p>
        </w:tc>
        <w:tc>
          <w:tcPr>
            <w:tcW w:w="1925" w:type="dxa"/>
            <w:vAlign w:val="center"/>
          </w:tcPr>
          <w:p w14:paraId="65B5809B">
            <w:pPr>
              <w:adjustRightInd w:val="0"/>
              <w:snapToGrid w:val="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p>
        </w:tc>
      </w:tr>
      <w:tr w14:paraId="3D6939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14:paraId="674E2E87">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声环境</w:t>
            </w:r>
          </w:p>
        </w:tc>
        <w:tc>
          <w:tcPr>
            <w:tcW w:w="1726" w:type="dxa"/>
            <w:gridSpan w:val="2"/>
            <w:vAlign w:val="center"/>
          </w:tcPr>
          <w:p w14:paraId="3088921E">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Style w:val="110"/>
                <w:rFonts w:hint="default" w:ascii="Times New Roman" w:hAnsi="Times New Roman" w:cs="Times New Roman"/>
                <w:color w:val="000000" w:themeColor="text1"/>
                <w:szCs w:val="21"/>
                <w14:textFill>
                  <w14:solidFill>
                    <w14:schemeClr w14:val="tx1"/>
                  </w14:solidFill>
                </w14:textFill>
              </w:rPr>
              <w:t>生产设备机组</w:t>
            </w:r>
          </w:p>
        </w:tc>
        <w:tc>
          <w:tcPr>
            <w:tcW w:w="1247" w:type="dxa"/>
            <w:vAlign w:val="center"/>
          </w:tcPr>
          <w:p w14:paraId="12355117">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Leq（A）</w:t>
            </w:r>
          </w:p>
        </w:tc>
        <w:tc>
          <w:tcPr>
            <w:tcW w:w="3185" w:type="dxa"/>
            <w:vAlign w:val="center"/>
          </w:tcPr>
          <w:p w14:paraId="2C74FF40">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选用低噪设备、安装减震垫、厂房隔音、风机加装消声器</w:t>
            </w:r>
          </w:p>
        </w:tc>
        <w:tc>
          <w:tcPr>
            <w:tcW w:w="1925" w:type="dxa"/>
            <w:vAlign w:val="center"/>
          </w:tcPr>
          <w:p w14:paraId="5CA259D1">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《工业企业厂界环境噪声排放标准》（GB12348-2008）</w:t>
            </w:r>
            <w:r>
              <w:rPr>
                <w:rFonts w:hint="default" w:ascii="Times New Roman" w:hAnsi="Times New Roman" w:cs="Times New Roman"/>
                <w:color w:val="000000" w:themeColor="text1"/>
                <w:szCs w:val="21"/>
                <w:lang w:eastAsia="zh-CN"/>
                <w14:textFill>
                  <w14:solidFill>
                    <w14:schemeClr w14:val="tx1"/>
                  </w14:solidFill>
                </w14:textFill>
              </w:rPr>
              <w:t>3类标准</w:t>
            </w:r>
            <w:r>
              <w:rPr>
                <w:rFonts w:hint="default" w:ascii="Times New Roman" w:hAnsi="Times New Roman" w:cs="Times New Roman"/>
                <w:color w:val="000000" w:themeColor="text1"/>
                <w:szCs w:val="21"/>
                <w14:textFill>
                  <w14:solidFill>
                    <w14:schemeClr w14:val="tx1"/>
                  </w14:solidFill>
                </w14:textFill>
              </w:rPr>
              <w:t>。</w:t>
            </w:r>
          </w:p>
        </w:tc>
      </w:tr>
      <w:tr w14:paraId="081533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14:paraId="231C8F37">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电磁辐射</w:t>
            </w:r>
          </w:p>
        </w:tc>
        <w:tc>
          <w:tcPr>
            <w:tcW w:w="1726" w:type="dxa"/>
            <w:gridSpan w:val="2"/>
            <w:vAlign w:val="center"/>
          </w:tcPr>
          <w:p w14:paraId="19F1DFC4">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247" w:type="dxa"/>
            <w:vAlign w:val="center"/>
          </w:tcPr>
          <w:p w14:paraId="693EBC0E">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3185" w:type="dxa"/>
            <w:vAlign w:val="center"/>
          </w:tcPr>
          <w:p w14:paraId="29852AA7">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925" w:type="dxa"/>
            <w:vAlign w:val="center"/>
          </w:tcPr>
          <w:p w14:paraId="5F79CF4A">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14:paraId="797586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restart"/>
            <w:vAlign w:val="center"/>
          </w:tcPr>
          <w:p w14:paraId="2277DB0F">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固体废物</w:t>
            </w:r>
          </w:p>
        </w:tc>
        <w:tc>
          <w:tcPr>
            <w:tcW w:w="1726" w:type="dxa"/>
            <w:gridSpan w:val="2"/>
            <w:vAlign w:val="center"/>
          </w:tcPr>
          <w:p w14:paraId="57D9C1D5">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生活垃圾</w:t>
            </w:r>
          </w:p>
        </w:tc>
        <w:tc>
          <w:tcPr>
            <w:tcW w:w="4432" w:type="dxa"/>
            <w:gridSpan w:val="2"/>
            <w:vAlign w:val="center"/>
          </w:tcPr>
          <w:p w14:paraId="358C0043">
            <w:pPr>
              <w:pStyle w:val="19"/>
              <w:keepNext w:val="0"/>
              <w:keepLines/>
              <w:pageBreakBefore w:val="0"/>
              <w:kinsoku/>
              <w:overflowPunct/>
              <w:bidi w:val="0"/>
              <w:adjustRightInd/>
              <w:ind w:left="0" w:leftChars="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垃圾收集桶收集后运至周边村庄生活垃圾收集点，由环卫部门清运处置</w:t>
            </w:r>
          </w:p>
        </w:tc>
        <w:tc>
          <w:tcPr>
            <w:tcW w:w="1925" w:type="dxa"/>
            <w:vMerge w:val="restart"/>
            <w:vAlign w:val="center"/>
          </w:tcPr>
          <w:p w14:paraId="0D6F378C">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100%处置</w:t>
            </w:r>
          </w:p>
        </w:tc>
      </w:tr>
      <w:tr w14:paraId="28CA6B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continue"/>
            <w:vAlign w:val="center"/>
          </w:tcPr>
          <w:p w14:paraId="34B6A9BB">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726" w:type="dxa"/>
            <w:gridSpan w:val="2"/>
            <w:vAlign w:val="center"/>
          </w:tcPr>
          <w:p w14:paraId="75A398A0">
            <w:pPr>
              <w:pageBreakBefore w:val="0"/>
              <w:widowControl/>
              <w:kinsoku/>
              <w:overflowPunct/>
              <w:topLinePunct w:val="0"/>
              <w:bidi w:val="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生活</w:t>
            </w:r>
            <w:r>
              <w:rPr>
                <w:rFonts w:hint="default" w:ascii="Times New Roman" w:hAnsi="Times New Roman" w:eastAsia="宋体" w:cs="Times New Roman"/>
                <w:color w:val="000000" w:themeColor="text1"/>
                <w:sz w:val="21"/>
                <w:szCs w:val="21"/>
                <w14:textFill>
                  <w14:solidFill>
                    <w14:schemeClr w14:val="tx1"/>
                  </w14:solidFill>
                </w14:textFill>
              </w:rPr>
              <w:t>污水处理设施污泥</w:t>
            </w:r>
          </w:p>
        </w:tc>
        <w:tc>
          <w:tcPr>
            <w:tcW w:w="4432" w:type="dxa"/>
            <w:gridSpan w:val="2"/>
            <w:vAlign w:val="center"/>
          </w:tcPr>
          <w:p w14:paraId="2221782A">
            <w:pPr>
              <w:pageBreakBefore w:val="0"/>
              <w:widowControl/>
              <w:kinsoku/>
              <w:overflowPunct/>
              <w:topLinePunct w:val="0"/>
              <w:bidi w:val="0"/>
              <w:ind w:left="0" w:leftChars="0" w:right="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委托环卫部门清运处置</w:t>
            </w:r>
          </w:p>
        </w:tc>
        <w:tc>
          <w:tcPr>
            <w:tcW w:w="1925" w:type="dxa"/>
            <w:vMerge w:val="continue"/>
            <w:vAlign w:val="center"/>
          </w:tcPr>
          <w:p w14:paraId="704A8057">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14:paraId="16A319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continue"/>
            <w:vAlign w:val="center"/>
          </w:tcPr>
          <w:p w14:paraId="1F69BCA5">
            <w:pPr>
              <w:adjustRightInd w:val="0"/>
              <w:snapToGrid w:val="0"/>
              <w:jc w:val="center"/>
              <w:rPr>
                <w:rFonts w:hint="default" w:ascii="Times New Roman" w:hAnsi="Times New Roman" w:cs="Times New Roman"/>
                <w:color w:val="000000" w:themeColor="text1"/>
                <w14:textFill>
                  <w14:solidFill>
                    <w14:schemeClr w14:val="tx1"/>
                  </w14:solidFill>
                </w14:textFill>
              </w:rPr>
            </w:pPr>
          </w:p>
        </w:tc>
        <w:tc>
          <w:tcPr>
            <w:tcW w:w="1726" w:type="dxa"/>
            <w:gridSpan w:val="2"/>
            <w:vAlign w:val="center"/>
          </w:tcPr>
          <w:p w14:paraId="3074D00B">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废</w:t>
            </w:r>
            <w:r>
              <w:rPr>
                <w:rFonts w:hint="eastAsia" w:ascii="Times New Roman" w:hAnsi="Times New Roman" w:cs="Times New Roman"/>
                <w:color w:val="000000" w:themeColor="text1"/>
                <w:sz w:val="21"/>
                <w:szCs w:val="21"/>
                <w:lang w:eastAsia="zh-CN"/>
                <w14:textFill>
                  <w14:solidFill>
                    <w14:schemeClr w14:val="tx1"/>
                  </w14:solidFill>
                </w14:textFill>
              </w:rPr>
              <w:t>液化石油气钢瓶</w:t>
            </w:r>
            <w:r>
              <w:rPr>
                <w:rFonts w:hint="default" w:ascii="Times New Roman" w:hAnsi="Times New Roman" w:eastAsia="宋体" w:cs="Times New Roman"/>
                <w:color w:val="000000" w:themeColor="text1"/>
                <w:sz w:val="21"/>
                <w:szCs w:val="21"/>
                <w:lang w:eastAsia="zh-CN"/>
                <w14:textFill>
                  <w14:solidFill>
                    <w14:schemeClr w14:val="tx1"/>
                  </w14:solidFill>
                </w14:textFill>
              </w:rPr>
              <w:t>、废瓶阀、废钢丸</w:t>
            </w:r>
          </w:p>
        </w:tc>
        <w:tc>
          <w:tcPr>
            <w:tcW w:w="4432" w:type="dxa"/>
            <w:gridSpan w:val="2"/>
            <w:vAlign w:val="center"/>
          </w:tcPr>
          <w:p w14:paraId="6463BD9F">
            <w:pPr>
              <w:pStyle w:val="19"/>
              <w:keepNext w:val="0"/>
              <w:keepLines/>
              <w:pageBreakBefore w:val="0"/>
              <w:kinsoku/>
              <w:overflowPunct/>
              <w:bidi w:val="0"/>
              <w:adjustRightInd/>
              <w:ind w:left="0" w:leftChars="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废</w:t>
            </w:r>
            <w:r>
              <w:rPr>
                <w:rFonts w:hint="eastAsia" w:ascii="Times New Roman" w:hAnsi="Times New Roman" w:cs="Times New Roman"/>
                <w:color w:val="000000" w:themeColor="text1"/>
                <w:sz w:val="21"/>
                <w:szCs w:val="21"/>
                <w:lang w:eastAsia="zh-CN"/>
                <w14:textFill>
                  <w14:solidFill>
                    <w14:schemeClr w14:val="tx1"/>
                  </w14:solidFill>
                </w14:textFill>
              </w:rPr>
              <w:t>液化石油气钢瓶</w:t>
            </w:r>
            <w:r>
              <w:rPr>
                <w:rFonts w:hint="default" w:ascii="Times New Roman" w:hAnsi="Times New Roman" w:eastAsia="宋体" w:cs="Times New Roman"/>
                <w:color w:val="000000" w:themeColor="text1"/>
                <w:sz w:val="21"/>
                <w:szCs w:val="21"/>
                <w:lang w:eastAsia="zh-CN"/>
                <w14:textFill>
                  <w14:solidFill>
                    <w14:schemeClr w14:val="tx1"/>
                  </w14:solidFill>
                </w14:textFill>
              </w:rPr>
              <w:t>进入压扁区压扁后，同废瓶阀、废钢丸</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经收集至</w:t>
            </w:r>
            <w:r>
              <w:rPr>
                <w:rFonts w:hint="default" w:ascii="Times New Roman" w:hAnsi="Times New Roman" w:cs="Times New Roman"/>
                <w:color w:val="000000" w:themeColor="text1"/>
                <w:sz w:val="21"/>
                <w:szCs w:val="21"/>
                <w:lang w:val="en-US" w:eastAsia="zh-CN"/>
                <w14:textFill>
                  <w14:solidFill>
                    <w14:schemeClr w14:val="tx1"/>
                  </w14:solidFill>
                </w14:textFill>
              </w:rPr>
              <w:t>一般固废暂存区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暂存，定期外售</w:t>
            </w:r>
          </w:p>
        </w:tc>
        <w:tc>
          <w:tcPr>
            <w:tcW w:w="1925" w:type="dxa"/>
            <w:vMerge w:val="continue"/>
            <w:vAlign w:val="center"/>
          </w:tcPr>
          <w:p w14:paraId="3197E586">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14:paraId="31416B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continue"/>
            <w:vAlign w:val="center"/>
          </w:tcPr>
          <w:p w14:paraId="676E6A05">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726" w:type="dxa"/>
            <w:gridSpan w:val="2"/>
            <w:vAlign w:val="center"/>
          </w:tcPr>
          <w:p w14:paraId="512E3515">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废橡胶圈</w:t>
            </w:r>
          </w:p>
        </w:tc>
        <w:tc>
          <w:tcPr>
            <w:tcW w:w="4432" w:type="dxa"/>
            <w:gridSpan w:val="2"/>
            <w:vMerge w:val="restart"/>
            <w:vAlign w:val="center"/>
          </w:tcPr>
          <w:p w14:paraId="4E4D0E06">
            <w:pPr>
              <w:pStyle w:val="19"/>
              <w:keepNext w:val="0"/>
              <w:keepLines/>
              <w:pageBreakBefore w:val="0"/>
              <w:kinsoku/>
              <w:overflowPunct/>
              <w:bidi w:val="0"/>
              <w:adjustRightInd/>
              <w:ind w:left="0" w:leftChars="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废橡胶圈、焚烧炉燃灰、</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废滤筒、脱硫废渣经收集</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至</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一般固废暂存区</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暂存，</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定期外售废品回收商处置</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1925" w:type="dxa"/>
            <w:vMerge w:val="continue"/>
            <w:vAlign w:val="center"/>
          </w:tcPr>
          <w:p w14:paraId="790CF96E">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14:paraId="1FD99B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continue"/>
            <w:vAlign w:val="center"/>
          </w:tcPr>
          <w:p w14:paraId="575275D3">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726" w:type="dxa"/>
            <w:gridSpan w:val="2"/>
            <w:vAlign w:val="center"/>
          </w:tcPr>
          <w:p w14:paraId="004E83BC">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焚烧炉燃灰</w:t>
            </w:r>
          </w:p>
        </w:tc>
        <w:tc>
          <w:tcPr>
            <w:tcW w:w="4432" w:type="dxa"/>
            <w:gridSpan w:val="2"/>
            <w:vMerge w:val="continue"/>
            <w:vAlign w:val="center"/>
          </w:tcPr>
          <w:p w14:paraId="491A2AB2">
            <w:pPr>
              <w:pStyle w:val="19"/>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925" w:type="dxa"/>
            <w:vMerge w:val="continue"/>
            <w:vAlign w:val="center"/>
          </w:tcPr>
          <w:p w14:paraId="27C98A52">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14:paraId="6B1A00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continue"/>
            <w:vAlign w:val="center"/>
          </w:tcPr>
          <w:p w14:paraId="53DE2C3A">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726" w:type="dxa"/>
            <w:gridSpan w:val="2"/>
            <w:vAlign w:val="center"/>
          </w:tcPr>
          <w:p w14:paraId="1CCDDFFD">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废滤筒</w:t>
            </w:r>
          </w:p>
        </w:tc>
        <w:tc>
          <w:tcPr>
            <w:tcW w:w="4432" w:type="dxa"/>
            <w:gridSpan w:val="2"/>
            <w:vMerge w:val="continue"/>
            <w:vAlign w:val="center"/>
          </w:tcPr>
          <w:p w14:paraId="6541FBD1">
            <w:pPr>
              <w:pStyle w:val="19"/>
              <w:keepNext w:val="0"/>
              <w:keepLines/>
              <w:pageBreakBefore w:val="0"/>
              <w:kinsoku/>
              <w:overflowPunct/>
              <w:bidi w:val="0"/>
              <w:adjustRightInd/>
              <w:ind w:left="0" w:leftChars="0" w:firstLine="0" w:firstLineChars="0"/>
              <w:jc w:val="center"/>
              <w:rPr>
                <w:rFonts w:hint="default" w:ascii="Times New Roman" w:hAnsi="Times New Roman" w:cs="Times New Roman"/>
                <w:color w:val="000000" w:themeColor="text1"/>
                <w14:textFill>
                  <w14:solidFill>
                    <w14:schemeClr w14:val="tx1"/>
                  </w14:solidFill>
                </w14:textFill>
              </w:rPr>
            </w:pPr>
          </w:p>
        </w:tc>
        <w:tc>
          <w:tcPr>
            <w:tcW w:w="1925" w:type="dxa"/>
            <w:vMerge w:val="continue"/>
            <w:vAlign w:val="center"/>
          </w:tcPr>
          <w:p w14:paraId="3AE42444">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14:paraId="736C48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continue"/>
            <w:vAlign w:val="center"/>
          </w:tcPr>
          <w:p w14:paraId="1F7D9219">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726" w:type="dxa"/>
            <w:gridSpan w:val="2"/>
            <w:vAlign w:val="center"/>
          </w:tcPr>
          <w:p w14:paraId="24E3780F">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脱硫废渣</w:t>
            </w:r>
          </w:p>
        </w:tc>
        <w:tc>
          <w:tcPr>
            <w:tcW w:w="4432" w:type="dxa"/>
            <w:gridSpan w:val="2"/>
            <w:vMerge w:val="continue"/>
            <w:vAlign w:val="center"/>
          </w:tcPr>
          <w:p w14:paraId="107ECA75">
            <w:pPr>
              <w:pStyle w:val="19"/>
              <w:keepNext w:val="0"/>
              <w:keepLines/>
              <w:pageBreakBefore w:val="0"/>
              <w:kinsoku/>
              <w:overflowPunct/>
              <w:bidi w:val="0"/>
              <w:adjustRightInd/>
              <w:ind w:left="0" w:leftChars="0" w:firstLine="0" w:firstLineChars="0"/>
              <w:jc w:val="center"/>
              <w:rPr>
                <w:rFonts w:hint="default" w:ascii="Times New Roman" w:hAnsi="Times New Roman" w:cs="Times New Roman"/>
                <w:color w:val="000000" w:themeColor="text1"/>
                <w14:textFill>
                  <w14:solidFill>
                    <w14:schemeClr w14:val="tx1"/>
                  </w14:solidFill>
                </w14:textFill>
              </w:rPr>
            </w:pPr>
          </w:p>
        </w:tc>
        <w:tc>
          <w:tcPr>
            <w:tcW w:w="1925" w:type="dxa"/>
            <w:vMerge w:val="continue"/>
            <w:vAlign w:val="center"/>
          </w:tcPr>
          <w:p w14:paraId="63A7B3A2">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14:paraId="08B828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continue"/>
            <w:vAlign w:val="center"/>
          </w:tcPr>
          <w:p w14:paraId="67578011">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726" w:type="dxa"/>
            <w:gridSpan w:val="2"/>
            <w:vAlign w:val="center"/>
          </w:tcPr>
          <w:p w14:paraId="71D3D32E">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除尘灰</w:t>
            </w:r>
          </w:p>
        </w:tc>
        <w:tc>
          <w:tcPr>
            <w:tcW w:w="4432" w:type="dxa"/>
            <w:gridSpan w:val="2"/>
            <w:vAlign w:val="center"/>
          </w:tcPr>
          <w:p w14:paraId="652BE1A9">
            <w:pPr>
              <w:pStyle w:val="19"/>
              <w:keepNext w:val="0"/>
              <w:keepLines/>
              <w:pageBreakBefore w:val="0"/>
              <w:kinsoku/>
              <w:overflowPunct/>
              <w:bidi w:val="0"/>
              <w:adjustRightInd/>
              <w:ind w:left="0" w:leftChars="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抛丸除锈</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环节</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收集粉尘</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焚烧</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环节</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收集粉</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尘经</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收集后暂存于一般固废暂存区，</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定期</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外售废品回收商</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处置</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喷塑环节收集粉尘经收集后回用于生产环节。</w:t>
            </w:r>
          </w:p>
        </w:tc>
        <w:tc>
          <w:tcPr>
            <w:tcW w:w="1925" w:type="dxa"/>
            <w:vMerge w:val="continue"/>
            <w:vAlign w:val="center"/>
          </w:tcPr>
          <w:p w14:paraId="46C492B6">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14:paraId="48B12A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continue"/>
            <w:vAlign w:val="center"/>
          </w:tcPr>
          <w:p w14:paraId="19A2EBA7">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726" w:type="dxa"/>
            <w:gridSpan w:val="2"/>
            <w:vAlign w:val="center"/>
          </w:tcPr>
          <w:p w14:paraId="66B2E84D">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废油墨桶</w:t>
            </w:r>
          </w:p>
        </w:tc>
        <w:tc>
          <w:tcPr>
            <w:tcW w:w="4432" w:type="dxa"/>
            <w:gridSpan w:val="2"/>
            <w:vMerge w:val="restart"/>
            <w:vAlign w:val="center"/>
          </w:tcPr>
          <w:p w14:paraId="70CDBB0F">
            <w:pPr>
              <w:pStyle w:val="19"/>
              <w:keepNext w:val="0"/>
              <w:keepLines/>
              <w:pageBreakBefore w:val="0"/>
              <w:kinsoku/>
              <w:overflowPunct/>
              <w:bidi w:val="0"/>
              <w:adjustRightInd/>
              <w:ind w:left="0" w:leftChars="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经收集后分类暂存于危废暂存间，定期委托有资质单位清运处置。</w:t>
            </w:r>
          </w:p>
        </w:tc>
        <w:tc>
          <w:tcPr>
            <w:tcW w:w="1925" w:type="dxa"/>
            <w:vMerge w:val="continue"/>
            <w:vAlign w:val="center"/>
          </w:tcPr>
          <w:p w14:paraId="4CEE538F">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14:paraId="5A9009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continue"/>
            <w:vAlign w:val="center"/>
          </w:tcPr>
          <w:p w14:paraId="12D17D2B">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726" w:type="dxa"/>
            <w:gridSpan w:val="2"/>
            <w:vAlign w:val="center"/>
          </w:tcPr>
          <w:p w14:paraId="165523F7">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废网板</w:t>
            </w:r>
          </w:p>
        </w:tc>
        <w:tc>
          <w:tcPr>
            <w:tcW w:w="4432" w:type="dxa"/>
            <w:gridSpan w:val="2"/>
            <w:vMerge w:val="continue"/>
            <w:vAlign w:val="center"/>
          </w:tcPr>
          <w:p w14:paraId="7A0D76E9">
            <w:pPr>
              <w:pStyle w:val="19"/>
              <w:keepNext w:val="0"/>
              <w:keepLines/>
              <w:pageBreakBefore w:val="0"/>
              <w:kinsoku/>
              <w:overflowPunct/>
              <w:bidi w:val="0"/>
              <w:adjustRightInd/>
              <w:ind w:left="0" w:leftChars="0" w:firstLine="0" w:firstLineChars="0"/>
              <w:jc w:val="center"/>
              <w:rPr>
                <w:rFonts w:hint="default" w:ascii="Times New Roman" w:hAnsi="Times New Roman" w:cs="Times New Roman"/>
                <w:color w:val="000000" w:themeColor="text1"/>
                <w14:textFill>
                  <w14:solidFill>
                    <w14:schemeClr w14:val="tx1"/>
                  </w14:solidFill>
                </w14:textFill>
              </w:rPr>
            </w:pPr>
          </w:p>
        </w:tc>
        <w:tc>
          <w:tcPr>
            <w:tcW w:w="1925" w:type="dxa"/>
            <w:vMerge w:val="continue"/>
            <w:vAlign w:val="center"/>
          </w:tcPr>
          <w:p w14:paraId="7C35B6D5">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14:paraId="41E5B1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continue"/>
            <w:vAlign w:val="center"/>
          </w:tcPr>
          <w:p w14:paraId="3B97AE80">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726" w:type="dxa"/>
            <w:gridSpan w:val="2"/>
            <w:vAlign w:val="center"/>
          </w:tcPr>
          <w:p w14:paraId="6A488648">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喷淋废水</w:t>
            </w:r>
          </w:p>
        </w:tc>
        <w:tc>
          <w:tcPr>
            <w:tcW w:w="4432" w:type="dxa"/>
            <w:gridSpan w:val="2"/>
            <w:vMerge w:val="continue"/>
            <w:vAlign w:val="center"/>
          </w:tcPr>
          <w:p w14:paraId="594753B9">
            <w:pPr>
              <w:pStyle w:val="124"/>
              <w:rPr>
                <w:rFonts w:hint="default" w:ascii="Times New Roman" w:hAnsi="Times New Roman" w:cs="Times New Roman"/>
                <w:color w:val="000000" w:themeColor="text1"/>
                <w:szCs w:val="21"/>
                <w14:textFill>
                  <w14:solidFill>
                    <w14:schemeClr w14:val="tx1"/>
                  </w14:solidFill>
                </w14:textFill>
              </w:rPr>
            </w:pPr>
          </w:p>
        </w:tc>
        <w:tc>
          <w:tcPr>
            <w:tcW w:w="1925" w:type="dxa"/>
            <w:vMerge w:val="continue"/>
            <w:vAlign w:val="center"/>
          </w:tcPr>
          <w:p w14:paraId="4ECFC7FA">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14:paraId="7FD972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Merge w:val="continue"/>
            <w:vAlign w:val="center"/>
          </w:tcPr>
          <w:p w14:paraId="59EACFE5">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726" w:type="dxa"/>
            <w:gridSpan w:val="2"/>
            <w:vAlign w:val="center"/>
          </w:tcPr>
          <w:p w14:paraId="4802EE06">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废</w:t>
            </w:r>
            <w:r>
              <w:rPr>
                <w:rFonts w:hint="default" w:ascii="Times New Roman" w:hAnsi="Times New Roman" w:cs="Times New Roman"/>
                <w:color w:val="000000" w:themeColor="text1"/>
                <w:sz w:val="21"/>
                <w:szCs w:val="21"/>
                <w:lang w:eastAsia="zh-CN"/>
                <w14:textFill>
                  <w14:solidFill>
                    <w14:schemeClr w14:val="tx1"/>
                  </w14:solidFill>
                </w14:textFill>
              </w:rPr>
              <w:t>机油</w:t>
            </w:r>
          </w:p>
        </w:tc>
        <w:tc>
          <w:tcPr>
            <w:tcW w:w="4432" w:type="dxa"/>
            <w:gridSpan w:val="2"/>
            <w:vMerge w:val="continue"/>
            <w:vAlign w:val="center"/>
          </w:tcPr>
          <w:p w14:paraId="438F1F79">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925" w:type="dxa"/>
            <w:vMerge w:val="continue"/>
            <w:vAlign w:val="center"/>
          </w:tcPr>
          <w:p w14:paraId="6228E290">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14:paraId="21E110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14:paraId="192B5F6F">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土壤及地下水污染防治措施</w:t>
            </w:r>
          </w:p>
        </w:tc>
        <w:tc>
          <w:tcPr>
            <w:tcW w:w="8083" w:type="dxa"/>
            <w:gridSpan w:val="5"/>
            <w:vAlign w:val="center"/>
          </w:tcPr>
          <w:p w14:paraId="212E32EB">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b/>
                <w:bCs w:val="0"/>
                <w:color w:val="000000" w:themeColor="text1"/>
                <w14:textFill>
                  <w14:solidFill>
                    <w14:schemeClr w14:val="tx1"/>
                  </w14:solidFill>
                </w14:textFill>
              </w:rPr>
              <w:t>重点防渗</w:t>
            </w:r>
            <w:r>
              <w:rPr>
                <w:rFonts w:hint="default" w:ascii="Times New Roman" w:hAnsi="Times New Roman" w:cs="Times New Roman"/>
                <w:b/>
                <w:bCs w:val="0"/>
                <w:color w:val="000000" w:themeColor="text1"/>
                <w:lang w:eastAsia="zh-CN"/>
                <w14:textFill>
                  <w14:solidFill>
                    <w14:schemeClr w14:val="tx1"/>
                  </w14:solidFill>
                </w14:textFill>
              </w:rPr>
              <w:t>区：</w:t>
            </w:r>
            <w:r>
              <w:rPr>
                <w:rFonts w:hint="default" w:ascii="Times New Roman" w:hAnsi="Times New Roman" w:cs="Times New Roman"/>
                <w:b w:val="0"/>
                <w:bCs w:val="0"/>
                <w:color w:val="000000" w:themeColor="text1"/>
                <w:sz w:val="21"/>
                <w:szCs w:val="21"/>
                <w:lang w:eastAsia="zh-CN"/>
                <w14:textFill>
                  <w14:solidFill>
                    <w14:schemeClr w14:val="tx1"/>
                  </w14:solidFill>
                </w14:textFill>
              </w:rPr>
              <w:t>液化气瓶区、</w:t>
            </w:r>
            <w:r>
              <w:rPr>
                <w:rFonts w:hint="default" w:ascii="Times New Roman" w:hAnsi="Times New Roman" w:eastAsia="宋体" w:cs="Times New Roman"/>
                <w:b w:val="0"/>
                <w:bCs w:val="0"/>
                <w:color w:val="000000" w:themeColor="text1"/>
                <w:sz w:val="21"/>
                <w:szCs w:val="21"/>
                <w14:textFill>
                  <w14:solidFill>
                    <w14:schemeClr w14:val="tx1"/>
                  </w14:solidFill>
                </w14:textFill>
              </w:rPr>
              <w:t>危</w:t>
            </w:r>
            <w:r>
              <w:rPr>
                <w:rFonts w:hint="default" w:ascii="Times New Roman" w:hAnsi="Times New Roman" w:eastAsia="宋体" w:cs="Times New Roman"/>
                <w:color w:val="000000" w:themeColor="text1"/>
                <w:sz w:val="21"/>
                <w:szCs w:val="21"/>
                <w14:textFill>
                  <w14:solidFill>
                    <w14:schemeClr w14:val="tx1"/>
                  </w14:solidFill>
                </w14:textFill>
              </w:rPr>
              <w:t>废暂存间</w:t>
            </w:r>
            <w:r>
              <w:rPr>
                <w:rFonts w:hint="default" w:ascii="Times New Roman" w:hAnsi="Times New Roman" w:cs="Times New Roman"/>
                <w:color w:val="000000" w:themeColor="text1"/>
                <w:sz w:val="21"/>
                <w:szCs w:val="21"/>
                <w:lang w:eastAsia="zh-CN"/>
                <w14:textFill>
                  <w14:solidFill>
                    <w14:schemeClr w14:val="tx1"/>
                  </w14:solidFill>
                </w14:textFill>
              </w:rPr>
              <w:t>作为</w:t>
            </w:r>
            <w:r>
              <w:rPr>
                <w:rFonts w:hint="default" w:ascii="Times New Roman" w:hAnsi="Times New Roman" w:eastAsia="宋体" w:cs="Times New Roman"/>
                <w:color w:val="000000" w:themeColor="text1"/>
                <w:sz w:val="21"/>
                <w:szCs w:val="21"/>
                <w14:textFill>
                  <w14:solidFill>
                    <w14:schemeClr w14:val="tx1"/>
                  </w14:solidFill>
                </w14:textFill>
              </w:rPr>
              <w:t>重点防渗</w:t>
            </w:r>
            <w:r>
              <w:rPr>
                <w:rFonts w:hint="default" w:ascii="Times New Roman" w:hAnsi="Times New Roman" w:cs="Times New Roman"/>
                <w:color w:val="000000" w:themeColor="text1"/>
                <w:sz w:val="21"/>
                <w:szCs w:val="21"/>
                <w:lang w:eastAsia="zh-CN"/>
                <w14:textFill>
                  <w14:solidFill>
                    <w14:schemeClr w14:val="tx1"/>
                  </w14:solidFill>
                </w14:textFill>
              </w:rPr>
              <w:t>区。液化气瓶区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按照</w:t>
            </w:r>
            <w:r>
              <w:rPr>
                <w:rFonts w:hint="default" w:ascii="Times New Roman" w:hAnsi="Times New Roman" w:eastAsia="宋体" w:cs="Times New Roman"/>
                <w:color w:val="000000" w:themeColor="text1"/>
                <w:sz w:val="21"/>
                <w:szCs w:val="21"/>
                <w14:textFill>
                  <w14:solidFill>
                    <w14:schemeClr w14:val="tx1"/>
                  </w14:solidFill>
                </w14:textFill>
              </w:rPr>
              <w:t>《环境影响评价技术导则 地下水环境》（HJ610-2016）中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重点</w:t>
            </w:r>
            <w:r>
              <w:rPr>
                <w:rFonts w:hint="default" w:ascii="Times New Roman" w:hAnsi="Times New Roman" w:eastAsia="宋体" w:cs="Times New Roman"/>
                <w:color w:val="000000" w:themeColor="text1"/>
                <w:sz w:val="21"/>
                <w:szCs w:val="21"/>
                <w14:textFill>
                  <w14:solidFill>
                    <w14:schemeClr w14:val="tx1"/>
                  </w14:solidFill>
                </w14:textFill>
              </w:rPr>
              <w:t>防渗区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进行防渗</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等效黏土防渗层 Mb≥6.0m，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color w:val="000000" w:themeColor="text1"/>
                <w:sz w:val="21"/>
                <w:szCs w:val="21"/>
                <w14:textFill>
                  <w14:solidFill>
                    <w14:schemeClr w14:val="tx1"/>
                  </w14:solidFill>
                </w14:textFill>
              </w:rPr>
              <w:t>&lt;1.0×10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cm/s</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或参照 GB 18598 执行。</w:t>
            </w:r>
          </w:p>
          <w:p w14:paraId="3F1CB94A">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危</w:t>
            </w:r>
            <w:r>
              <w:rPr>
                <w:rFonts w:hint="default" w:ascii="Times New Roman" w:hAnsi="Times New Roman" w:eastAsia="宋体" w:cs="Times New Roman"/>
                <w:color w:val="000000" w:themeColor="text1"/>
                <w:sz w:val="21"/>
                <w:szCs w:val="21"/>
                <w14:textFill>
                  <w14:solidFill>
                    <w14:schemeClr w14:val="tx1"/>
                  </w14:solidFill>
                </w14:textFill>
              </w:rPr>
              <w:t>废暂存间、</w:t>
            </w:r>
            <w:r>
              <w:rPr>
                <w:rFonts w:hint="eastAsia" w:cs="Times New Roman"/>
                <w:color w:val="000000" w:themeColor="text1"/>
                <w:sz w:val="21"/>
                <w:szCs w:val="21"/>
                <w:lang w:eastAsia="zh-CN"/>
                <w14:textFill>
                  <w14:solidFill>
                    <w14:schemeClr w14:val="tx1"/>
                  </w14:solidFill>
                </w14:textFill>
              </w:rPr>
              <w:t>废气喷淋设施区域参照</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执行《危险废物贮存污染控制标准》（GB18597-20</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23</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）相关要求，防渗层为至少1 m厚黏土层（渗透系数不大于10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cm/s），或至少2 mm厚高密度聚乙烯膜等人工防渗材料（渗透系数不大于10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cm/s）</w:t>
            </w:r>
            <w:r>
              <w:rPr>
                <w:rFonts w:hint="default" w:ascii="Times New Roman" w:hAnsi="Times New Roman" w:cs="Times New Roman"/>
                <w:b w:val="0"/>
                <w:bCs/>
                <w:color w:val="000000" w:themeColor="text1"/>
                <w:sz w:val="21"/>
                <w:szCs w:val="21"/>
                <w14:textFill>
                  <w14:solidFill>
                    <w14:schemeClr w14:val="tx1"/>
                  </w14:solidFill>
                </w14:textFill>
              </w:rPr>
              <w:t>。</w:t>
            </w:r>
          </w:p>
          <w:p w14:paraId="1EDAB6E2">
            <w:pPr>
              <w:pageBreakBefore w:val="0"/>
              <w:widowControl/>
              <w:kinsoku/>
              <w:overflowPunct/>
              <w:topLinePunct w:val="0"/>
              <w:bidi w:val="0"/>
              <w:ind w:left="0" w:leftChars="0" w:right="0" w:rightChars="0"/>
              <w:jc w:val="center"/>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bCs w:val="0"/>
                <w:color w:val="000000" w:themeColor="text1"/>
                <w14:textFill>
                  <w14:solidFill>
                    <w14:schemeClr w14:val="tx1"/>
                  </w14:solidFill>
                </w14:textFill>
              </w:rPr>
              <w:t>一般防渗区</w:t>
            </w:r>
            <w:r>
              <w:rPr>
                <w:rFonts w:hint="default" w:ascii="Times New Roman" w:hAnsi="Times New Roman" w:cs="Times New Roman"/>
                <w:b/>
                <w:bCs w:val="0"/>
                <w:color w:val="000000" w:themeColor="text1"/>
                <w:lang w:eastAsia="zh-CN"/>
                <w14:textFill>
                  <w14:solidFill>
                    <w14:schemeClr w14:val="tx1"/>
                  </w14:solidFill>
                </w14:textFill>
              </w:rPr>
              <w:t>：</w:t>
            </w:r>
            <w:r>
              <w:rPr>
                <w:rFonts w:hint="default" w:ascii="Times New Roman" w:hAnsi="Times New Roman" w:cs="Times New Roman"/>
                <w:b w:val="0"/>
                <w:bCs/>
                <w:color w:val="000000" w:themeColor="text1"/>
                <w:sz w:val="21"/>
                <w:szCs w:val="21"/>
                <w:lang w:eastAsia="zh-CN"/>
                <w14:textFill>
                  <w14:solidFill>
                    <w14:schemeClr w14:val="tx1"/>
                  </w14:solidFill>
                </w14:textFill>
              </w:rPr>
              <w:t>生产区、待检区、成品区、压扁区、一般固废暂存区、辅料库、化粪池、一体化生活污水处理设施、收集池等区域地面为一般防渗区</w:t>
            </w:r>
            <w:r>
              <w:rPr>
                <w:rFonts w:hint="default" w:ascii="Times New Roman" w:hAnsi="Times New Roman" w:cs="Times New Roman"/>
                <w:b w:val="0"/>
                <w:bCs/>
                <w:color w:val="000000" w:themeColor="text1"/>
                <w:sz w:val="21"/>
                <w:szCs w:val="21"/>
                <w14:textFill>
                  <w14:solidFill>
                    <w14:schemeClr w14:val="tx1"/>
                  </w14:solidFill>
                </w14:textFill>
              </w:rPr>
              <w:t>，</w:t>
            </w:r>
            <w:r>
              <w:rPr>
                <w:rFonts w:hint="default" w:ascii="Times New Roman" w:hAnsi="Times New Roman" w:cs="Times New Roman"/>
                <w:b w:val="0"/>
                <w:bCs/>
                <w:color w:val="000000" w:themeColor="text1"/>
                <w:sz w:val="21"/>
                <w:szCs w:val="18"/>
                <w:highlight w:val="none"/>
                <w14:textFill>
                  <w14:solidFill>
                    <w14:schemeClr w14:val="tx1"/>
                  </w14:solidFill>
                </w14:textFill>
              </w:rPr>
              <w:t>按照《环境影响评价技术导则 地下水环境》（HJ610-2016）中一般防渗区的防渗要求</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进行防渗</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等效黏土防渗层 Mb≥</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b w:val="0"/>
                <w:bCs/>
                <w:color w:val="000000" w:themeColor="text1"/>
                <w:sz w:val="21"/>
                <w:szCs w:val="21"/>
                <w14:textFill>
                  <w14:solidFill>
                    <w14:schemeClr w14:val="tx1"/>
                  </w14:solidFill>
                </w14:textFill>
              </w:rPr>
              <w:t>m，</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b w:val="0"/>
                <w:bCs/>
                <w:color w:val="000000" w:themeColor="text1"/>
                <w:sz w:val="21"/>
                <w:szCs w:val="21"/>
                <w14:textFill>
                  <w14:solidFill>
                    <w14:schemeClr w14:val="tx1"/>
                  </w14:solidFill>
                </w14:textFill>
              </w:rPr>
              <w:t>&lt;1.0×10</w:t>
            </w:r>
            <w:r>
              <w:rPr>
                <w:rFonts w:hint="default" w:ascii="Times New Roman" w:hAnsi="Times New Roman" w:eastAsia="宋体" w:cs="Times New Roman"/>
                <w:b w:val="0"/>
                <w:bCs/>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b w:val="0"/>
                <w:bCs/>
                <w:color w:val="000000" w:themeColor="text1"/>
                <w:sz w:val="21"/>
                <w:szCs w:val="21"/>
                <w14:textFill>
                  <w14:solidFill>
                    <w14:schemeClr w14:val="tx1"/>
                  </w14:solidFill>
                </w14:textFill>
              </w:rPr>
              <w:t>cm/s</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 xml:space="preserve">或参照 GB </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16889</w:t>
            </w:r>
            <w:r>
              <w:rPr>
                <w:rFonts w:hint="default" w:ascii="Times New Roman" w:hAnsi="Times New Roman" w:eastAsia="宋体" w:cs="Times New Roman"/>
                <w:b w:val="0"/>
                <w:bCs/>
                <w:color w:val="000000" w:themeColor="text1"/>
                <w:sz w:val="21"/>
                <w:szCs w:val="21"/>
                <w14:textFill>
                  <w14:solidFill>
                    <w14:schemeClr w14:val="tx1"/>
                  </w14:solidFill>
                </w14:textFill>
              </w:rPr>
              <w:t>执行</w:t>
            </w:r>
            <w:r>
              <w:rPr>
                <w:rFonts w:hint="default" w:ascii="Times New Roman" w:hAnsi="Times New Roman" w:cs="Times New Roman"/>
                <w:b w:val="0"/>
                <w:bCs/>
                <w:color w:val="000000" w:themeColor="text1"/>
                <w:sz w:val="21"/>
                <w:szCs w:val="21"/>
                <w14:textFill>
                  <w14:solidFill>
                    <w14:schemeClr w14:val="tx1"/>
                  </w14:solidFill>
                </w14:textFill>
              </w:rPr>
              <w:t>。</w:t>
            </w:r>
          </w:p>
          <w:p w14:paraId="7D2C6785">
            <w:pPr>
              <w:widowControl/>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
                <w:bCs w:val="0"/>
                <w:color w:val="000000" w:themeColor="text1"/>
                <w14:textFill>
                  <w14:solidFill>
                    <w14:schemeClr w14:val="tx1"/>
                  </w14:solidFill>
                </w14:textFill>
              </w:rPr>
              <w:t>简单防渗区</w:t>
            </w:r>
            <w:r>
              <w:rPr>
                <w:rFonts w:hint="default" w:ascii="Times New Roman" w:hAnsi="Times New Roman" w:cs="Times New Roman"/>
                <w:b/>
                <w:bCs w:val="0"/>
                <w:color w:val="000000" w:themeColor="text1"/>
                <w:lang w:eastAsia="zh-CN"/>
                <w14:textFill>
                  <w14:solidFill>
                    <w14:schemeClr w14:val="tx1"/>
                  </w14:solidFill>
                </w14:textFill>
              </w:rPr>
              <w:t>：</w:t>
            </w:r>
            <w:r>
              <w:rPr>
                <w:rFonts w:hint="default" w:ascii="Times New Roman" w:hAnsi="Times New Roman" w:cs="Times New Roman"/>
                <w:b w:val="0"/>
                <w:bCs/>
                <w:color w:val="000000" w:themeColor="text1"/>
                <w:lang w:eastAsia="zh-CN"/>
                <w14:textFill>
                  <w14:solidFill>
                    <w14:schemeClr w14:val="tx1"/>
                  </w14:solidFill>
                </w14:textFill>
              </w:rPr>
              <w:t>车间运输通道、办公区等区域地面</w:t>
            </w:r>
            <w:r>
              <w:rPr>
                <w:rFonts w:hint="default" w:ascii="Times New Roman" w:hAnsi="Times New Roman" w:cs="Times New Roman"/>
                <w:b w:val="0"/>
                <w:bCs/>
                <w:color w:val="000000" w:themeColor="text1"/>
                <w:sz w:val="21"/>
                <w:szCs w:val="21"/>
                <w14:textFill>
                  <w14:solidFill>
                    <w14:schemeClr w14:val="tx1"/>
                  </w14:solidFill>
                </w14:textFill>
              </w:rPr>
              <w:t>为简单防渗区，地面硬化</w:t>
            </w:r>
            <w:r>
              <w:rPr>
                <w:rFonts w:hint="default" w:ascii="Times New Roman" w:hAnsi="Times New Roman" w:cs="Times New Roman"/>
                <w:b w:val="0"/>
                <w:bCs/>
                <w:color w:val="000000" w:themeColor="text1"/>
                <w:sz w:val="21"/>
                <w:szCs w:val="21"/>
                <w:lang w:eastAsia="zh-CN"/>
                <w14:textFill>
                  <w14:solidFill>
                    <w14:schemeClr w14:val="tx1"/>
                  </w14:solidFill>
                </w14:textFill>
              </w:rPr>
              <w:t>处理</w:t>
            </w:r>
          </w:p>
        </w:tc>
      </w:tr>
      <w:tr w14:paraId="181C39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14:paraId="3D7D57FF">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生态保护措施</w:t>
            </w:r>
          </w:p>
        </w:tc>
        <w:tc>
          <w:tcPr>
            <w:tcW w:w="8083" w:type="dxa"/>
            <w:gridSpan w:val="5"/>
            <w:vAlign w:val="center"/>
          </w:tcPr>
          <w:p w14:paraId="6E5B96EF">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14:paraId="6A1D52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14:paraId="32C5EFE1">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环境风险防范措施</w:t>
            </w:r>
          </w:p>
        </w:tc>
        <w:tc>
          <w:tcPr>
            <w:tcW w:w="8083" w:type="dxa"/>
            <w:gridSpan w:val="5"/>
            <w:vAlign w:val="center"/>
          </w:tcPr>
          <w:p w14:paraId="6FDDA8F7">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风险事故主要为泄漏</w:t>
            </w:r>
            <w:r>
              <w:rPr>
                <w:rFonts w:hint="default" w:ascii="Times New Roman" w:hAnsi="Times New Roman" w:eastAsia="宋体" w:cs="Times New Roman"/>
                <w:color w:val="000000" w:themeColor="text1"/>
                <w:sz w:val="21"/>
                <w:szCs w:val="21"/>
                <w:lang w:eastAsia="zh-CN"/>
                <w14:textFill>
                  <w14:solidFill>
                    <w14:schemeClr w14:val="tx1"/>
                  </w14:solidFill>
                </w14:textFill>
              </w:rPr>
              <w:t>事故；</w:t>
            </w:r>
            <w:r>
              <w:rPr>
                <w:rFonts w:hint="default" w:ascii="Times New Roman" w:hAnsi="Times New Roman" w:eastAsia="宋体" w:cs="Times New Roman"/>
                <w:color w:val="000000" w:themeColor="text1"/>
                <w:sz w:val="21"/>
                <w:szCs w:val="21"/>
                <w14:textFill>
                  <w14:solidFill>
                    <w14:schemeClr w14:val="tx1"/>
                  </w14:solidFill>
                </w14:textFill>
              </w:rPr>
              <w:t>火灾</w:t>
            </w:r>
            <w:r>
              <w:rPr>
                <w:rFonts w:hint="default" w:ascii="Times New Roman" w:hAnsi="Times New Roman" w:eastAsia="宋体" w:cs="Times New Roman"/>
                <w:color w:val="000000" w:themeColor="text1"/>
                <w:sz w:val="21"/>
                <w:szCs w:val="21"/>
                <w:lang w:eastAsia="zh-CN"/>
                <w14:textFill>
                  <w14:solidFill>
                    <w14:schemeClr w14:val="tx1"/>
                  </w14:solidFill>
                </w14:textFill>
              </w:rPr>
              <w:t>事故</w:t>
            </w:r>
            <w:r>
              <w:rPr>
                <w:rFonts w:hint="default" w:ascii="Times New Roman" w:hAnsi="Times New Roman" w:eastAsia="宋体" w:cs="Times New Roman"/>
                <w:color w:val="000000" w:themeColor="text1"/>
                <w:sz w:val="21"/>
                <w:szCs w:val="21"/>
                <w14:textFill>
                  <w14:solidFill>
                    <w14:schemeClr w14:val="tx1"/>
                  </w14:solidFill>
                </w14:textFill>
              </w:rPr>
              <w:t>及导致的次生环境污染事故</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为把风险事故的发生和影响降到最低限度，应注意以下几点：加强职工安全环保教育，增强操作工人的责任心，防止和减少因人为因素造成的事故，同时也要加强防火安全教育；应配备必需的消防设施，落实安全</w:t>
            </w:r>
            <w:r>
              <w:rPr>
                <w:rFonts w:hint="default" w:ascii="Times New Roman" w:hAnsi="Times New Roman" w:cs="Times New Roman"/>
                <w:color w:val="000000" w:themeColor="text1"/>
                <w:sz w:val="21"/>
                <w:szCs w:val="21"/>
                <w14:textFill>
                  <w14:solidFill>
                    <w14:schemeClr w14:val="tx1"/>
                  </w14:solidFill>
                </w14:textFill>
              </w:rPr>
              <w:t>管理责任。</w:t>
            </w:r>
          </w:p>
          <w:p w14:paraId="55104B65">
            <w:pPr>
              <w:adjustRightInd w:val="0"/>
              <w:snapToGrid w:val="0"/>
              <w:ind w:firstLine="420" w:firstLineChars="20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根据《关于印发〈突发环境事件应急预案管理暂行办法〉的通知》（环发〔2015〕4号）要求，及时进行</w:t>
            </w:r>
            <w:r>
              <w:rPr>
                <w:rFonts w:hint="default" w:ascii="Times New Roman" w:hAnsi="Times New Roman" w:cs="Times New Roman"/>
                <w:color w:val="000000" w:themeColor="text1"/>
                <w:sz w:val="21"/>
                <w:szCs w:val="21"/>
                <w:lang w:eastAsia="zh-CN"/>
                <w14:textFill>
                  <w14:solidFill>
                    <w14:schemeClr w14:val="tx1"/>
                  </w14:solidFill>
                </w14:textFill>
              </w:rPr>
              <w:t>编制</w:t>
            </w:r>
            <w:r>
              <w:rPr>
                <w:rFonts w:hint="default" w:ascii="Times New Roman" w:hAnsi="Times New Roman" w:cs="Times New Roman"/>
                <w:color w:val="000000" w:themeColor="text1"/>
                <w:sz w:val="21"/>
                <w:szCs w:val="21"/>
                <w14:textFill>
                  <w14:solidFill>
                    <w14:schemeClr w14:val="tx1"/>
                  </w14:solidFill>
                </w14:textFill>
              </w:rPr>
              <w:t>《突发环境事件应急预案》工作并于玉溪市生态环境局</w:t>
            </w:r>
            <w:r>
              <w:rPr>
                <w:rFonts w:hint="default" w:ascii="Times New Roman" w:hAnsi="Times New Roman" w:cs="Times New Roman"/>
                <w:color w:val="000000" w:themeColor="text1"/>
                <w:sz w:val="21"/>
                <w:szCs w:val="21"/>
                <w:lang w:eastAsia="zh-CN"/>
                <w14:textFill>
                  <w14:solidFill>
                    <w14:schemeClr w14:val="tx1"/>
                  </w14:solidFill>
                </w14:textFill>
              </w:rPr>
              <w:t>红塔</w:t>
            </w:r>
            <w:r>
              <w:rPr>
                <w:rFonts w:hint="default" w:ascii="Times New Roman" w:hAnsi="Times New Roman" w:cs="Times New Roman"/>
                <w:color w:val="000000" w:themeColor="text1"/>
                <w:sz w:val="21"/>
                <w:szCs w:val="21"/>
                <w14:textFill>
                  <w14:solidFill>
                    <w14:schemeClr w14:val="tx1"/>
                  </w14:solidFill>
                </w14:textFill>
              </w:rPr>
              <w:t>分局备案；加强应急演练，建立完善应急报告制度，落实应急物资和经费。切实做好环保设施的日常维护和管理，落实环境风险防范措施，杜绝事故性排放。</w:t>
            </w:r>
          </w:p>
        </w:tc>
      </w:tr>
      <w:tr w14:paraId="7E2EB9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Align w:val="center"/>
          </w:tcPr>
          <w:p w14:paraId="022F372F">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pacing w:val="-8"/>
                <w:sz w:val="21"/>
                <w:szCs w:val="21"/>
                <w14:textFill>
                  <w14:solidFill>
                    <w14:schemeClr w14:val="tx1"/>
                  </w14:solidFill>
                </w14:textFill>
              </w:rPr>
            </w:pPr>
            <w:r>
              <w:rPr>
                <w:rFonts w:hint="default" w:ascii="Times New Roman" w:hAnsi="Times New Roman" w:cs="Times New Roman"/>
                <w:color w:val="000000" w:themeColor="text1"/>
                <w:spacing w:val="-8"/>
                <w:sz w:val="21"/>
                <w:szCs w:val="21"/>
                <w14:textFill>
                  <w14:solidFill>
                    <w14:schemeClr w14:val="tx1"/>
                  </w14:solidFill>
                </w14:textFill>
              </w:rPr>
              <w:t>其他环境</w:t>
            </w:r>
          </w:p>
          <w:p w14:paraId="06A096A1">
            <w:pPr>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pacing w:val="-8"/>
                <w:sz w:val="21"/>
                <w:szCs w:val="21"/>
                <w14:textFill>
                  <w14:solidFill>
                    <w14:schemeClr w14:val="tx1"/>
                  </w14:solidFill>
                </w14:textFill>
              </w:rPr>
            </w:pPr>
            <w:r>
              <w:rPr>
                <w:rFonts w:hint="default" w:ascii="Times New Roman" w:hAnsi="Times New Roman" w:cs="Times New Roman"/>
                <w:color w:val="000000" w:themeColor="text1"/>
                <w:spacing w:val="-8"/>
                <w:sz w:val="21"/>
                <w:szCs w:val="21"/>
                <w14:textFill>
                  <w14:solidFill>
                    <w14:schemeClr w14:val="tx1"/>
                  </w14:solidFill>
                </w14:textFill>
              </w:rPr>
              <w:t>管理要求</w:t>
            </w:r>
          </w:p>
        </w:tc>
        <w:tc>
          <w:tcPr>
            <w:tcW w:w="8083" w:type="dxa"/>
            <w:gridSpan w:val="5"/>
            <w:vAlign w:val="center"/>
          </w:tcPr>
          <w:p w14:paraId="582F637C">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1、环境管理计划</w:t>
            </w:r>
          </w:p>
          <w:p w14:paraId="3F1A0F9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①根据国家环保政策、标准及环境监测要求，制定该项目运行期环境管理规章制度、各种污染物排放指标；②项目建成投产前建设单位应自行组织项目竣工环境保护验收工作，检查环保设施是否达到</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三同时</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要求；③加强环保设施的管理，定期检查厂内环保设施运行情况，及时排除故障，保证环保设施正常运转；④一般固废的收集管理应由专人负责，分类收集；⑤运用经济、教育、行政、法律及其它手段，加强项目区内人员的环保意识，加强环境保护的自觉性，不断提高环境管理水平；⑥按自行监测计划委托有资质单位进行。</w:t>
            </w:r>
          </w:p>
          <w:p w14:paraId="23E8B69F">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2、排污许可证申请</w:t>
            </w:r>
          </w:p>
          <w:p w14:paraId="734E054B">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按照《排污许可管理办法》规定，本项目启动生产设施或者在实际排污之前，需向核发机关提出办理排污许可证的申请，不得无证排污。项目运行后按要求开展自行监测，按时提交执行报告。</w:t>
            </w:r>
          </w:p>
          <w:p w14:paraId="696C678E">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3、严格执行环保</w:t>
            </w:r>
            <w:r>
              <w:rPr>
                <w:rFonts w:hint="default" w:ascii="Times New Roman" w:hAnsi="Times New Roman" w:cs="Times New Roman"/>
                <w:b/>
                <w:color w:val="000000" w:themeColor="text1"/>
                <w:sz w:val="21"/>
                <w:szCs w:val="21"/>
                <w:lang w:eastAsia="zh-CN"/>
                <w14:textFill>
                  <w14:solidFill>
                    <w14:schemeClr w14:val="tx1"/>
                  </w14:solidFill>
                </w14:textFill>
              </w:rPr>
              <w:t>“</w:t>
            </w:r>
            <w:r>
              <w:rPr>
                <w:rFonts w:hint="default" w:ascii="Times New Roman" w:hAnsi="Times New Roman" w:cs="Times New Roman"/>
                <w:b/>
                <w:color w:val="000000" w:themeColor="text1"/>
                <w:sz w:val="21"/>
                <w:szCs w:val="21"/>
                <w14:textFill>
                  <w14:solidFill>
                    <w14:schemeClr w14:val="tx1"/>
                  </w14:solidFill>
                </w14:textFill>
              </w:rPr>
              <w:t>三同时</w:t>
            </w:r>
            <w:r>
              <w:rPr>
                <w:rFonts w:hint="default" w:ascii="Times New Roman" w:hAnsi="Times New Roman" w:cs="Times New Roman"/>
                <w:b/>
                <w:color w:val="000000" w:themeColor="text1"/>
                <w:sz w:val="21"/>
                <w:szCs w:val="21"/>
                <w:lang w:eastAsia="zh-CN"/>
                <w14:textFill>
                  <w14:solidFill>
                    <w14:schemeClr w14:val="tx1"/>
                  </w14:solidFill>
                </w14:textFill>
              </w:rPr>
              <w:t>”</w:t>
            </w:r>
            <w:r>
              <w:rPr>
                <w:rFonts w:hint="default" w:ascii="Times New Roman" w:hAnsi="Times New Roman" w:cs="Times New Roman"/>
                <w:b/>
                <w:color w:val="000000" w:themeColor="text1"/>
                <w:sz w:val="21"/>
                <w:szCs w:val="21"/>
                <w14:textFill>
                  <w14:solidFill>
                    <w14:schemeClr w14:val="tx1"/>
                  </w14:solidFill>
                </w14:textFill>
              </w:rPr>
              <w:t>制度</w:t>
            </w:r>
          </w:p>
          <w:p w14:paraId="3E6549F6">
            <w:pPr>
              <w:pStyle w:val="19"/>
              <w:keepNext w:val="0"/>
              <w:keepLines w:val="0"/>
              <w:pageBreakBefore w:val="0"/>
              <w:widowControl w:val="0"/>
              <w:kinsoku/>
              <w:wordWrap/>
              <w:overflowPunct/>
              <w:topLinePunct w:val="0"/>
              <w:autoSpaceDE/>
              <w:autoSpaceDN/>
              <w:bidi w:val="0"/>
              <w:adjustRightInd/>
              <w:snapToGrid/>
              <w:spacing w:beforeLines="0" w:afterLines="0" w:line="240" w:lineRule="auto"/>
              <w:ind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严格执行环境保护设施与主体工程同时设计、同时施工、同时投产使用的环境保护</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三同时</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制度；项目建成投入运行后，及时报告并按规定自行组织开展竣工环保验收，经验收合格后方可正式投入运营。</w:t>
            </w:r>
          </w:p>
          <w:p w14:paraId="24797830">
            <w:pPr>
              <w:pStyle w:val="19"/>
              <w:kinsoku/>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p w14:paraId="3906E6F0">
            <w:pPr>
              <w:pStyle w:val="19"/>
              <w:kinsoku/>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p w14:paraId="4628ED69">
            <w:pPr>
              <w:pStyle w:val="19"/>
              <w:kinsoku/>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p w14:paraId="6361ABB5">
            <w:pPr>
              <w:pStyle w:val="19"/>
              <w:kinsoku/>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p w14:paraId="47DA99D1">
            <w:pPr>
              <w:pStyle w:val="19"/>
              <w:kinsoku/>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p w14:paraId="787678FC">
            <w:pPr>
              <w:pStyle w:val="19"/>
              <w:kinsoku/>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p w14:paraId="7C1733FB">
            <w:pPr>
              <w:pStyle w:val="19"/>
              <w:kinsoku/>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p w14:paraId="65D842DF">
            <w:pPr>
              <w:pStyle w:val="19"/>
              <w:kinsoku/>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p w14:paraId="335F5F9A">
            <w:pPr>
              <w:pStyle w:val="19"/>
              <w:kinsoku/>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p w14:paraId="32020717">
            <w:pPr>
              <w:pStyle w:val="19"/>
              <w:kinsoku/>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p w14:paraId="65D11777">
            <w:pPr>
              <w:pStyle w:val="19"/>
              <w:kinsoku/>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p w14:paraId="19877430">
            <w:pPr>
              <w:pStyle w:val="19"/>
              <w:kinsoku/>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p w14:paraId="6D6182A9">
            <w:pPr>
              <w:pStyle w:val="19"/>
              <w:kinsoku/>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p w14:paraId="7D093E08">
            <w:pPr>
              <w:pStyle w:val="19"/>
              <w:kinsoku/>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p w14:paraId="778BB4D0">
            <w:pPr>
              <w:pStyle w:val="19"/>
              <w:kinsoku/>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p w14:paraId="7D3F1AAD">
            <w:pPr>
              <w:pStyle w:val="19"/>
              <w:kinsoku/>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p w14:paraId="099CCA97">
            <w:pPr>
              <w:pStyle w:val="19"/>
              <w:kinsoku/>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p w14:paraId="45636991">
            <w:pPr>
              <w:pStyle w:val="19"/>
              <w:kinsoku/>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p w14:paraId="0F6A68E5">
            <w:pPr>
              <w:pStyle w:val="19"/>
              <w:kinsoku/>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p w14:paraId="59020EBF">
            <w:pPr>
              <w:pStyle w:val="19"/>
              <w:kinsoku/>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p w14:paraId="5748D24D">
            <w:pPr>
              <w:pStyle w:val="19"/>
              <w:kinsoku/>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p w14:paraId="2FCD6933">
            <w:pPr>
              <w:pStyle w:val="19"/>
              <w:kinsoku/>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p w14:paraId="3848D166">
            <w:pPr>
              <w:pStyle w:val="19"/>
              <w:kinsoku/>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p w14:paraId="61668EA9">
            <w:pPr>
              <w:pStyle w:val="19"/>
              <w:kinsoku/>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p w14:paraId="39801D00">
            <w:pPr>
              <w:pStyle w:val="19"/>
              <w:kinsoku/>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p w14:paraId="541EE87E">
            <w:pPr>
              <w:pStyle w:val="19"/>
              <w:kinsoku/>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p w14:paraId="1C50F968">
            <w:pPr>
              <w:pStyle w:val="19"/>
              <w:kinsoku/>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p w14:paraId="1692A2B1">
            <w:pPr>
              <w:pStyle w:val="19"/>
              <w:kinsoku/>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p w14:paraId="5DFDD45C">
            <w:pPr>
              <w:pStyle w:val="19"/>
              <w:kinsoku/>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p w14:paraId="5836E882">
            <w:pPr>
              <w:pStyle w:val="19"/>
              <w:kinsoku/>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bl>
    <w:p w14:paraId="396A5F96">
      <w:pPr>
        <w:pStyle w:val="4"/>
        <w:rPr>
          <w:rFonts w:hint="default" w:ascii="Times New Roman" w:hAnsi="Times New Roman" w:cs="Times New Roman"/>
          <w:color w:val="000000" w:themeColor="text1"/>
          <w:lang w:eastAsia="zh-CN"/>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226904EC">
      <w:pPr>
        <w:pStyle w:val="29"/>
        <w:adjustRightInd w:val="0"/>
        <w:snapToGrid w:val="0"/>
        <w:spacing w:before="0" w:beforeAutospacing="0" w:after="0" w:afterAutospacing="0"/>
        <w:jc w:val="center"/>
        <w:outlineLvl w:val="0"/>
        <w:rPr>
          <w:rFonts w:hint="default" w:ascii="Times New Roman" w:hAnsi="Times New Roman" w:cs="Times New Roman"/>
          <w:b/>
          <w:bCs/>
          <w:snapToGrid w:val="0"/>
          <w:color w:val="000000" w:themeColor="text1"/>
          <w:sz w:val="30"/>
          <w:szCs w:val="30"/>
          <w14:textFill>
            <w14:solidFill>
              <w14:schemeClr w14:val="tx1"/>
            </w14:solidFill>
          </w14:textFill>
        </w:rPr>
      </w:pPr>
      <w:bookmarkStart w:id="16" w:name="_Toc1582"/>
      <w:bookmarkStart w:id="17" w:name="_Toc24787"/>
      <w:r>
        <w:rPr>
          <w:rFonts w:hint="default" w:ascii="Times New Roman" w:hAnsi="Times New Roman" w:cs="Times New Roman"/>
          <w:b/>
          <w:bCs/>
          <w:snapToGrid w:val="0"/>
          <w:color w:val="000000" w:themeColor="text1"/>
          <w:sz w:val="30"/>
          <w:szCs w:val="30"/>
          <w14:textFill>
            <w14:solidFill>
              <w14:schemeClr w14:val="tx1"/>
            </w14:solidFill>
          </w14:textFill>
        </w:rPr>
        <w:t>六、结论</w:t>
      </w:r>
      <w:bookmarkEnd w:id="16"/>
      <w:bookmarkEnd w:id="17"/>
    </w:p>
    <w:tbl>
      <w:tblPr>
        <w:tblStyle w:val="33"/>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C7F46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30315C25">
            <w:pPr>
              <w:pStyle w:val="44"/>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本项目的建设符合国家、地方产业政策以及相关规划，不涉及自然保护区、风景名胜区、水源保护区等环境敏感区，</w:t>
            </w:r>
            <w:r>
              <w:rPr>
                <w:rFonts w:hint="default" w:ascii="Times New Roman" w:hAnsi="Times New Roman" w:cs="Times New Roman"/>
                <w:color w:val="000000" w:themeColor="text1"/>
                <w:highlight w:val="none"/>
                <w14:textFill>
                  <w14:solidFill>
                    <w14:schemeClr w14:val="tx1"/>
                  </w14:solidFill>
                </w14:textFill>
              </w:rPr>
              <w:t>与周围居民点、学校、医院等关心点距离</w:t>
            </w:r>
            <w:r>
              <w:rPr>
                <w:rFonts w:hint="default" w:ascii="Times New Roman" w:hAnsi="Times New Roman" w:cs="Times New Roman"/>
                <w:color w:val="000000" w:themeColor="text1"/>
                <w:highlight w:val="none"/>
                <w:lang w:eastAsia="zh-CN"/>
                <w14:textFill>
                  <w14:solidFill>
                    <w14:schemeClr w14:val="tx1"/>
                  </w14:solidFill>
                </w14:textFill>
              </w:rPr>
              <w:t>在合理范围内</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选址合理。在采取环评提出的措施后，项目产生的废气、废水、噪声均可达标排放，固废处置率100%，对当地环境质量及主要关心点环境影响较小，符合达标排放、总量控制和不降低当地环境功能的原则要求，符合国家法律法规要求。</w:t>
            </w:r>
          </w:p>
          <w:p w14:paraId="1694A278">
            <w:pPr>
              <w:pStyle w:val="44"/>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本项目在严格执行环境保护“三同时”制度，严格进行环境管理，保证项目内的废气处理设施及其他环保设施的正常运行，污染物达标排放的条件下，从环境保护角度论证，本项目的建设是可行的。</w:t>
            </w:r>
          </w:p>
          <w:p w14:paraId="4B2118FF">
            <w:pPr>
              <w:rPr>
                <w:rFonts w:hint="default" w:ascii="Times New Roman" w:hAnsi="Times New Roman" w:cs="Times New Roman"/>
                <w:color w:val="000000" w:themeColor="text1"/>
                <w14:textFill>
                  <w14:solidFill>
                    <w14:schemeClr w14:val="tx1"/>
                  </w14:solidFill>
                </w14:textFill>
              </w:rPr>
            </w:pPr>
          </w:p>
          <w:p w14:paraId="28C05800">
            <w:pPr>
              <w:pStyle w:val="2"/>
              <w:rPr>
                <w:rFonts w:hint="default" w:ascii="Times New Roman" w:hAnsi="Times New Roman" w:cs="Times New Roman"/>
                <w:color w:val="000000" w:themeColor="text1"/>
                <w14:textFill>
                  <w14:solidFill>
                    <w14:schemeClr w14:val="tx1"/>
                  </w14:solidFill>
                </w14:textFill>
              </w:rPr>
            </w:pPr>
          </w:p>
          <w:p w14:paraId="32A4D0B1">
            <w:pPr>
              <w:pStyle w:val="42"/>
              <w:rPr>
                <w:rFonts w:hint="default" w:ascii="Times New Roman" w:hAnsi="Times New Roman" w:cs="Times New Roman"/>
                <w:color w:val="000000" w:themeColor="text1"/>
                <w14:textFill>
                  <w14:solidFill>
                    <w14:schemeClr w14:val="tx1"/>
                  </w14:solidFill>
                </w14:textFill>
              </w:rPr>
            </w:pPr>
          </w:p>
          <w:p w14:paraId="21C1E678">
            <w:pPr>
              <w:rPr>
                <w:rFonts w:hint="default" w:ascii="Times New Roman" w:hAnsi="Times New Roman" w:cs="Times New Roman"/>
                <w:color w:val="000000" w:themeColor="text1"/>
                <w14:textFill>
                  <w14:solidFill>
                    <w14:schemeClr w14:val="tx1"/>
                  </w14:solidFill>
                </w14:textFill>
              </w:rPr>
            </w:pPr>
          </w:p>
          <w:p w14:paraId="099B9012">
            <w:pPr>
              <w:pStyle w:val="2"/>
              <w:rPr>
                <w:rFonts w:hint="default" w:ascii="Times New Roman" w:hAnsi="Times New Roman" w:cs="Times New Roman"/>
                <w:color w:val="000000" w:themeColor="text1"/>
                <w14:textFill>
                  <w14:solidFill>
                    <w14:schemeClr w14:val="tx1"/>
                  </w14:solidFill>
                </w14:textFill>
              </w:rPr>
            </w:pPr>
          </w:p>
          <w:p w14:paraId="063BB29F">
            <w:pPr>
              <w:pStyle w:val="42"/>
              <w:rPr>
                <w:rFonts w:hint="default" w:ascii="Times New Roman" w:hAnsi="Times New Roman" w:cs="Times New Roman"/>
                <w:color w:val="000000" w:themeColor="text1"/>
                <w14:textFill>
                  <w14:solidFill>
                    <w14:schemeClr w14:val="tx1"/>
                  </w14:solidFill>
                </w14:textFill>
              </w:rPr>
            </w:pPr>
          </w:p>
          <w:p w14:paraId="36D3399D">
            <w:pPr>
              <w:rPr>
                <w:rFonts w:hint="default" w:ascii="Times New Roman" w:hAnsi="Times New Roman" w:cs="Times New Roman"/>
                <w:color w:val="000000" w:themeColor="text1"/>
                <w14:textFill>
                  <w14:solidFill>
                    <w14:schemeClr w14:val="tx1"/>
                  </w14:solidFill>
                </w14:textFill>
              </w:rPr>
            </w:pPr>
          </w:p>
          <w:p w14:paraId="71845F91">
            <w:pPr>
              <w:pStyle w:val="2"/>
              <w:rPr>
                <w:rFonts w:hint="default" w:ascii="Times New Roman" w:hAnsi="Times New Roman" w:cs="Times New Roman"/>
                <w:color w:val="000000" w:themeColor="text1"/>
                <w14:textFill>
                  <w14:solidFill>
                    <w14:schemeClr w14:val="tx1"/>
                  </w14:solidFill>
                </w14:textFill>
              </w:rPr>
            </w:pPr>
          </w:p>
          <w:p w14:paraId="023E1309">
            <w:pPr>
              <w:pStyle w:val="42"/>
              <w:rPr>
                <w:rFonts w:hint="default" w:ascii="Times New Roman" w:hAnsi="Times New Roman" w:cs="Times New Roman"/>
                <w:color w:val="000000" w:themeColor="text1"/>
                <w14:textFill>
                  <w14:solidFill>
                    <w14:schemeClr w14:val="tx1"/>
                  </w14:solidFill>
                </w14:textFill>
              </w:rPr>
            </w:pPr>
          </w:p>
          <w:p w14:paraId="1F33583C">
            <w:pPr>
              <w:rPr>
                <w:rFonts w:hint="default" w:ascii="Times New Roman" w:hAnsi="Times New Roman" w:cs="Times New Roman"/>
                <w:color w:val="000000" w:themeColor="text1"/>
                <w14:textFill>
                  <w14:solidFill>
                    <w14:schemeClr w14:val="tx1"/>
                  </w14:solidFill>
                </w14:textFill>
              </w:rPr>
            </w:pPr>
          </w:p>
          <w:p w14:paraId="6043CD12">
            <w:pPr>
              <w:pStyle w:val="2"/>
              <w:rPr>
                <w:rFonts w:hint="default" w:ascii="Times New Roman" w:hAnsi="Times New Roman" w:cs="Times New Roman"/>
                <w:color w:val="000000" w:themeColor="text1"/>
                <w14:textFill>
                  <w14:solidFill>
                    <w14:schemeClr w14:val="tx1"/>
                  </w14:solidFill>
                </w14:textFill>
              </w:rPr>
            </w:pPr>
          </w:p>
          <w:p w14:paraId="4CFD0665">
            <w:pPr>
              <w:pStyle w:val="42"/>
              <w:rPr>
                <w:rFonts w:hint="default" w:ascii="Times New Roman" w:hAnsi="Times New Roman" w:cs="Times New Roman"/>
                <w:color w:val="000000" w:themeColor="text1"/>
                <w14:textFill>
                  <w14:solidFill>
                    <w14:schemeClr w14:val="tx1"/>
                  </w14:solidFill>
                </w14:textFill>
              </w:rPr>
            </w:pPr>
          </w:p>
          <w:p w14:paraId="686A5E38">
            <w:pPr>
              <w:rPr>
                <w:rFonts w:hint="default" w:ascii="Times New Roman" w:hAnsi="Times New Roman" w:cs="Times New Roman"/>
                <w:color w:val="000000" w:themeColor="text1"/>
                <w14:textFill>
                  <w14:solidFill>
                    <w14:schemeClr w14:val="tx1"/>
                  </w14:solidFill>
                </w14:textFill>
              </w:rPr>
            </w:pPr>
          </w:p>
          <w:p w14:paraId="60C5B34F">
            <w:pPr>
              <w:pStyle w:val="2"/>
              <w:rPr>
                <w:rFonts w:hint="default" w:ascii="Times New Roman" w:hAnsi="Times New Roman" w:cs="Times New Roman"/>
                <w:color w:val="000000" w:themeColor="text1"/>
                <w14:textFill>
                  <w14:solidFill>
                    <w14:schemeClr w14:val="tx1"/>
                  </w14:solidFill>
                </w14:textFill>
              </w:rPr>
            </w:pPr>
          </w:p>
          <w:p w14:paraId="7FAA5F5C">
            <w:pPr>
              <w:pStyle w:val="42"/>
              <w:rPr>
                <w:rFonts w:hint="default" w:ascii="Times New Roman" w:hAnsi="Times New Roman" w:cs="Times New Roman"/>
                <w:color w:val="000000" w:themeColor="text1"/>
                <w14:textFill>
                  <w14:solidFill>
                    <w14:schemeClr w14:val="tx1"/>
                  </w14:solidFill>
                </w14:textFill>
              </w:rPr>
            </w:pPr>
          </w:p>
        </w:tc>
      </w:tr>
    </w:tbl>
    <w:p w14:paraId="268DE53D">
      <w:pPr>
        <w:pStyle w:val="4"/>
        <w:pageBreakBefore w:val="0"/>
        <w:kinsoku/>
        <w:overflowPunct/>
        <w:topLinePunct w:val="0"/>
        <w:bidi w:val="0"/>
        <w:spacing w:before="0"/>
        <w:ind w:left="0" w:leftChars="0" w:right="0"/>
        <w:rPr>
          <w:rFonts w:hint="default" w:ascii="Times New Roman" w:hAnsi="Times New Roman" w:cs="Times New Roman"/>
          <w:color w:val="000000" w:themeColor="text1"/>
          <w:lang w:eastAsia="zh-CN"/>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6F303095">
      <w:pPr>
        <w:pStyle w:val="29"/>
        <w:adjustRightInd w:val="0"/>
        <w:snapToGrid w:val="0"/>
        <w:spacing w:before="0" w:beforeAutospacing="0" w:after="0" w:afterAutospacing="0"/>
        <w:jc w:val="both"/>
        <w:outlineLvl w:val="0"/>
        <w:rPr>
          <w:rFonts w:hint="default" w:ascii="Times New Roman" w:hAnsi="Times New Roman" w:cs="Times New Roman"/>
          <w:b/>
          <w:bCs/>
          <w:snapToGrid w:val="0"/>
          <w:color w:val="000000" w:themeColor="text1"/>
          <w:sz w:val="30"/>
          <w:szCs w:val="30"/>
          <w14:textFill>
            <w14:solidFill>
              <w14:schemeClr w14:val="tx1"/>
            </w14:solidFill>
          </w14:textFill>
        </w:rPr>
      </w:pPr>
      <w:bookmarkStart w:id="18" w:name="_Toc24156"/>
      <w:bookmarkStart w:id="19" w:name="_Toc6881"/>
      <w:bookmarkStart w:id="20" w:name="_Toc9427"/>
      <w:r>
        <w:rPr>
          <w:rFonts w:hint="default" w:ascii="Times New Roman" w:hAnsi="Times New Roman" w:cs="Times New Roman"/>
          <w:b/>
          <w:bCs/>
          <w:snapToGrid w:val="0"/>
          <w:color w:val="000000" w:themeColor="text1"/>
          <w:sz w:val="30"/>
          <w:szCs w:val="30"/>
          <w14:textFill>
            <w14:solidFill>
              <w14:schemeClr w14:val="tx1"/>
            </w14:solidFill>
          </w14:textFill>
        </w:rPr>
        <w:t>附表</w:t>
      </w:r>
      <w:bookmarkEnd w:id="18"/>
      <w:bookmarkEnd w:id="19"/>
      <w:bookmarkEnd w:id="20"/>
    </w:p>
    <w:p w14:paraId="04DDB17D">
      <w:pPr>
        <w:pStyle w:val="3"/>
        <w:numPr>
          <w:ilvl w:val="0"/>
          <w:numId w:val="0"/>
        </w:numPr>
        <w:ind w:firstLine="0" w:firstLineChars="0"/>
        <w:jc w:val="center"/>
        <w:rPr>
          <w:rFonts w:hint="default" w:ascii="Times New Roman" w:hAnsi="Times New Roman" w:eastAsia="宋体" w:cs="Times New Roman"/>
          <w:b/>
          <w:color w:val="000000" w:themeColor="text1"/>
          <w:kern w:val="44"/>
          <w:sz w:val="28"/>
          <w:szCs w:val="24"/>
          <w:lang w:val="en-US" w:eastAsia="zh-CN" w:bidi="ar-SA"/>
          <w14:textFill>
            <w14:solidFill>
              <w14:schemeClr w14:val="tx1"/>
            </w14:solidFill>
          </w14:textFill>
        </w:rPr>
      </w:pPr>
      <w:bookmarkStart w:id="21" w:name="_Toc2566"/>
      <w:bookmarkStart w:id="22" w:name="_Toc8175"/>
      <w:bookmarkStart w:id="23" w:name="_Toc31138"/>
      <w:r>
        <w:rPr>
          <w:rFonts w:hint="default" w:ascii="Times New Roman" w:hAnsi="Times New Roman" w:eastAsia="宋体" w:cs="Times New Roman"/>
          <w:b/>
          <w:color w:val="000000" w:themeColor="text1"/>
          <w:kern w:val="44"/>
          <w:sz w:val="28"/>
          <w:szCs w:val="24"/>
          <w:lang w:val="en-US" w:eastAsia="zh-CN" w:bidi="ar-SA"/>
          <w14:textFill>
            <w14:solidFill>
              <w14:schemeClr w14:val="tx1"/>
            </w14:solidFill>
          </w14:textFill>
        </w:rPr>
        <w:t>建设项目污染物排放量汇总表</w:t>
      </w:r>
      <w:bookmarkEnd w:id="21"/>
      <w:bookmarkEnd w:id="22"/>
      <w:bookmarkEnd w:id="23"/>
    </w:p>
    <w:tbl>
      <w:tblPr>
        <w:tblStyle w:val="33"/>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3"/>
        <w:gridCol w:w="2522"/>
        <w:gridCol w:w="1305"/>
        <w:gridCol w:w="1052"/>
        <w:gridCol w:w="1680"/>
        <w:gridCol w:w="1665"/>
        <w:gridCol w:w="1770"/>
        <w:gridCol w:w="1543"/>
        <w:gridCol w:w="1458"/>
      </w:tblGrid>
      <w:tr w14:paraId="4B5EFD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93" w:type="dxa"/>
            <w:tcBorders>
              <w:tl2br w:val="single" w:color="auto" w:sz="4" w:space="0"/>
            </w:tcBorders>
            <w:tcMar>
              <w:left w:w="28" w:type="dxa"/>
              <w:right w:w="28" w:type="dxa"/>
            </w:tcMar>
            <w:vAlign w:val="center"/>
          </w:tcPr>
          <w:p w14:paraId="3FB5CCAE">
            <w:pPr>
              <w:pStyle w:val="52"/>
              <w:spacing w:before="31" w:after="31" w:line="240" w:lineRule="auto"/>
              <w:ind w:firstLine="0" w:firstLineChars="0"/>
              <w:jc w:val="right"/>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项目</w:t>
            </w:r>
          </w:p>
          <w:p w14:paraId="65175615">
            <w:pPr>
              <w:pStyle w:val="52"/>
              <w:spacing w:before="31" w:after="31" w:line="240" w:lineRule="auto"/>
              <w:ind w:firstLine="0" w:firstLineChars="0"/>
              <w:jc w:val="left"/>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分类</w:t>
            </w:r>
          </w:p>
        </w:tc>
        <w:tc>
          <w:tcPr>
            <w:tcW w:w="2522" w:type="dxa"/>
            <w:tcMar>
              <w:left w:w="28" w:type="dxa"/>
              <w:right w:w="28" w:type="dxa"/>
            </w:tcMar>
            <w:vAlign w:val="center"/>
          </w:tcPr>
          <w:p w14:paraId="48F2C4EC">
            <w:pPr>
              <w:pStyle w:val="52"/>
              <w:spacing w:before="31" w:after="31" w:line="240" w:lineRule="auto"/>
              <w:ind w:firstLine="0" w:firstLineChars="0"/>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污染物名称</w:t>
            </w:r>
          </w:p>
        </w:tc>
        <w:tc>
          <w:tcPr>
            <w:tcW w:w="1305" w:type="dxa"/>
            <w:tcMar>
              <w:left w:w="28" w:type="dxa"/>
              <w:right w:w="28" w:type="dxa"/>
            </w:tcMar>
            <w:vAlign w:val="center"/>
          </w:tcPr>
          <w:p w14:paraId="6444A03C">
            <w:pPr>
              <w:pStyle w:val="52"/>
              <w:spacing w:before="31" w:after="31" w:line="240" w:lineRule="auto"/>
              <w:ind w:firstLine="0" w:firstLineChars="0"/>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现有工程</w:t>
            </w:r>
          </w:p>
          <w:p w14:paraId="316C95E6">
            <w:pPr>
              <w:pStyle w:val="52"/>
              <w:spacing w:before="31" w:after="31" w:line="240" w:lineRule="auto"/>
              <w:ind w:firstLine="0" w:firstLineChars="0"/>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instrText xml:space="preserve"> = 1 \* GB3 \* MERGEFORMAT </w:instrTex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14:textFill>
                  <w14:solidFill>
                    <w14:schemeClr w14:val="tx1"/>
                  </w14:solidFill>
                </w14:textFill>
              </w:rPr>
              <w:t>①</w: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end"/>
            </w:r>
          </w:p>
        </w:tc>
        <w:tc>
          <w:tcPr>
            <w:tcW w:w="1052" w:type="dxa"/>
            <w:tcMar>
              <w:left w:w="28" w:type="dxa"/>
              <w:right w:w="28" w:type="dxa"/>
            </w:tcMar>
            <w:vAlign w:val="center"/>
          </w:tcPr>
          <w:p w14:paraId="6750F3F5">
            <w:pPr>
              <w:pStyle w:val="52"/>
              <w:spacing w:before="31" w:after="31" w:line="240" w:lineRule="auto"/>
              <w:ind w:firstLine="0" w:firstLineChars="0"/>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现有工程</w:t>
            </w:r>
          </w:p>
          <w:p w14:paraId="69637904">
            <w:pPr>
              <w:pStyle w:val="52"/>
              <w:spacing w:before="31" w:after="31" w:line="240" w:lineRule="auto"/>
              <w:ind w:firstLine="0" w:firstLineChars="0"/>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许可排放量</w:t>
            </w:r>
          </w:p>
          <w:p w14:paraId="0683A8BA">
            <w:pPr>
              <w:pStyle w:val="52"/>
              <w:spacing w:before="31" w:after="31"/>
              <w:ind w:firstLine="0" w:firstLineChars="0"/>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instrText xml:space="preserve"> = 2 \* GB3 \* MERGEFORMAT </w:instrTex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②</w: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end"/>
            </w:r>
          </w:p>
        </w:tc>
        <w:tc>
          <w:tcPr>
            <w:tcW w:w="1680" w:type="dxa"/>
            <w:tcMar>
              <w:left w:w="28" w:type="dxa"/>
              <w:right w:w="28" w:type="dxa"/>
            </w:tcMar>
            <w:vAlign w:val="center"/>
          </w:tcPr>
          <w:p w14:paraId="6F9E54B5">
            <w:pPr>
              <w:pStyle w:val="52"/>
              <w:spacing w:before="31" w:after="31" w:line="240" w:lineRule="auto"/>
              <w:ind w:firstLine="0" w:firstLineChars="0"/>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在建工程</w:t>
            </w:r>
          </w:p>
          <w:p w14:paraId="29940CBD">
            <w:pPr>
              <w:pStyle w:val="52"/>
              <w:spacing w:before="31" w:after="31" w:line="240" w:lineRule="auto"/>
              <w:ind w:firstLine="0" w:firstLineChars="0"/>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instrText xml:space="preserve"> = 3 \* GB3 \* MERGEFORMAT </w:instrTex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14:textFill>
                  <w14:solidFill>
                    <w14:schemeClr w14:val="tx1"/>
                  </w14:solidFill>
                </w14:textFill>
              </w:rPr>
              <w:t>③</w: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end"/>
            </w:r>
          </w:p>
        </w:tc>
        <w:tc>
          <w:tcPr>
            <w:tcW w:w="1665" w:type="dxa"/>
            <w:tcMar>
              <w:left w:w="28" w:type="dxa"/>
              <w:right w:w="28" w:type="dxa"/>
            </w:tcMar>
            <w:vAlign w:val="center"/>
          </w:tcPr>
          <w:p w14:paraId="78E30981">
            <w:pPr>
              <w:pStyle w:val="52"/>
              <w:spacing w:before="31" w:after="31" w:line="240" w:lineRule="auto"/>
              <w:ind w:firstLine="0" w:firstLineChars="0"/>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本项目</w:t>
            </w:r>
          </w:p>
          <w:p w14:paraId="36C60330">
            <w:pPr>
              <w:pStyle w:val="52"/>
              <w:spacing w:before="31" w:after="31" w:line="240" w:lineRule="auto"/>
              <w:ind w:firstLine="0" w:firstLineChars="0"/>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instrText xml:space="preserve"> = 4 \* GB3 \* MERGEFORMAT </w:instrTex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14:textFill>
                  <w14:solidFill>
                    <w14:schemeClr w14:val="tx1"/>
                  </w14:solidFill>
                </w14:textFill>
              </w:rPr>
              <w:t>④</w: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end"/>
            </w:r>
          </w:p>
        </w:tc>
        <w:tc>
          <w:tcPr>
            <w:tcW w:w="1770" w:type="dxa"/>
            <w:tcMar>
              <w:left w:w="28" w:type="dxa"/>
              <w:right w:w="28" w:type="dxa"/>
            </w:tcMar>
            <w:vAlign w:val="center"/>
          </w:tcPr>
          <w:p w14:paraId="63D0FC9B">
            <w:pPr>
              <w:pStyle w:val="52"/>
              <w:spacing w:before="31" w:after="31" w:line="240" w:lineRule="auto"/>
              <w:ind w:firstLine="0" w:firstLineChars="0"/>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t>以新带老削减量</w:t>
            </w:r>
          </w:p>
          <w:p w14:paraId="61AB79FA">
            <w:pPr>
              <w:pStyle w:val="52"/>
              <w:spacing w:before="31" w:after="31" w:line="240" w:lineRule="auto"/>
              <w:ind w:firstLine="0" w:firstLineChars="0"/>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t>（新建项目不填）</w:t>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instrText xml:space="preserve"> = 5 \* GB3 \* MERGEFORMAT </w:instrText>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highlight w:val="none"/>
                <w14:textFill>
                  <w14:solidFill>
                    <w14:schemeClr w14:val="tx1"/>
                  </w14:solidFill>
                </w14:textFill>
              </w:rPr>
              <w:t>⑤</w:t>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fldChar w:fldCharType="end"/>
            </w:r>
          </w:p>
        </w:tc>
        <w:tc>
          <w:tcPr>
            <w:tcW w:w="1543" w:type="dxa"/>
            <w:tcMar>
              <w:left w:w="28" w:type="dxa"/>
              <w:right w:w="28" w:type="dxa"/>
            </w:tcMar>
            <w:vAlign w:val="center"/>
          </w:tcPr>
          <w:p w14:paraId="53D86CD5">
            <w:pPr>
              <w:pStyle w:val="52"/>
              <w:spacing w:before="31" w:after="31" w:line="240" w:lineRule="auto"/>
              <w:ind w:firstLine="0" w:firstLineChars="0"/>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t>本项目建成后</w:t>
            </w:r>
          </w:p>
          <w:p w14:paraId="0B7A2A85">
            <w:pPr>
              <w:pStyle w:val="52"/>
              <w:spacing w:before="31" w:after="31" w:line="240" w:lineRule="auto"/>
              <w:ind w:firstLine="0" w:firstLineChars="0"/>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t>全厂排放量（固体废物产生量）</w:t>
            </w:r>
            <w:r>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instrText xml:space="preserve"> = 6 \* GB3 \* MERGEFORMAT </w:instrText>
            </w:r>
            <w:r>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14:textFill>
                  <w14:solidFill>
                    <w14:schemeClr w14:val="tx1"/>
                  </w14:solidFill>
                </w14:textFill>
              </w:rPr>
              <w:t>⑥</w:t>
            </w:r>
            <w:r>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fldChar w:fldCharType="end"/>
            </w:r>
          </w:p>
        </w:tc>
        <w:tc>
          <w:tcPr>
            <w:tcW w:w="1458" w:type="dxa"/>
            <w:tcMar>
              <w:left w:w="28" w:type="dxa"/>
              <w:right w:w="28" w:type="dxa"/>
            </w:tcMar>
            <w:vAlign w:val="center"/>
          </w:tcPr>
          <w:p w14:paraId="0B1BE26B">
            <w:pPr>
              <w:pStyle w:val="52"/>
              <w:spacing w:before="31" w:after="31" w:line="240" w:lineRule="auto"/>
              <w:ind w:firstLine="0" w:firstLineChars="0"/>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变化量</w:t>
            </w:r>
          </w:p>
          <w:p w14:paraId="3915337A">
            <w:pPr>
              <w:pStyle w:val="52"/>
              <w:spacing w:before="31" w:after="31" w:line="240" w:lineRule="auto"/>
              <w:ind w:firstLine="0" w:firstLineChars="0"/>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instrText xml:space="preserve"> = 7 \* GB3 \* MERGEFORMAT </w:instrTex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14:textFill>
                  <w14:solidFill>
                    <w14:schemeClr w14:val="tx1"/>
                  </w14:solidFill>
                </w14:textFill>
              </w:rPr>
              <w:t>⑦</w: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end"/>
            </w:r>
          </w:p>
        </w:tc>
      </w:tr>
      <w:tr w14:paraId="28CA98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3" w:type="dxa"/>
            <w:vMerge w:val="restart"/>
            <w:vAlign w:val="center"/>
          </w:tcPr>
          <w:p w14:paraId="6BBA500D">
            <w:pPr>
              <w:pStyle w:val="52"/>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14:textFill>
                  <w14:solidFill>
                    <w14:schemeClr w14:val="tx1"/>
                  </w14:solidFill>
                </w14:textFill>
              </w:rPr>
              <w:t>废气</w:t>
            </w:r>
          </w:p>
        </w:tc>
        <w:tc>
          <w:tcPr>
            <w:tcW w:w="2522" w:type="dxa"/>
            <w:vAlign w:val="center"/>
          </w:tcPr>
          <w:p w14:paraId="71009496">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颗粒物</w:t>
            </w:r>
          </w:p>
        </w:tc>
        <w:tc>
          <w:tcPr>
            <w:tcW w:w="1305" w:type="dxa"/>
            <w:vAlign w:val="center"/>
          </w:tcPr>
          <w:p w14:paraId="060193BE">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0.93</w:t>
            </w:r>
            <w:r>
              <w:rPr>
                <w:rFonts w:hint="eastAsia" w:cs="Times New Roman"/>
                <w:color w:val="000000" w:themeColor="text1"/>
                <w:szCs w:val="21"/>
                <w:lang w:val="en-US" w:eastAsia="zh-CN"/>
                <w14:textFill>
                  <w14:solidFill>
                    <w14:schemeClr w14:val="tx1"/>
                  </w14:solidFill>
                </w14:textFill>
              </w:rPr>
              <w:t>5</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c>
          <w:tcPr>
            <w:tcW w:w="1052" w:type="dxa"/>
            <w:vAlign w:val="center"/>
          </w:tcPr>
          <w:p w14:paraId="3569BBD4">
            <w:pPr>
              <w:pStyle w:val="52"/>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80" w:type="dxa"/>
            <w:vAlign w:val="center"/>
          </w:tcPr>
          <w:p w14:paraId="0D9E3267">
            <w:pPr>
              <w:pStyle w:val="52"/>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65" w:type="dxa"/>
            <w:shd w:val="clear" w:color="auto" w:fill="auto"/>
            <w:vAlign w:val="center"/>
          </w:tcPr>
          <w:p w14:paraId="3DEB5CE4">
            <w:pPr>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0.63</w:t>
            </w:r>
            <w:r>
              <w:rPr>
                <w:rFonts w:hint="eastAsia" w:cs="Times New Roman"/>
                <w:color w:val="000000" w:themeColor="text1"/>
                <w:szCs w:val="21"/>
                <w:lang w:val="en-US" w:eastAsia="zh-CN"/>
                <w14:textFill>
                  <w14:solidFill>
                    <w14:schemeClr w14:val="tx1"/>
                  </w14:solidFill>
                </w14:textFill>
              </w:rPr>
              <w:t>7</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c>
          <w:tcPr>
            <w:tcW w:w="1770" w:type="dxa"/>
            <w:vAlign w:val="center"/>
          </w:tcPr>
          <w:p w14:paraId="6C72BD68">
            <w:pPr>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0.93</w:t>
            </w:r>
            <w:r>
              <w:rPr>
                <w:rFonts w:hint="eastAsia" w:cs="Times New Roman"/>
                <w:color w:val="000000" w:themeColor="text1"/>
                <w:szCs w:val="21"/>
                <w:lang w:val="en-US" w:eastAsia="zh-CN"/>
                <w14:textFill>
                  <w14:solidFill>
                    <w14:schemeClr w14:val="tx1"/>
                  </w14:solidFill>
                </w14:textFill>
              </w:rPr>
              <w:t>5</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c>
          <w:tcPr>
            <w:tcW w:w="1543" w:type="dxa"/>
            <w:vAlign w:val="center"/>
          </w:tcPr>
          <w:p w14:paraId="508F2CA4">
            <w:pPr>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0.63</w:t>
            </w:r>
            <w:r>
              <w:rPr>
                <w:rFonts w:hint="eastAsia" w:cs="Times New Roman"/>
                <w:color w:val="000000" w:themeColor="text1"/>
                <w:szCs w:val="21"/>
                <w:lang w:val="en-US" w:eastAsia="zh-CN"/>
                <w14:textFill>
                  <w14:solidFill>
                    <w14:schemeClr w14:val="tx1"/>
                  </w14:solidFill>
                </w14:textFill>
              </w:rPr>
              <w:t>7</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c>
          <w:tcPr>
            <w:tcW w:w="1458" w:type="dxa"/>
            <w:vAlign w:val="center"/>
          </w:tcPr>
          <w:p w14:paraId="58DD42B2">
            <w:pPr>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eastAsia="zh-CN"/>
                <w14:textFill>
                  <w14:solidFill>
                    <w14:schemeClr w14:val="tx1"/>
                  </w14:solidFill>
                </w14:textFill>
              </w:rPr>
              <w:t>0.29</w:t>
            </w:r>
            <w:r>
              <w:rPr>
                <w:rFonts w:hint="eastAsia" w:cs="Times New Roman"/>
                <w:color w:val="000000" w:themeColor="text1"/>
                <w:szCs w:val="21"/>
                <w:lang w:val="en-US" w:eastAsia="zh-CN"/>
                <w14:textFill>
                  <w14:solidFill>
                    <w14:schemeClr w14:val="tx1"/>
                  </w14:solidFill>
                </w14:textFill>
              </w:rPr>
              <w:t>8</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r>
      <w:tr w14:paraId="1C6C52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793" w:type="dxa"/>
            <w:vMerge w:val="continue"/>
            <w:vAlign w:val="center"/>
          </w:tcPr>
          <w:p w14:paraId="497C4C1F">
            <w:pPr>
              <w:pStyle w:val="52"/>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2522" w:type="dxa"/>
            <w:vAlign w:val="center"/>
          </w:tcPr>
          <w:p w14:paraId="0E89025A">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二氧化硫</w:t>
            </w:r>
          </w:p>
        </w:tc>
        <w:tc>
          <w:tcPr>
            <w:tcW w:w="1305" w:type="dxa"/>
            <w:vAlign w:val="center"/>
          </w:tcPr>
          <w:p w14:paraId="67399993">
            <w:pPr>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0.09</w:t>
            </w:r>
            <w:r>
              <w:rPr>
                <w:rFonts w:hint="eastAsia"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c>
          <w:tcPr>
            <w:tcW w:w="1052" w:type="dxa"/>
            <w:vAlign w:val="center"/>
          </w:tcPr>
          <w:p w14:paraId="1895DAE5">
            <w:pPr>
              <w:pStyle w:val="52"/>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80" w:type="dxa"/>
            <w:vAlign w:val="center"/>
          </w:tcPr>
          <w:p w14:paraId="318D8E5D">
            <w:pPr>
              <w:pStyle w:val="52"/>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65" w:type="dxa"/>
            <w:shd w:val="clear" w:color="auto" w:fill="auto"/>
            <w:vAlign w:val="center"/>
          </w:tcPr>
          <w:p w14:paraId="3BDFE5B3">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0.026</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c>
          <w:tcPr>
            <w:tcW w:w="1770" w:type="dxa"/>
            <w:vAlign w:val="center"/>
          </w:tcPr>
          <w:p w14:paraId="7A36E684">
            <w:pPr>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0.09</w:t>
            </w:r>
            <w:r>
              <w:rPr>
                <w:rFonts w:hint="eastAsia"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c>
          <w:tcPr>
            <w:tcW w:w="1543" w:type="dxa"/>
            <w:vAlign w:val="center"/>
          </w:tcPr>
          <w:p w14:paraId="43F85E47">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0.026</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c>
          <w:tcPr>
            <w:tcW w:w="1458" w:type="dxa"/>
            <w:vAlign w:val="center"/>
          </w:tcPr>
          <w:p w14:paraId="2A1C17D9">
            <w:pPr>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-0.06</w:t>
            </w:r>
            <w:r>
              <w:rPr>
                <w:rFonts w:hint="eastAsia" w:cs="Times New Roman"/>
                <w:color w:val="000000" w:themeColor="text1"/>
                <w:szCs w:val="21"/>
                <w:lang w:val="en-US" w:eastAsia="zh-CN"/>
                <w14:textFill>
                  <w14:solidFill>
                    <w14:schemeClr w14:val="tx1"/>
                  </w14:solidFill>
                </w14:textFill>
              </w:rPr>
              <w:t>6</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r>
      <w:tr w14:paraId="171749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3" w:type="dxa"/>
            <w:vMerge w:val="continue"/>
            <w:vAlign w:val="center"/>
          </w:tcPr>
          <w:p w14:paraId="09CEDCFF">
            <w:pPr>
              <w:pStyle w:val="52"/>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2522" w:type="dxa"/>
            <w:vAlign w:val="center"/>
          </w:tcPr>
          <w:p w14:paraId="7FCA2C21">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氮氧化物</w:t>
            </w:r>
          </w:p>
        </w:tc>
        <w:tc>
          <w:tcPr>
            <w:tcW w:w="1305" w:type="dxa"/>
            <w:vAlign w:val="center"/>
          </w:tcPr>
          <w:p w14:paraId="6920DAFC">
            <w:pPr>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r>
              <w:rPr>
                <w:rFonts w:hint="eastAsia" w:cs="Times New Roman"/>
                <w:color w:val="000000" w:themeColor="text1"/>
                <w:szCs w:val="21"/>
                <w:lang w:val="en-US" w:eastAsia="zh-CN"/>
                <w14:textFill>
                  <w14:solidFill>
                    <w14:schemeClr w14:val="tx1"/>
                  </w14:solidFill>
                </w14:textFill>
              </w:rPr>
              <w:t>306</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c>
          <w:tcPr>
            <w:tcW w:w="1052" w:type="dxa"/>
            <w:vAlign w:val="center"/>
          </w:tcPr>
          <w:p w14:paraId="2FFF62A8">
            <w:pPr>
              <w:pStyle w:val="52"/>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80" w:type="dxa"/>
            <w:vAlign w:val="center"/>
          </w:tcPr>
          <w:p w14:paraId="6BC3FC00">
            <w:pPr>
              <w:pStyle w:val="52"/>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65" w:type="dxa"/>
            <w:vAlign w:val="center"/>
          </w:tcPr>
          <w:p w14:paraId="6A1738F5">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0.331</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c>
          <w:tcPr>
            <w:tcW w:w="1770" w:type="dxa"/>
            <w:vAlign w:val="center"/>
          </w:tcPr>
          <w:p w14:paraId="0B5A022A">
            <w:pPr>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r>
              <w:rPr>
                <w:rFonts w:hint="eastAsia" w:cs="Times New Roman"/>
                <w:color w:val="000000" w:themeColor="text1"/>
                <w:szCs w:val="21"/>
                <w:lang w:val="en-US" w:eastAsia="zh-CN"/>
                <w14:textFill>
                  <w14:solidFill>
                    <w14:schemeClr w14:val="tx1"/>
                  </w14:solidFill>
                </w14:textFill>
              </w:rPr>
              <w:t>306</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c>
          <w:tcPr>
            <w:tcW w:w="1543" w:type="dxa"/>
            <w:vAlign w:val="center"/>
          </w:tcPr>
          <w:p w14:paraId="4A639CBA">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0.331</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c>
          <w:tcPr>
            <w:tcW w:w="1458" w:type="dxa"/>
            <w:vAlign w:val="center"/>
          </w:tcPr>
          <w:p w14:paraId="6AC15DAB">
            <w:pPr>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0.02</w:t>
            </w:r>
            <w:r>
              <w:rPr>
                <w:rFonts w:hint="eastAsia" w:cs="Times New Roman"/>
                <w:color w:val="000000" w:themeColor="text1"/>
                <w:szCs w:val="21"/>
                <w:lang w:val="en-US" w:eastAsia="zh-CN"/>
                <w14:textFill>
                  <w14:solidFill>
                    <w14:schemeClr w14:val="tx1"/>
                  </w14:solidFill>
                </w14:textFill>
              </w:rPr>
              <w:t>5</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r>
      <w:tr w14:paraId="6FC000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3" w:type="dxa"/>
            <w:vMerge w:val="continue"/>
            <w:vAlign w:val="center"/>
          </w:tcPr>
          <w:p w14:paraId="20E1592E">
            <w:pPr>
              <w:pStyle w:val="52"/>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2522" w:type="dxa"/>
            <w:vAlign w:val="center"/>
          </w:tcPr>
          <w:p w14:paraId="6830C8AA">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b w:val="0"/>
                <w:bCs w:val="0"/>
                <w:color w:val="000000" w:themeColor="text1"/>
                <w:kern w:val="24"/>
                <w:sz w:val="21"/>
                <w:szCs w:val="21"/>
                <w:lang w:val="en-US" w:eastAsia="zh-CN"/>
                <w14:textFill>
                  <w14:solidFill>
                    <w14:schemeClr w14:val="tx1"/>
                  </w14:solidFill>
                </w14:textFill>
              </w:rPr>
              <w:t>非甲烷总烃</w:t>
            </w:r>
          </w:p>
        </w:tc>
        <w:tc>
          <w:tcPr>
            <w:tcW w:w="1305" w:type="dxa"/>
            <w:vAlign w:val="center"/>
          </w:tcPr>
          <w:p w14:paraId="0BB9C718">
            <w:pPr>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0.079</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c>
          <w:tcPr>
            <w:tcW w:w="1052" w:type="dxa"/>
            <w:vAlign w:val="center"/>
          </w:tcPr>
          <w:p w14:paraId="414D7909">
            <w:pPr>
              <w:pStyle w:val="52"/>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80" w:type="dxa"/>
            <w:vAlign w:val="center"/>
          </w:tcPr>
          <w:p w14:paraId="6E954415">
            <w:pPr>
              <w:pStyle w:val="52"/>
              <w:spacing w:before="31" w:after="31" w:line="240" w:lineRule="auto"/>
              <w:ind w:firstLine="0" w:firstLineChars="0"/>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65" w:type="dxa"/>
            <w:vAlign w:val="center"/>
          </w:tcPr>
          <w:p w14:paraId="5F5990D6">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0.174</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c>
          <w:tcPr>
            <w:tcW w:w="1770" w:type="dxa"/>
            <w:vAlign w:val="center"/>
          </w:tcPr>
          <w:p w14:paraId="50BC8166">
            <w:pPr>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0.079</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c>
          <w:tcPr>
            <w:tcW w:w="1543" w:type="dxa"/>
            <w:vAlign w:val="center"/>
          </w:tcPr>
          <w:p w14:paraId="557D3B83">
            <w:pPr>
              <w:pStyle w:val="20"/>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cs="Times New Roman"/>
                <w:b w:val="0"/>
                <w:bCs w:val="0"/>
                <w:color w:val="000000" w:themeColor="text1"/>
                <w:kern w:val="24"/>
                <w:sz w:val="21"/>
                <w:szCs w:val="21"/>
                <w:lang w:val="en-US" w:eastAsia="zh-CN"/>
                <w14:textFill>
                  <w14:solidFill>
                    <w14:schemeClr w14:val="tx1"/>
                  </w14:solidFill>
                </w14:textFill>
              </w:rPr>
              <w:t>0.174</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c>
          <w:tcPr>
            <w:tcW w:w="1458" w:type="dxa"/>
            <w:vAlign w:val="center"/>
          </w:tcPr>
          <w:p w14:paraId="67656CF5">
            <w:pPr>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+0.09</w:t>
            </w:r>
            <w:r>
              <w:rPr>
                <w:rFonts w:hint="eastAsia" w:cs="Times New Roman"/>
                <w:color w:val="000000" w:themeColor="text1"/>
                <w:szCs w:val="21"/>
                <w:lang w:val="en-US" w:eastAsia="zh-CN"/>
                <w14:textFill>
                  <w14:solidFill>
                    <w14:schemeClr w14:val="tx1"/>
                  </w14:solidFill>
                </w14:textFill>
              </w:rPr>
              <w:t>5</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r>
      <w:tr w14:paraId="7E3143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3" w:type="dxa"/>
            <w:vMerge w:val="restart"/>
            <w:vAlign w:val="center"/>
          </w:tcPr>
          <w:p w14:paraId="03CFE7B4">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废水</w:t>
            </w:r>
          </w:p>
        </w:tc>
        <w:tc>
          <w:tcPr>
            <w:tcW w:w="2522" w:type="dxa"/>
            <w:vAlign w:val="center"/>
          </w:tcPr>
          <w:p w14:paraId="34261347">
            <w:pPr>
              <w:jc w:val="center"/>
              <w:rPr>
                <w:rFonts w:hint="default" w:ascii="Times New Roman" w:hAnsi="Times New Roman" w:eastAsia="宋体" w:cs="Times New Roman"/>
                <w:snapToGrid w:val="0"/>
                <w:color w:val="000000" w:themeColor="text1"/>
                <w:kern w:val="21"/>
                <w:sz w:val="2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生产废水</w:t>
            </w:r>
          </w:p>
        </w:tc>
        <w:tc>
          <w:tcPr>
            <w:tcW w:w="1305" w:type="dxa"/>
            <w:vAlign w:val="center"/>
          </w:tcPr>
          <w:p w14:paraId="496675E5">
            <w:pPr>
              <w:jc w:val="center"/>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1052" w:type="dxa"/>
            <w:vAlign w:val="center"/>
          </w:tcPr>
          <w:p w14:paraId="16523A01">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80" w:type="dxa"/>
            <w:vAlign w:val="center"/>
          </w:tcPr>
          <w:p w14:paraId="2533DC2A">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65" w:type="dxa"/>
            <w:vAlign w:val="center"/>
          </w:tcPr>
          <w:p w14:paraId="53C77E1B">
            <w:pPr>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1770" w:type="dxa"/>
            <w:vAlign w:val="center"/>
          </w:tcPr>
          <w:p w14:paraId="7F5E2307">
            <w:pPr>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1543" w:type="dxa"/>
            <w:vAlign w:val="center"/>
          </w:tcPr>
          <w:p w14:paraId="1C597305">
            <w:pPr>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1458" w:type="dxa"/>
            <w:vAlign w:val="center"/>
          </w:tcPr>
          <w:p w14:paraId="1B6D6781">
            <w:pPr>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r>
      <w:tr w14:paraId="0448DB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3" w:type="dxa"/>
            <w:vMerge w:val="continue"/>
            <w:vAlign w:val="center"/>
          </w:tcPr>
          <w:p w14:paraId="68CAF357">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2522" w:type="dxa"/>
            <w:vAlign w:val="center"/>
          </w:tcPr>
          <w:p w14:paraId="69CA0683">
            <w:pPr>
              <w:jc w:val="center"/>
              <w:rPr>
                <w:rFonts w:hint="default" w:ascii="Times New Roman" w:hAnsi="Times New Roman" w:eastAsia="宋体" w:cs="Times New Roman"/>
                <w:snapToGrid w:val="0"/>
                <w:color w:val="000000" w:themeColor="text1"/>
                <w:kern w:val="21"/>
                <w:sz w:val="2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生活</w:t>
            </w:r>
            <w:r>
              <w:rPr>
                <w:rFonts w:hint="default" w:ascii="Times New Roman" w:hAnsi="Times New Roman" w:cs="Times New Roman"/>
                <w:color w:val="000000" w:themeColor="text1"/>
                <w:szCs w:val="21"/>
                <w:lang w:eastAsia="zh-CN"/>
                <w14:textFill>
                  <w14:solidFill>
                    <w14:schemeClr w14:val="tx1"/>
                  </w14:solidFill>
                </w14:textFill>
              </w:rPr>
              <w:t>污水</w:t>
            </w:r>
          </w:p>
        </w:tc>
        <w:tc>
          <w:tcPr>
            <w:tcW w:w="1305" w:type="dxa"/>
            <w:vAlign w:val="center"/>
          </w:tcPr>
          <w:p w14:paraId="4BFFBC99">
            <w:pPr>
              <w:jc w:val="center"/>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052" w:type="dxa"/>
            <w:vAlign w:val="center"/>
          </w:tcPr>
          <w:p w14:paraId="5C0EFAD9">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80" w:type="dxa"/>
            <w:vAlign w:val="center"/>
          </w:tcPr>
          <w:p w14:paraId="50AB6E5A">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65" w:type="dxa"/>
            <w:vAlign w:val="center"/>
          </w:tcPr>
          <w:p w14:paraId="65F6664E">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1770" w:type="dxa"/>
            <w:vAlign w:val="center"/>
          </w:tcPr>
          <w:p w14:paraId="765EB6D8">
            <w:pPr>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543" w:type="dxa"/>
            <w:vAlign w:val="center"/>
          </w:tcPr>
          <w:p w14:paraId="3EBC5341">
            <w:pPr>
              <w:jc w:val="center"/>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1458" w:type="dxa"/>
            <w:vAlign w:val="center"/>
          </w:tcPr>
          <w:p w14:paraId="444ADA01">
            <w:pPr>
              <w:jc w:val="center"/>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r>
      <w:tr w14:paraId="0EE07E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3" w:type="dxa"/>
            <w:vMerge w:val="restart"/>
            <w:vAlign w:val="center"/>
          </w:tcPr>
          <w:p w14:paraId="7CCA6F94">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t>一般工业</w:t>
            </w:r>
          </w:p>
          <w:p w14:paraId="33181D08">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t>固体废物</w:t>
            </w:r>
          </w:p>
        </w:tc>
        <w:tc>
          <w:tcPr>
            <w:tcW w:w="2522" w:type="dxa"/>
            <w:vAlign w:val="center"/>
          </w:tcPr>
          <w:p w14:paraId="6E4C34C3">
            <w:pPr>
              <w:jc w:val="cente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生活垃圾</w:t>
            </w:r>
          </w:p>
        </w:tc>
        <w:tc>
          <w:tcPr>
            <w:tcW w:w="1305" w:type="dxa"/>
            <w:vAlign w:val="center"/>
          </w:tcPr>
          <w:p w14:paraId="5E4F7314">
            <w:pPr>
              <w:jc w:val="cente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1.875</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c>
          <w:tcPr>
            <w:tcW w:w="1052" w:type="dxa"/>
            <w:vAlign w:val="center"/>
          </w:tcPr>
          <w:p w14:paraId="5C74250F">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80" w:type="dxa"/>
            <w:vAlign w:val="center"/>
          </w:tcPr>
          <w:p w14:paraId="2109C850">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65" w:type="dxa"/>
            <w:vAlign w:val="center"/>
          </w:tcPr>
          <w:p w14:paraId="75B5F82B">
            <w:pPr>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1.5t/a</w:t>
            </w:r>
          </w:p>
        </w:tc>
        <w:tc>
          <w:tcPr>
            <w:tcW w:w="1770" w:type="dxa"/>
            <w:vAlign w:val="center"/>
          </w:tcPr>
          <w:p w14:paraId="3846AC07">
            <w:pPr>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1.8</w:t>
            </w:r>
            <w:r>
              <w:rPr>
                <w:rFonts w:hint="default" w:ascii="Times New Roman" w:hAnsi="Times New Roman" w:eastAsia="宋体" w:cs="Times New Roman"/>
                <w:color w:val="000000" w:themeColor="text1"/>
                <w:szCs w:val="21"/>
                <w:lang w:val="en-US" w:eastAsia="zh-CN"/>
                <w14:textFill>
                  <w14:solidFill>
                    <w14:schemeClr w14:val="tx1"/>
                  </w14:solidFill>
                </w14:textFill>
              </w:rPr>
              <w:t>75t/a</w:t>
            </w:r>
          </w:p>
        </w:tc>
        <w:tc>
          <w:tcPr>
            <w:tcW w:w="1543" w:type="dxa"/>
            <w:vAlign w:val="center"/>
          </w:tcPr>
          <w:p w14:paraId="45E36804">
            <w:pPr>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1.5t/a</w:t>
            </w:r>
          </w:p>
        </w:tc>
        <w:tc>
          <w:tcPr>
            <w:tcW w:w="1458" w:type="dxa"/>
            <w:vAlign w:val="center"/>
          </w:tcPr>
          <w:p w14:paraId="4AA0297D">
            <w:pPr>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0.375</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r>
      <w:tr w14:paraId="195463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3" w:type="dxa"/>
            <w:vMerge w:val="continue"/>
            <w:vAlign w:val="center"/>
          </w:tcPr>
          <w:p w14:paraId="35B9146D">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p>
        </w:tc>
        <w:tc>
          <w:tcPr>
            <w:tcW w:w="2522" w:type="dxa"/>
            <w:vAlign w:val="center"/>
          </w:tcPr>
          <w:p w14:paraId="3BA138E6">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生活污水设施污泥</w:t>
            </w:r>
          </w:p>
        </w:tc>
        <w:tc>
          <w:tcPr>
            <w:tcW w:w="1305" w:type="dxa"/>
            <w:vAlign w:val="center"/>
          </w:tcPr>
          <w:p w14:paraId="1609D585">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0.75</w:t>
            </w:r>
            <w:r>
              <w:rPr>
                <w:rFonts w:hint="default" w:ascii="Times New Roman" w:hAnsi="Times New Roman" w:cs="Times New Roman"/>
                <w:color w:val="000000" w:themeColor="text1"/>
                <w:szCs w:val="21"/>
                <w:lang w:val="en-US" w:eastAsia="zh-CN"/>
                <w14:textFill>
                  <w14:solidFill>
                    <w14:schemeClr w14:val="tx1"/>
                  </w14:solidFill>
                </w14:textFill>
              </w:rPr>
              <w:t>t/a</w:t>
            </w:r>
          </w:p>
        </w:tc>
        <w:tc>
          <w:tcPr>
            <w:tcW w:w="1052" w:type="dxa"/>
            <w:vAlign w:val="center"/>
          </w:tcPr>
          <w:p w14:paraId="73A07A31">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80" w:type="dxa"/>
            <w:vAlign w:val="center"/>
          </w:tcPr>
          <w:p w14:paraId="1071AD87">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65" w:type="dxa"/>
            <w:vAlign w:val="center"/>
          </w:tcPr>
          <w:p w14:paraId="25FA8422">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1.44t/a</w:t>
            </w:r>
          </w:p>
        </w:tc>
        <w:tc>
          <w:tcPr>
            <w:tcW w:w="1770" w:type="dxa"/>
            <w:vAlign w:val="center"/>
          </w:tcPr>
          <w:p w14:paraId="1E044B09">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0.75</w:t>
            </w:r>
            <w:r>
              <w:rPr>
                <w:rFonts w:hint="default" w:ascii="Times New Roman" w:hAnsi="Times New Roman" w:cs="Times New Roman"/>
                <w:color w:val="000000" w:themeColor="text1"/>
                <w:szCs w:val="21"/>
                <w:lang w:val="en-US" w:eastAsia="zh-CN"/>
                <w14:textFill>
                  <w14:solidFill>
                    <w14:schemeClr w14:val="tx1"/>
                  </w14:solidFill>
                </w14:textFill>
              </w:rPr>
              <w:t>t/a</w:t>
            </w:r>
          </w:p>
        </w:tc>
        <w:tc>
          <w:tcPr>
            <w:tcW w:w="1543" w:type="dxa"/>
            <w:vAlign w:val="center"/>
          </w:tcPr>
          <w:p w14:paraId="744FFF89">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1.44t/a</w:t>
            </w:r>
          </w:p>
        </w:tc>
        <w:tc>
          <w:tcPr>
            <w:tcW w:w="1458" w:type="dxa"/>
            <w:vAlign w:val="center"/>
          </w:tcPr>
          <w:p w14:paraId="4B17FC4A">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r>
              <w:rPr>
                <w:rFonts w:hint="eastAsia" w:cs="Times New Roman"/>
                <w:color w:val="000000" w:themeColor="text1"/>
                <w:szCs w:val="21"/>
                <w:lang w:val="en-US" w:eastAsia="zh-CN"/>
                <w14:textFill>
                  <w14:solidFill>
                    <w14:schemeClr w14:val="tx1"/>
                  </w14:solidFill>
                </w14:textFill>
              </w:rPr>
              <w:t>29</w:t>
            </w:r>
            <w:r>
              <w:rPr>
                <w:rFonts w:hint="default" w:ascii="Times New Roman" w:hAnsi="Times New Roman" w:cs="Times New Roman"/>
                <w:color w:val="000000" w:themeColor="text1"/>
                <w:szCs w:val="21"/>
                <w:lang w:val="en-US" w:eastAsia="zh-CN"/>
                <w14:textFill>
                  <w14:solidFill>
                    <w14:schemeClr w14:val="tx1"/>
                  </w14:solidFill>
                </w14:textFill>
              </w:rPr>
              <w:t>t/a</w:t>
            </w:r>
          </w:p>
        </w:tc>
      </w:tr>
      <w:tr w14:paraId="235051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3" w:type="dxa"/>
            <w:vMerge w:val="continue"/>
            <w:vAlign w:val="center"/>
          </w:tcPr>
          <w:p w14:paraId="05C8A821">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p>
        </w:tc>
        <w:tc>
          <w:tcPr>
            <w:tcW w:w="2522" w:type="dxa"/>
            <w:vAlign w:val="center"/>
          </w:tcPr>
          <w:p w14:paraId="5F418211">
            <w:pPr>
              <w:jc w:val="cente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zCs w:val="21"/>
                <w:lang w:val="zh-CN"/>
                <w14:textFill>
                  <w14:solidFill>
                    <w14:schemeClr w14:val="tx1"/>
                  </w14:solidFill>
                </w14:textFill>
              </w:rPr>
              <w:t>焚烧炉废渣</w:t>
            </w:r>
          </w:p>
        </w:tc>
        <w:tc>
          <w:tcPr>
            <w:tcW w:w="1305" w:type="dxa"/>
            <w:vAlign w:val="center"/>
          </w:tcPr>
          <w:p w14:paraId="01475E7C">
            <w:pPr>
              <w:jc w:val="cente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12.072t/a</w:t>
            </w:r>
          </w:p>
        </w:tc>
        <w:tc>
          <w:tcPr>
            <w:tcW w:w="1052" w:type="dxa"/>
            <w:vAlign w:val="center"/>
          </w:tcPr>
          <w:p w14:paraId="7423342F">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80" w:type="dxa"/>
            <w:vAlign w:val="center"/>
          </w:tcPr>
          <w:p w14:paraId="018A9D6D">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65" w:type="dxa"/>
            <w:vAlign w:val="center"/>
          </w:tcPr>
          <w:p w14:paraId="18288DA2">
            <w:pPr>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9.06</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c>
          <w:tcPr>
            <w:tcW w:w="1770" w:type="dxa"/>
            <w:vAlign w:val="center"/>
          </w:tcPr>
          <w:p w14:paraId="61DACA98">
            <w:pPr>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12.072t/a</w:t>
            </w:r>
          </w:p>
        </w:tc>
        <w:tc>
          <w:tcPr>
            <w:tcW w:w="1543" w:type="dxa"/>
            <w:vAlign w:val="center"/>
          </w:tcPr>
          <w:p w14:paraId="75F90B0C">
            <w:pPr>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9.06</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c>
          <w:tcPr>
            <w:tcW w:w="1458" w:type="dxa"/>
            <w:vAlign w:val="center"/>
          </w:tcPr>
          <w:p w14:paraId="51B763BC">
            <w:pPr>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-3.012</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r>
      <w:tr w14:paraId="1A5F45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3" w:type="dxa"/>
            <w:vMerge w:val="continue"/>
            <w:vAlign w:val="center"/>
          </w:tcPr>
          <w:p w14:paraId="4A74B422">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p>
        </w:tc>
        <w:tc>
          <w:tcPr>
            <w:tcW w:w="2522" w:type="dxa"/>
            <w:vAlign w:val="center"/>
          </w:tcPr>
          <w:p w14:paraId="112C00EF">
            <w:pPr>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除尘灰</w:t>
            </w:r>
          </w:p>
        </w:tc>
        <w:tc>
          <w:tcPr>
            <w:tcW w:w="1305" w:type="dxa"/>
            <w:vAlign w:val="center"/>
          </w:tcPr>
          <w:p w14:paraId="57265688">
            <w:pPr>
              <w:jc w:val="cente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21.7608t/a</w:t>
            </w:r>
          </w:p>
        </w:tc>
        <w:tc>
          <w:tcPr>
            <w:tcW w:w="1052" w:type="dxa"/>
            <w:vAlign w:val="center"/>
          </w:tcPr>
          <w:p w14:paraId="58516271">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80" w:type="dxa"/>
            <w:vAlign w:val="center"/>
          </w:tcPr>
          <w:p w14:paraId="12382C76">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65" w:type="dxa"/>
            <w:vAlign w:val="center"/>
          </w:tcPr>
          <w:p w14:paraId="76BC2291">
            <w:pPr>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27.2125t/a</w:t>
            </w:r>
          </w:p>
        </w:tc>
        <w:tc>
          <w:tcPr>
            <w:tcW w:w="1770" w:type="dxa"/>
            <w:vAlign w:val="center"/>
          </w:tcPr>
          <w:p w14:paraId="6727F691">
            <w:pPr>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21.7608t/a</w:t>
            </w:r>
          </w:p>
        </w:tc>
        <w:tc>
          <w:tcPr>
            <w:tcW w:w="1543" w:type="dxa"/>
            <w:vAlign w:val="center"/>
          </w:tcPr>
          <w:p w14:paraId="3981A550">
            <w:pPr>
              <w:autoSpaceDE w:val="0"/>
              <w:autoSpaceDN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27.2125t/a</w:t>
            </w:r>
          </w:p>
        </w:tc>
        <w:tc>
          <w:tcPr>
            <w:tcW w:w="1458" w:type="dxa"/>
            <w:vAlign w:val="center"/>
          </w:tcPr>
          <w:p w14:paraId="059CCD8A">
            <w:pPr>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-5.4517t/a</w:t>
            </w:r>
          </w:p>
        </w:tc>
      </w:tr>
      <w:tr w14:paraId="6DB01C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3" w:type="dxa"/>
            <w:vMerge w:val="continue"/>
            <w:vAlign w:val="center"/>
          </w:tcPr>
          <w:p w14:paraId="44DA1838">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p>
        </w:tc>
        <w:tc>
          <w:tcPr>
            <w:tcW w:w="2522" w:type="dxa"/>
            <w:vAlign w:val="center"/>
          </w:tcPr>
          <w:p w14:paraId="592604FB">
            <w:pPr>
              <w:jc w:val="cente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废</w:t>
            </w:r>
            <w:r>
              <w:rPr>
                <w:rFonts w:hint="eastAsia" w:ascii="Times New Roman" w:hAnsi="Times New Roman" w:cs="Times New Roman"/>
                <w:color w:val="000000" w:themeColor="text1"/>
                <w:szCs w:val="21"/>
                <w:lang w:val="en-US" w:eastAsia="zh-CN"/>
                <w14:textFill>
                  <w14:solidFill>
                    <w14:schemeClr w14:val="tx1"/>
                  </w14:solidFill>
                </w14:textFill>
              </w:rPr>
              <w:t>液化石油气钢瓶</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zh-CN" w:eastAsia="zh-CN"/>
                <w14:textFill>
                  <w14:solidFill>
                    <w14:schemeClr w14:val="tx1"/>
                  </w14:solidFill>
                </w14:textFill>
              </w:rPr>
              <w:t>废瓶阀</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zh-CN" w:eastAsia="zh-CN"/>
                <w14:textFill>
                  <w14:solidFill>
                    <w14:schemeClr w14:val="tx1"/>
                  </w14:solidFill>
                </w14:textFill>
              </w:rPr>
              <w:t>废钢丸</w:t>
            </w:r>
          </w:p>
        </w:tc>
        <w:tc>
          <w:tcPr>
            <w:tcW w:w="1305" w:type="dxa"/>
            <w:vAlign w:val="center"/>
          </w:tcPr>
          <w:p w14:paraId="1730F2C0">
            <w:pPr>
              <w:jc w:val="cente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49.5t/a</w:t>
            </w:r>
          </w:p>
        </w:tc>
        <w:tc>
          <w:tcPr>
            <w:tcW w:w="1052" w:type="dxa"/>
            <w:vAlign w:val="center"/>
          </w:tcPr>
          <w:p w14:paraId="03935949">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80" w:type="dxa"/>
            <w:vAlign w:val="center"/>
          </w:tcPr>
          <w:p w14:paraId="1512D125">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65" w:type="dxa"/>
            <w:vAlign w:val="center"/>
          </w:tcPr>
          <w:p w14:paraId="02D1AD75">
            <w:pPr>
              <w:autoSpaceDE w:val="0"/>
              <w:autoSpaceDN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2253.25</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c>
          <w:tcPr>
            <w:tcW w:w="1770" w:type="dxa"/>
            <w:vAlign w:val="center"/>
          </w:tcPr>
          <w:p w14:paraId="6AD13070">
            <w:pPr>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49.5t/a</w:t>
            </w:r>
          </w:p>
        </w:tc>
        <w:tc>
          <w:tcPr>
            <w:tcW w:w="1543" w:type="dxa"/>
            <w:vAlign w:val="center"/>
          </w:tcPr>
          <w:p w14:paraId="53E3B878">
            <w:pPr>
              <w:autoSpaceDE w:val="0"/>
              <w:autoSpaceDN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2253.25</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c>
          <w:tcPr>
            <w:tcW w:w="1458" w:type="dxa"/>
            <w:vAlign w:val="center"/>
          </w:tcPr>
          <w:p w14:paraId="412621ED">
            <w:pPr>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2203.75</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r>
      <w:tr w14:paraId="590F07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3" w:type="dxa"/>
            <w:vMerge w:val="continue"/>
            <w:vAlign w:val="center"/>
          </w:tcPr>
          <w:p w14:paraId="5C70B988">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p>
        </w:tc>
        <w:tc>
          <w:tcPr>
            <w:tcW w:w="2522" w:type="dxa"/>
            <w:vAlign w:val="center"/>
          </w:tcPr>
          <w:p w14:paraId="46B35C4E">
            <w:pPr>
              <w:jc w:val="cente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废橡胶圈</w:t>
            </w:r>
          </w:p>
        </w:tc>
        <w:tc>
          <w:tcPr>
            <w:tcW w:w="1305" w:type="dxa"/>
            <w:vAlign w:val="center"/>
          </w:tcPr>
          <w:p w14:paraId="2287DA0D">
            <w:pPr>
              <w:jc w:val="cente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0.1t/a</w:t>
            </w:r>
          </w:p>
        </w:tc>
        <w:tc>
          <w:tcPr>
            <w:tcW w:w="1052" w:type="dxa"/>
            <w:vAlign w:val="center"/>
          </w:tcPr>
          <w:p w14:paraId="60903F33">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80" w:type="dxa"/>
            <w:vAlign w:val="center"/>
          </w:tcPr>
          <w:p w14:paraId="109CFA01">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65" w:type="dxa"/>
            <w:vAlign w:val="center"/>
          </w:tcPr>
          <w:p w14:paraId="4E290525">
            <w:pPr>
              <w:autoSpaceDE w:val="0"/>
              <w:autoSpaceDN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0.3</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c>
          <w:tcPr>
            <w:tcW w:w="1770" w:type="dxa"/>
            <w:vAlign w:val="center"/>
          </w:tcPr>
          <w:p w14:paraId="4F5EAE28">
            <w:pPr>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0.1t/a</w:t>
            </w:r>
          </w:p>
        </w:tc>
        <w:tc>
          <w:tcPr>
            <w:tcW w:w="1543" w:type="dxa"/>
            <w:vAlign w:val="center"/>
          </w:tcPr>
          <w:p w14:paraId="048192C2">
            <w:pPr>
              <w:autoSpaceDE w:val="0"/>
              <w:autoSpaceDN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0.3</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c>
          <w:tcPr>
            <w:tcW w:w="1458" w:type="dxa"/>
            <w:vAlign w:val="center"/>
          </w:tcPr>
          <w:p w14:paraId="26E9949A">
            <w:pPr>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+0.2t/a</w:t>
            </w:r>
          </w:p>
        </w:tc>
      </w:tr>
      <w:tr w14:paraId="0A4F6A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3" w:type="dxa"/>
            <w:vMerge w:val="continue"/>
            <w:vAlign w:val="center"/>
          </w:tcPr>
          <w:p w14:paraId="0B4B9674">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p>
        </w:tc>
        <w:tc>
          <w:tcPr>
            <w:tcW w:w="2522" w:type="dxa"/>
            <w:vAlign w:val="center"/>
          </w:tcPr>
          <w:p w14:paraId="3CB5F809">
            <w:pPr>
              <w:autoSpaceDE w:val="0"/>
              <w:autoSpaceDN w:val="0"/>
              <w:jc w:val="cente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废滤筒</w:t>
            </w:r>
          </w:p>
        </w:tc>
        <w:tc>
          <w:tcPr>
            <w:tcW w:w="1305" w:type="dxa"/>
            <w:vAlign w:val="center"/>
          </w:tcPr>
          <w:p w14:paraId="3C29416A">
            <w:pPr>
              <w:autoSpaceDE w:val="0"/>
              <w:autoSpaceDN w:val="0"/>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c>
          <w:tcPr>
            <w:tcW w:w="1052" w:type="dxa"/>
            <w:vAlign w:val="center"/>
          </w:tcPr>
          <w:p w14:paraId="5489426F">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80" w:type="dxa"/>
            <w:vAlign w:val="center"/>
          </w:tcPr>
          <w:p w14:paraId="0DEAF38E">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65" w:type="dxa"/>
            <w:vAlign w:val="center"/>
          </w:tcPr>
          <w:p w14:paraId="0A40429E">
            <w:pPr>
              <w:autoSpaceDE w:val="0"/>
              <w:autoSpaceDN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0.05</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c>
          <w:tcPr>
            <w:tcW w:w="1770" w:type="dxa"/>
            <w:vAlign w:val="center"/>
          </w:tcPr>
          <w:p w14:paraId="64C60534">
            <w:pPr>
              <w:autoSpaceDE w:val="0"/>
              <w:autoSpaceDN w:val="0"/>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c>
          <w:tcPr>
            <w:tcW w:w="1543" w:type="dxa"/>
            <w:vAlign w:val="center"/>
          </w:tcPr>
          <w:p w14:paraId="0B9FA3F1">
            <w:pPr>
              <w:autoSpaceDE w:val="0"/>
              <w:autoSpaceDN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0.05t/a</w:t>
            </w:r>
          </w:p>
        </w:tc>
        <w:tc>
          <w:tcPr>
            <w:tcW w:w="1458" w:type="dxa"/>
            <w:vAlign w:val="center"/>
          </w:tcPr>
          <w:p w14:paraId="6964A869">
            <w:pPr>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+0.05t/a</w:t>
            </w:r>
          </w:p>
        </w:tc>
      </w:tr>
      <w:tr w14:paraId="5455D6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3" w:type="dxa"/>
            <w:vMerge w:val="continue"/>
            <w:vAlign w:val="center"/>
          </w:tcPr>
          <w:p w14:paraId="7D38522E">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p>
        </w:tc>
        <w:tc>
          <w:tcPr>
            <w:tcW w:w="2522" w:type="dxa"/>
            <w:vAlign w:val="center"/>
          </w:tcPr>
          <w:p w14:paraId="42947E9F">
            <w:pPr>
              <w:autoSpaceDE w:val="0"/>
              <w:autoSpaceDN w:val="0"/>
              <w:jc w:val="center"/>
              <w:rPr>
                <w:rFonts w:hint="default" w:ascii="Times New Roman" w:hAnsi="Times New Roman"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脱硫废渣</w:t>
            </w:r>
          </w:p>
        </w:tc>
        <w:tc>
          <w:tcPr>
            <w:tcW w:w="1305" w:type="dxa"/>
            <w:vAlign w:val="center"/>
          </w:tcPr>
          <w:p w14:paraId="0E241129">
            <w:pPr>
              <w:autoSpaceDE w:val="0"/>
              <w:autoSpaceDN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w:t>
            </w:r>
          </w:p>
        </w:tc>
        <w:tc>
          <w:tcPr>
            <w:tcW w:w="1052" w:type="dxa"/>
            <w:vAlign w:val="center"/>
          </w:tcPr>
          <w:p w14:paraId="0BB8BCE4">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eastAsia" w:ascii="Times New Roman" w:cs="Times New Roman"/>
                <w:snapToGrid w:val="0"/>
                <w:color w:val="000000" w:themeColor="text1"/>
                <w:kern w:val="21"/>
                <w:sz w:val="21"/>
                <w:szCs w:val="21"/>
                <w:lang w:val="en-US" w:eastAsia="zh-CN"/>
                <w14:textFill>
                  <w14:solidFill>
                    <w14:schemeClr w14:val="tx1"/>
                  </w14:solidFill>
                </w14:textFill>
              </w:rPr>
              <w:t>/</w:t>
            </w:r>
          </w:p>
        </w:tc>
        <w:tc>
          <w:tcPr>
            <w:tcW w:w="1680" w:type="dxa"/>
            <w:vAlign w:val="center"/>
          </w:tcPr>
          <w:p w14:paraId="373AA375">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eastAsia" w:ascii="Times New Roman" w:cs="Times New Roman"/>
                <w:snapToGrid w:val="0"/>
                <w:color w:val="000000" w:themeColor="text1"/>
                <w:kern w:val="21"/>
                <w:sz w:val="21"/>
                <w:szCs w:val="21"/>
                <w:lang w:val="en-US" w:eastAsia="zh-CN"/>
                <w14:textFill>
                  <w14:solidFill>
                    <w14:schemeClr w14:val="tx1"/>
                  </w14:solidFill>
                </w14:textFill>
              </w:rPr>
              <w:t>/</w:t>
            </w:r>
          </w:p>
        </w:tc>
        <w:tc>
          <w:tcPr>
            <w:tcW w:w="1665" w:type="dxa"/>
            <w:vAlign w:val="center"/>
          </w:tcPr>
          <w:p w14:paraId="0DD72B9D">
            <w:pPr>
              <w:autoSpaceDE w:val="0"/>
              <w:autoSpaceDN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0.2284t/a</w:t>
            </w:r>
          </w:p>
        </w:tc>
        <w:tc>
          <w:tcPr>
            <w:tcW w:w="1770" w:type="dxa"/>
            <w:vAlign w:val="center"/>
          </w:tcPr>
          <w:p w14:paraId="1A2C8282">
            <w:pPr>
              <w:autoSpaceDE w:val="0"/>
              <w:autoSpaceDN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w:t>
            </w:r>
          </w:p>
        </w:tc>
        <w:tc>
          <w:tcPr>
            <w:tcW w:w="1543" w:type="dxa"/>
            <w:vAlign w:val="center"/>
          </w:tcPr>
          <w:p w14:paraId="540E9F62">
            <w:pPr>
              <w:autoSpaceDE w:val="0"/>
              <w:autoSpaceDN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0.2284t/a</w:t>
            </w:r>
          </w:p>
        </w:tc>
        <w:tc>
          <w:tcPr>
            <w:tcW w:w="1458" w:type="dxa"/>
            <w:vAlign w:val="center"/>
          </w:tcPr>
          <w:p w14:paraId="4DB3EB3A">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+0.2284t/a</w:t>
            </w:r>
          </w:p>
        </w:tc>
      </w:tr>
      <w:tr w14:paraId="21E2AF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3" w:type="dxa"/>
            <w:vMerge w:val="restart"/>
            <w:vAlign w:val="center"/>
          </w:tcPr>
          <w:p w14:paraId="2724F8A8">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t>危险废物</w:t>
            </w:r>
          </w:p>
        </w:tc>
        <w:tc>
          <w:tcPr>
            <w:tcW w:w="2522" w:type="dxa"/>
            <w:vAlign w:val="center"/>
          </w:tcPr>
          <w:p w14:paraId="7AB460A7">
            <w:pPr>
              <w:jc w:val="cente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废矿物油</w:t>
            </w:r>
          </w:p>
        </w:tc>
        <w:tc>
          <w:tcPr>
            <w:tcW w:w="1305" w:type="dxa"/>
            <w:vAlign w:val="center"/>
          </w:tcPr>
          <w:p w14:paraId="5BE1869A">
            <w:pPr>
              <w:jc w:val="cente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052" w:type="dxa"/>
            <w:vAlign w:val="center"/>
          </w:tcPr>
          <w:p w14:paraId="3A73B607">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80" w:type="dxa"/>
            <w:vAlign w:val="center"/>
          </w:tcPr>
          <w:p w14:paraId="0B79E723">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65" w:type="dxa"/>
            <w:vAlign w:val="center"/>
          </w:tcPr>
          <w:p w14:paraId="45A48A2E">
            <w:pPr>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0.1t/a</w:t>
            </w:r>
          </w:p>
        </w:tc>
        <w:tc>
          <w:tcPr>
            <w:tcW w:w="1770" w:type="dxa"/>
            <w:vAlign w:val="center"/>
          </w:tcPr>
          <w:p w14:paraId="127E516C">
            <w:pPr>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543" w:type="dxa"/>
            <w:vAlign w:val="center"/>
          </w:tcPr>
          <w:p w14:paraId="27BC4338">
            <w:pPr>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0.1t/a</w:t>
            </w:r>
          </w:p>
        </w:tc>
        <w:tc>
          <w:tcPr>
            <w:tcW w:w="1458" w:type="dxa"/>
            <w:vAlign w:val="center"/>
          </w:tcPr>
          <w:p w14:paraId="3A144D65">
            <w:pPr>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+0.1</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r>
      <w:tr w14:paraId="35517C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3" w:type="dxa"/>
            <w:vMerge w:val="continue"/>
            <w:vAlign w:val="center"/>
          </w:tcPr>
          <w:p w14:paraId="03BCB033">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p>
        </w:tc>
        <w:tc>
          <w:tcPr>
            <w:tcW w:w="2522" w:type="dxa"/>
            <w:vAlign w:val="center"/>
          </w:tcPr>
          <w:p w14:paraId="43E8D692">
            <w:pPr>
              <w:autoSpaceDE w:val="0"/>
              <w:autoSpaceDN w:val="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废活性炭</w:t>
            </w:r>
          </w:p>
        </w:tc>
        <w:tc>
          <w:tcPr>
            <w:tcW w:w="1305" w:type="dxa"/>
            <w:vAlign w:val="center"/>
          </w:tcPr>
          <w:p w14:paraId="2A1BD04E">
            <w:pPr>
              <w:autoSpaceDE w:val="0"/>
              <w:autoSpaceDN w:val="0"/>
              <w:jc w:val="cente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0.1</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c>
          <w:tcPr>
            <w:tcW w:w="1052" w:type="dxa"/>
            <w:vAlign w:val="center"/>
          </w:tcPr>
          <w:p w14:paraId="1D24FFEC">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80" w:type="dxa"/>
            <w:vAlign w:val="center"/>
          </w:tcPr>
          <w:p w14:paraId="00FB2FC0">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65" w:type="dxa"/>
            <w:vAlign w:val="center"/>
          </w:tcPr>
          <w:p w14:paraId="7FC6ED03">
            <w:pPr>
              <w:autoSpaceDE w:val="0"/>
              <w:autoSpaceDN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c>
          <w:tcPr>
            <w:tcW w:w="1770" w:type="dxa"/>
            <w:vAlign w:val="center"/>
          </w:tcPr>
          <w:p w14:paraId="1DBF1849">
            <w:pPr>
              <w:autoSpaceDE w:val="0"/>
              <w:autoSpaceDN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0.1</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c>
          <w:tcPr>
            <w:tcW w:w="1543" w:type="dxa"/>
            <w:vAlign w:val="center"/>
          </w:tcPr>
          <w:p w14:paraId="4984A7CC">
            <w:pPr>
              <w:autoSpaceDE w:val="0"/>
              <w:autoSpaceDN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458" w:type="dxa"/>
            <w:vAlign w:val="center"/>
          </w:tcPr>
          <w:p w14:paraId="46B9B5CA">
            <w:pPr>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-0.1t/a</w:t>
            </w:r>
          </w:p>
        </w:tc>
      </w:tr>
      <w:tr w14:paraId="41C5DA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3" w:type="dxa"/>
            <w:vMerge w:val="continue"/>
            <w:vAlign w:val="center"/>
          </w:tcPr>
          <w:p w14:paraId="120C8C82">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p>
        </w:tc>
        <w:tc>
          <w:tcPr>
            <w:tcW w:w="2522" w:type="dxa"/>
            <w:vAlign w:val="center"/>
          </w:tcPr>
          <w:p w14:paraId="6C7D8D83">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废油墨桶</w:t>
            </w:r>
          </w:p>
        </w:tc>
        <w:tc>
          <w:tcPr>
            <w:tcW w:w="1305" w:type="dxa"/>
            <w:vAlign w:val="center"/>
          </w:tcPr>
          <w:p w14:paraId="79A2BC84">
            <w:pPr>
              <w:autoSpaceDE w:val="0"/>
              <w:autoSpaceDN w:val="0"/>
              <w:jc w:val="cente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c>
          <w:tcPr>
            <w:tcW w:w="1052" w:type="dxa"/>
            <w:vAlign w:val="center"/>
          </w:tcPr>
          <w:p w14:paraId="72CB4DB7">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80" w:type="dxa"/>
            <w:vAlign w:val="center"/>
          </w:tcPr>
          <w:p w14:paraId="50E56C3E">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65" w:type="dxa"/>
            <w:vAlign w:val="center"/>
          </w:tcPr>
          <w:p w14:paraId="5D9C6039">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0.02</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c>
          <w:tcPr>
            <w:tcW w:w="1770" w:type="dxa"/>
            <w:vAlign w:val="center"/>
          </w:tcPr>
          <w:p w14:paraId="22FADBF2">
            <w:pPr>
              <w:autoSpaceDE w:val="0"/>
              <w:autoSpaceDN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c>
          <w:tcPr>
            <w:tcW w:w="1543" w:type="dxa"/>
            <w:vAlign w:val="center"/>
          </w:tcPr>
          <w:p w14:paraId="627A3A76">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0.02</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c>
          <w:tcPr>
            <w:tcW w:w="1458" w:type="dxa"/>
            <w:vAlign w:val="center"/>
          </w:tcPr>
          <w:p w14:paraId="6A0D32EB">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+0.02</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r>
      <w:tr w14:paraId="46F7C6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3" w:type="dxa"/>
            <w:vMerge w:val="continue"/>
            <w:vAlign w:val="center"/>
          </w:tcPr>
          <w:p w14:paraId="03778DC7">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p>
        </w:tc>
        <w:tc>
          <w:tcPr>
            <w:tcW w:w="2522" w:type="dxa"/>
            <w:vAlign w:val="center"/>
          </w:tcPr>
          <w:p w14:paraId="60B3433A">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废网板</w:t>
            </w:r>
          </w:p>
        </w:tc>
        <w:tc>
          <w:tcPr>
            <w:tcW w:w="1305" w:type="dxa"/>
            <w:vAlign w:val="center"/>
          </w:tcPr>
          <w:p w14:paraId="5614C556">
            <w:pPr>
              <w:autoSpaceDE w:val="0"/>
              <w:autoSpaceDN w:val="0"/>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c>
          <w:tcPr>
            <w:tcW w:w="1052" w:type="dxa"/>
            <w:vAlign w:val="center"/>
          </w:tcPr>
          <w:p w14:paraId="21331B2C">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80" w:type="dxa"/>
            <w:vAlign w:val="center"/>
          </w:tcPr>
          <w:p w14:paraId="763A667A">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1665" w:type="dxa"/>
            <w:vAlign w:val="center"/>
          </w:tcPr>
          <w:p w14:paraId="1EADE3C9">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c>
          <w:tcPr>
            <w:tcW w:w="1770" w:type="dxa"/>
            <w:vAlign w:val="center"/>
          </w:tcPr>
          <w:p w14:paraId="7F1594FA">
            <w:pPr>
              <w:autoSpaceDE w:val="0"/>
              <w:autoSpaceDN w:val="0"/>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c>
          <w:tcPr>
            <w:tcW w:w="1543" w:type="dxa"/>
            <w:vAlign w:val="center"/>
          </w:tcPr>
          <w:p w14:paraId="1A498022">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c>
          <w:tcPr>
            <w:tcW w:w="1458" w:type="dxa"/>
            <w:vAlign w:val="center"/>
          </w:tcPr>
          <w:p w14:paraId="23AEE5DA">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r>
      <w:tr w14:paraId="5C5A66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3" w:type="dxa"/>
            <w:vMerge w:val="continue"/>
            <w:vAlign w:val="center"/>
          </w:tcPr>
          <w:p w14:paraId="4421DA2C">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p>
        </w:tc>
        <w:tc>
          <w:tcPr>
            <w:tcW w:w="2522" w:type="dxa"/>
            <w:vAlign w:val="center"/>
          </w:tcPr>
          <w:p w14:paraId="41F5206F">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喷淋废水</w:t>
            </w:r>
          </w:p>
        </w:tc>
        <w:tc>
          <w:tcPr>
            <w:tcW w:w="1305" w:type="dxa"/>
            <w:vAlign w:val="center"/>
          </w:tcPr>
          <w:p w14:paraId="0094F7AD">
            <w:pPr>
              <w:autoSpaceDE w:val="0"/>
              <w:autoSpaceDN w:val="0"/>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c>
          <w:tcPr>
            <w:tcW w:w="1052" w:type="dxa"/>
            <w:vAlign w:val="center"/>
          </w:tcPr>
          <w:p w14:paraId="0192C49E">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680" w:type="dxa"/>
            <w:vAlign w:val="center"/>
          </w:tcPr>
          <w:p w14:paraId="4D97FA91">
            <w:pPr>
              <w:pStyle w:val="52"/>
              <w:spacing w:before="31" w:after="31" w:line="240" w:lineRule="auto"/>
              <w:ind w:firstLine="0" w:firstLineChars="0"/>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665" w:type="dxa"/>
            <w:vAlign w:val="center"/>
          </w:tcPr>
          <w:p w14:paraId="5D22A51D">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c>
          <w:tcPr>
            <w:tcW w:w="1770" w:type="dxa"/>
            <w:vAlign w:val="center"/>
          </w:tcPr>
          <w:p w14:paraId="7BB62B9C">
            <w:pPr>
              <w:autoSpaceDE w:val="0"/>
              <w:autoSpaceDN w:val="0"/>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c>
          <w:tcPr>
            <w:tcW w:w="1543" w:type="dxa"/>
            <w:vAlign w:val="center"/>
          </w:tcPr>
          <w:p w14:paraId="7C7055C4">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c>
          <w:tcPr>
            <w:tcW w:w="1458" w:type="dxa"/>
            <w:vAlign w:val="center"/>
          </w:tcPr>
          <w:p w14:paraId="46236BE8">
            <w:pPr>
              <w:pStyle w:val="31"/>
              <w:keepNext w:val="0"/>
              <w:keepLines w:val="0"/>
              <w:pageBreakBefore w:val="0"/>
              <w:widowControl/>
              <w:kinsoku/>
              <w:wordWrap/>
              <w:overflowPunct/>
              <w:topLinePunct w:val="0"/>
              <w:autoSpaceDE/>
              <w:autoSpaceDN/>
              <w:bidi w:val="0"/>
              <w:adjustRightInd/>
              <w:snapToGrid/>
              <w:spacing w:before="0" w:after="0" w:afterLines="0" w:line="240" w:lineRule="auto"/>
              <w:ind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t/a</w:t>
            </w:r>
          </w:p>
        </w:tc>
      </w:tr>
    </w:tbl>
    <w:p w14:paraId="6676FEB9">
      <w:pPr>
        <w:ind w:firstLine="0" w:firstLineChars="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注：⑥=①+③+④-⑤；⑦=⑥-①</w:t>
      </w:r>
    </w:p>
    <w:sectPr>
      <w:pgSz w:w="16838" w:h="11906" w:orient="landscape"/>
      <w:pgMar w:top="1134" w:right="1440" w:bottom="1803" w:left="1440" w:header="851" w:footer="992" w:gutter="0"/>
      <w:pgBorders>
        <w:top w:val="none" w:sz="0" w:space="0"/>
        <w:left w:val="none" w:sz="0" w:space="0"/>
        <w:bottom w:val="none" w:sz="0" w:space="0"/>
        <w:right w:val="none" w:sz="0" w:space="0"/>
      </w:pgBorders>
      <w:pgNumType w:fmt="decimal"/>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5192E188-C429-425E-AE84-F7072D65F1EB}"/>
  </w:font>
  <w:font w:name="黑体">
    <w:panose1 w:val="02010609060101010101"/>
    <w:charset w:val="86"/>
    <w:family w:val="auto"/>
    <w:pitch w:val="default"/>
    <w:sig w:usb0="800002BF" w:usb1="38CF7CFA" w:usb2="00000016" w:usb3="00000000" w:csb0="00040001" w:csb1="00000000"/>
    <w:embedRegular r:id="rId2" w:fontKey="{6C19F4A8-9E92-4AAF-A29E-26FFB6137AB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Geneva">
    <w:altName w:val="Arial"/>
    <w:panose1 w:val="00000000000000000000"/>
    <w:charset w:val="00"/>
    <w:family w:val="swiss"/>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603F01FF" w:csb1="FFFF0000"/>
  </w:font>
  <w:font w:name="PMingLiU">
    <w:panose1 w:val="02020500000000000000"/>
    <w:charset w:val="88"/>
    <w:family w:val="roman"/>
    <w:pitch w:val="default"/>
    <w:sig w:usb0="A00002FF" w:usb1="28CFFCFA" w:usb2="00000016" w:usb3="00000000" w:csb0="00100001" w:csb1="00000000"/>
  </w:font>
  <w:font w:name="Impact">
    <w:panose1 w:val="020B0806030902050204"/>
    <w:charset w:val="00"/>
    <w:family w:val="swiss"/>
    <w:pitch w:val="default"/>
    <w:sig w:usb0="00000287" w:usb1="00000000" w:usb2="00000000" w:usb3="00000000" w:csb0="2000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 w:name="TimesNewRomanPSMT">
    <w:altName w:val="Times New Roman"/>
    <w:panose1 w:val="00000000000000000000"/>
    <w:charset w:val="00"/>
    <w:family w:val="auto"/>
    <w:pitch w:val="default"/>
    <w:sig w:usb0="00000000" w:usb1="00000000" w:usb2="00000000" w:usb3="00000000" w:csb0="00040001" w:csb1="00000000"/>
    <w:embedRegular r:id="rId3" w:fontKey="{8DC581E9-792C-4FEE-A861-9DE281E15BF2}"/>
  </w:font>
  <w:font w:name="Wingdings 2">
    <w:panose1 w:val="05020102010507070707"/>
    <w:charset w:val="02"/>
    <w:family w:val="roman"/>
    <w:pitch w:val="default"/>
    <w:sig w:usb0="00000000" w:usb1="00000000" w:usb2="00000000" w:usb3="00000000" w:csb0="80000000" w:csb1="00000000"/>
    <w:embedRegular r:id="rId4" w:fontKey="{D6B2BDBA-6A93-4ED2-B760-96BA4DA8C55F}"/>
  </w:font>
  <w:font w:name="Helvetica">
    <w:altName w:val="Arial"/>
    <w:panose1 w:val="00000000000000000000"/>
    <w:charset w:val="00"/>
    <w:family w:val="auto"/>
    <w:pitch w:val="default"/>
    <w:sig w:usb0="00000000" w:usb1="00000000" w:usb2="00000000" w:usb3="00000000" w:csb0="00000000" w:csb1="00000000"/>
    <w:embedRegular r:id="rId5" w:fontKey="{4C69ED5A-37D8-48F6-9739-5BB1A2F7B382}"/>
  </w:font>
  <w:font w:name="新宋体">
    <w:panose1 w:val="02010609030101010101"/>
    <w:charset w:val="86"/>
    <w:family w:val="modern"/>
    <w:pitch w:val="default"/>
    <w:sig w:usb0="00000003" w:usb1="288F0000" w:usb2="00000006" w:usb3="00000000" w:csb0="00040001" w:csb1="00000000"/>
    <w:embedRegular r:id="rId6" w:fontKey="{224F9415-0F80-4BA9-8660-921B3D50C24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C9DA7">
    <w:pPr>
      <w:pStyle w:val="2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1D7EB">
    <w:pPr>
      <w:pStyle w:val="25"/>
      <w:framePr w:wrap="around" w:vAnchor="text" w:hAnchor="margin" w:xAlign="center" w:y="1"/>
      <w:rPr>
        <w:rStyle w:val="37"/>
      </w:rPr>
    </w:pPr>
    <w:r>
      <w:fldChar w:fldCharType="begin"/>
    </w:r>
    <w:r>
      <w:rPr>
        <w:rStyle w:val="37"/>
      </w:rPr>
      <w:instrText xml:space="preserve">PAGE  </w:instrText>
    </w:r>
    <w:r>
      <w:fldChar w:fldCharType="end"/>
    </w:r>
  </w:p>
  <w:p w14:paraId="4D66A685">
    <w:pPr>
      <w:pStyle w:val="2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56EBE">
    <w:pPr>
      <w:pStyle w:val="25"/>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30166">
                          <w:pPr>
                            <w:pStyle w:val="2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3EA30166">
                    <w:pPr>
                      <w:pStyle w:val="25"/>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F9DF0A"/>
    <w:multiLevelType w:val="singleLevel"/>
    <w:tmpl w:val="C4F9DF0A"/>
    <w:lvl w:ilvl="0" w:tentative="0">
      <w:start w:val="3"/>
      <w:numFmt w:val="decimal"/>
      <w:suff w:val="nothing"/>
      <w:lvlText w:val="（%1）"/>
      <w:lvlJc w:val="left"/>
    </w:lvl>
  </w:abstractNum>
  <w:abstractNum w:abstractNumId="1">
    <w:nsid w:val="38EA7EE6"/>
    <w:multiLevelType w:val="singleLevel"/>
    <w:tmpl w:val="38EA7EE6"/>
    <w:lvl w:ilvl="0" w:tentative="0">
      <w:start w:val="3"/>
      <w:numFmt w:val="decimal"/>
      <w:suff w:val="nothing"/>
      <w:lvlText w:val="%1、"/>
      <w:lvlJc w:val="left"/>
    </w:lvl>
  </w:abstractNum>
  <w:abstractNum w:abstractNumId="2">
    <w:nsid w:val="5A699B6E"/>
    <w:multiLevelType w:val="multilevel"/>
    <w:tmpl w:val="5A699B6E"/>
    <w:lvl w:ilvl="0" w:tentative="0">
      <w:start w:val="1"/>
      <w:numFmt w:val="decimal"/>
      <w:suff w:val="space"/>
      <w:lvlText w:val="第%1章  "/>
      <w:lvlJc w:val="center"/>
      <w:pPr>
        <w:tabs>
          <w:tab w:val="left" w:pos="420"/>
        </w:tabs>
        <w:ind w:left="0" w:firstLine="0"/>
      </w:pPr>
      <w:rPr>
        <w:rFonts w:hint="default" w:ascii="Times New Roman" w:hAnsi="Times New Roman" w:eastAsia="黑体" w:cs="Times New Roman"/>
        <w:b/>
        <w:bCs/>
        <w:sz w:val="30"/>
        <w:szCs w:val="30"/>
      </w:rPr>
    </w:lvl>
    <w:lvl w:ilvl="1" w:tentative="0">
      <w:start w:val="1"/>
      <w:numFmt w:val="decimal"/>
      <w:suff w:val="nothing"/>
      <w:lvlText w:val="%1.%2 "/>
      <w:lvlJc w:val="left"/>
      <w:pPr>
        <w:tabs>
          <w:tab w:val="left" w:pos="0"/>
        </w:tabs>
        <w:ind w:left="575" w:hanging="575"/>
      </w:pPr>
      <w:rPr>
        <w:rFonts w:hint="default" w:ascii="Times New Roman" w:hAnsi="Times New Roman" w:eastAsia="黑体" w:cs="Times New Roman"/>
        <w:b/>
        <w:bCs/>
        <w:sz w:val="28"/>
        <w:szCs w:val="28"/>
      </w:rPr>
    </w:lvl>
    <w:lvl w:ilvl="2" w:tentative="0">
      <w:start w:val="1"/>
      <w:numFmt w:val="decimal"/>
      <w:suff w:val="nothing"/>
      <w:lvlText w:val="%1.%2.%3 "/>
      <w:lvlJc w:val="left"/>
      <w:pPr>
        <w:tabs>
          <w:tab w:val="left" w:pos="0"/>
        </w:tabs>
        <w:ind w:left="720" w:hanging="720"/>
      </w:pPr>
      <w:rPr>
        <w:rFonts w:hint="default" w:ascii="Times New Roman" w:hAnsi="Times New Roman" w:eastAsia="宋体" w:cs="Times New Roman"/>
        <w:b/>
        <w:bCs/>
        <w:sz w:val="24"/>
        <w:szCs w:val="24"/>
      </w:rPr>
    </w:lvl>
    <w:lvl w:ilvl="3" w:tentative="0">
      <w:start w:val="1"/>
      <w:numFmt w:val="decimal"/>
      <w:suff w:val="nothing"/>
      <w:lvlText w:val="%1.%2.%3.%4 "/>
      <w:lvlJc w:val="left"/>
      <w:pPr>
        <w:tabs>
          <w:tab w:val="left" w:pos="0"/>
        </w:tabs>
        <w:ind w:left="864" w:hanging="864"/>
      </w:pPr>
      <w:rPr>
        <w:rFonts w:hint="default" w:ascii="Times New Roman" w:hAnsi="Times New Roman" w:eastAsia="宋体" w:cs="Times New Roman"/>
        <w:b/>
        <w:bCs/>
        <w:sz w:val="24"/>
        <w:szCs w:val="24"/>
      </w:rPr>
    </w:lvl>
    <w:lvl w:ilvl="4" w:tentative="0">
      <w:start w:val="1"/>
      <w:numFmt w:val="decimal"/>
      <w:lvlRestart w:val="2"/>
      <w:pStyle w:val="65"/>
      <w:suff w:val="nothing"/>
      <w:lvlText w:val="表%1.%2-%5  "/>
      <w:lvlJc w:val="left"/>
      <w:pPr>
        <w:tabs>
          <w:tab w:val="left" w:pos="0"/>
        </w:tabs>
        <w:ind w:left="1008" w:hanging="1008"/>
      </w:pPr>
      <w:rPr>
        <w:rFonts w:hint="default" w:ascii="Times New Roman" w:hAnsi="Times New Roman" w:eastAsia="宋体" w:cs="Times New Roman"/>
        <w:b/>
        <w:bCs/>
        <w:sz w:val="24"/>
        <w:szCs w:val="24"/>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zYTA3ZDg3NWNhYmVjODc3YmJjMjQ4MDkyZDc1NmMifQ=="/>
  </w:docVars>
  <w:rsids>
    <w:rsidRoot w:val="00172A27"/>
    <w:rsid w:val="00003504"/>
    <w:rsid w:val="00033597"/>
    <w:rsid w:val="00051995"/>
    <w:rsid w:val="000F6956"/>
    <w:rsid w:val="00172A27"/>
    <w:rsid w:val="00195B31"/>
    <w:rsid w:val="001A2968"/>
    <w:rsid w:val="001A2B41"/>
    <w:rsid w:val="001F7E1F"/>
    <w:rsid w:val="00205621"/>
    <w:rsid w:val="00224C7A"/>
    <w:rsid w:val="002D269B"/>
    <w:rsid w:val="002F4511"/>
    <w:rsid w:val="00327CB1"/>
    <w:rsid w:val="00340FEF"/>
    <w:rsid w:val="003B3B30"/>
    <w:rsid w:val="003C28DE"/>
    <w:rsid w:val="003C3010"/>
    <w:rsid w:val="004B1561"/>
    <w:rsid w:val="00551409"/>
    <w:rsid w:val="0056472A"/>
    <w:rsid w:val="005C6ADC"/>
    <w:rsid w:val="006360BD"/>
    <w:rsid w:val="00675306"/>
    <w:rsid w:val="00692FA7"/>
    <w:rsid w:val="006A623D"/>
    <w:rsid w:val="006C1441"/>
    <w:rsid w:val="006D6F3B"/>
    <w:rsid w:val="006E177F"/>
    <w:rsid w:val="007D2923"/>
    <w:rsid w:val="007E4E77"/>
    <w:rsid w:val="00884CAE"/>
    <w:rsid w:val="0089189B"/>
    <w:rsid w:val="008E2A0E"/>
    <w:rsid w:val="008E40E1"/>
    <w:rsid w:val="00942B50"/>
    <w:rsid w:val="00942F86"/>
    <w:rsid w:val="00980EC9"/>
    <w:rsid w:val="0099335E"/>
    <w:rsid w:val="00A10993"/>
    <w:rsid w:val="00A124D7"/>
    <w:rsid w:val="00A43F55"/>
    <w:rsid w:val="00A86FB1"/>
    <w:rsid w:val="00B431AC"/>
    <w:rsid w:val="00B52CB1"/>
    <w:rsid w:val="00BA691D"/>
    <w:rsid w:val="00BF0785"/>
    <w:rsid w:val="00C46918"/>
    <w:rsid w:val="00C74E44"/>
    <w:rsid w:val="00C823C4"/>
    <w:rsid w:val="00CA1B74"/>
    <w:rsid w:val="00CC0524"/>
    <w:rsid w:val="00CD79DA"/>
    <w:rsid w:val="00CF5EEF"/>
    <w:rsid w:val="00D5761F"/>
    <w:rsid w:val="00D91EDB"/>
    <w:rsid w:val="00DD0448"/>
    <w:rsid w:val="00DF37DF"/>
    <w:rsid w:val="00E865C2"/>
    <w:rsid w:val="00E87809"/>
    <w:rsid w:val="00EA40E8"/>
    <w:rsid w:val="00F02A19"/>
    <w:rsid w:val="01022F84"/>
    <w:rsid w:val="01064671"/>
    <w:rsid w:val="010A79CD"/>
    <w:rsid w:val="010F5955"/>
    <w:rsid w:val="01115B19"/>
    <w:rsid w:val="01167F7D"/>
    <w:rsid w:val="01233A9E"/>
    <w:rsid w:val="012C34B7"/>
    <w:rsid w:val="013378DB"/>
    <w:rsid w:val="0136518B"/>
    <w:rsid w:val="01381441"/>
    <w:rsid w:val="013A432D"/>
    <w:rsid w:val="01413E0E"/>
    <w:rsid w:val="01431C2E"/>
    <w:rsid w:val="01472C04"/>
    <w:rsid w:val="0163340B"/>
    <w:rsid w:val="017023A7"/>
    <w:rsid w:val="0181200C"/>
    <w:rsid w:val="01940A17"/>
    <w:rsid w:val="019450FA"/>
    <w:rsid w:val="0198234B"/>
    <w:rsid w:val="01991C4C"/>
    <w:rsid w:val="01A2544F"/>
    <w:rsid w:val="01A37B56"/>
    <w:rsid w:val="01A71FD9"/>
    <w:rsid w:val="01AB3D5E"/>
    <w:rsid w:val="01AF1275"/>
    <w:rsid w:val="01B131E0"/>
    <w:rsid w:val="01B36BD0"/>
    <w:rsid w:val="01BE7323"/>
    <w:rsid w:val="01C74429"/>
    <w:rsid w:val="01CE02A5"/>
    <w:rsid w:val="01CF66BA"/>
    <w:rsid w:val="01D227E9"/>
    <w:rsid w:val="01D51CEF"/>
    <w:rsid w:val="01D52DEE"/>
    <w:rsid w:val="01D82F1F"/>
    <w:rsid w:val="01E07FB3"/>
    <w:rsid w:val="01E274B5"/>
    <w:rsid w:val="01E4021F"/>
    <w:rsid w:val="01E54191"/>
    <w:rsid w:val="01EA3F2D"/>
    <w:rsid w:val="01F013C1"/>
    <w:rsid w:val="01F568EE"/>
    <w:rsid w:val="01F677A7"/>
    <w:rsid w:val="01FE5971"/>
    <w:rsid w:val="02023F4B"/>
    <w:rsid w:val="020C70ED"/>
    <w:rsid w:val="020D3724"/>
    <w:rsid w:val="02104022"/>
    <w:rsid w:val="02117558"/>
    <w:rsid w:val="02160608"/>
    <w:rsid w:val="021805A0"/>
    <w:rsid w:val="021826DA"/>
    <w:rsid w:val="021D673F"/>
    <w:rsid w:val="021F6013"/>
    <w:rsid w:val="02291C66"/>
    <w:rsid w:val="022A49B8"/>
    <w:rsid w:val="023000CF"/>
    <w:rsid w:val="0234328A"/>
    <w:rsid w:val="023831E6"/>
    <w:rsid w:val="024737BC"/>
    <w:rsid w:val="024A4B13"/>
    <w:rsid w:val="024B0EA1"/>
    <w:rsid w:val="024C35ED"/>
    <w:rsid w:val="024C492F"/>
    <w:rsid w:val="024C63F3"/>
    <w:rsid w:val="024E20A3"/>
    <w:rsid w:val="02503F29"/>
    <w:rsid w:val="0250441F"/>
    <w:rsid w:val="025817C9"/>
    <w:rsid w:val="02725808"/>
    <w:rsid w:val="02730CBD"/>
    <w:rsid w:val="0274114F"/>
    <w:rsid w:val="027B0375"/>
    <w:rsid w:val="027B5F7F"/>
    <w:rsid w:val="027F637D"/>
    <w:rsid w:val="028203C5"/>
    <w:rsid w:val="0284056C"/>
    <w:rsid w:val="029213A5"/>
    <w:rsid w:val="02955AF6"/>
    <w:rsid w:val="029562D6"/>
    <w:rsid w:val="029C3C73"/>
    <w:rsid w:val="029C58B6"/>
    <w:rsid w:val="029E7C2F"/>
    <w:rsid w:val="02A1631F"/>
    <w:rsid w:val="02A53D13"/>
    <w:rsid w:val="02A66735"/>
    <w:rsid w:val="02B50098"/>
    <w:rsid w:val="02B76EA0"/>
    <w:rsid w:val="02C72207"/>
    <w:rsid w:val="02CB1CF7"/>
    <w:rsid w:val="02E078A9"/>
    <w:rsid w:val="02E1776D"/>
    <w:rsid w:val="02EC30BD"/>
    <w:rsid w:val="02F23758"/>
    <w:rsid w:val="02FF23DD"/>
    <w:rsid w:val="030C6E5A"/>
    <w:rsid w:val="03153BB5"/>
    <w:rsid w:val="03172975"/>
    <w:rsid w:val="032B47D4"/>
    <w:rsid w:val="032E299E"/>
    <w:rsid w:val="033905F3"/>
    <w:rsid w:val="033B50CF"/>
    <w:rsid w:val="033D5DB0"/>
    <w:rsid w:val="03477077"/>
    <w:rsid w:val="03477A8E"/>
    <w:rsid w:val="0348159A"/>
    <w:rsid w:val="034D4E02"/>
    <w:rsid w:val="034E2BCA"/>
    <w:rsid w:val="034F70C4"/>
    <w:rsid w:val="03524A72"/>
    <w:rsid w:val="03550A4B"/>
    <w:rsid w:val="035703B8"/>
    <w:rsid w:val="03591C06"/>
    <w:rsid w:val="035E4CED"/>
    <w:rsid w:val="036A5AAA"/>
    <w:rsid w:val="036F4ACF"/>
    <w:rsid w:val="037567E0"/>
    <w:rsid w:val="03786668"/>
    <w:rsid w:val="037C09BB"/>
    <w:rsid w:val="03870314"/>
    <w:rsid w:val="038E4588"/>
    <w:rsid w:val="0397607D"/>
    <w:rsid w:val="039B3DC0"/>
    <w:rsid w:val="03A57C21"/>
    <w:rsid w:val="03A73E08"/>
    <w:rsid w:val="03A92761"/>
    <w:rsid w:val="03A9365C"/>
    <w:rsid w:val="03AC1B29"/>
    <w:rsid w:val="03AE1559"/>
    <w:rsid w:val="03B349A4"/>
    <w:rsid w:val="03C055D4"/>
    <w:rsid w:val="03C427E7"/>
    <w:rsid w:val="03CA70C9"/>
    <w:rsid w:val="03D33559"/>
    <w:rsid w:val="03DF20E6"/>
    <w:rsid w:val="03E84AD5"/>
    <w:rsid w:val="03EA75CC"/>
    <w:rsid w:val="03FB485E"/>
    <w:rsid w:val="03FC7FF0"/>
    <w:rsid w:val="03FD436B"/>
    <w:rsid w:val="041365C4"/>
    <w:rsid w:val="04172478"/>
    <w:rsid w:val="04180F6C"/>
    <w:rsid w:val="04182BE0"/>
    <w:rsid w:val="041B5520"/>
    <w:rsid w:val="041D2A27"/>
    <w:rsid w:val="0422003D"/>
    <w:rsid w:val="04227328"/>
    <w:rsid w:val="04273BA4"/>
    <w:rsid w:val="042E24FA"/>
    <w:rsid w:val="04337931"/>
    <w:rsid w:val="04362075"/>
    <w:rsid w:val="043A35D9"/>
    <w:rsid w:val="044048B6"/>
    <w:rsid w:val="04455CBC"/>
    <w:rsid w:val="04485834"/>
    <w:rsid w:val="044970A7"/>
    <w:rsid w:val="045253A0"/>
    <w:rsid w:val="0456591D"/>
    <w:rsid w:val="04590024"/>
    <w:rsid w:val="045C2D6E"/>
    <w:rsid w:val="045F6DD7"/>
    <w:rsid w:val="046046D6"/>
    <w:rsid w:val="04647CE6"/>
    <w:rsid w:val="04776088"/>
    <w:rsid w:val="047F4146"/>
    <w:rsid w:val="04864599"/>
    <w:rsid w:val="048C120B"/>
    <w:rsid w:val="048F32CE"/>
    <w:rsid w:val="049158F0"/>
    <w:rsid w:val="049F3A8D"/>
    <w:rsid w:val="04A60661"/>
    <w:rsid w:val="04AE3779"/>
    <w:rsid w:val="04AE464C"/>
    <w:rsid w:val="04B14484"/>
    <w:rsid w:val="04B213C1"/>
    <w:rsid w:val="04B5525E"/>
    <w:rsid w:val="04B73032"/>
    <w:rsid w:val="04BC3FEE"/>
    <w:rsid w:val="04C335CE"/>
    <w:rsid w:val="04C410F4"/>
    <w:rsid w:val="04CB7A9A"/>
    <w:rsid w:val="04CD6D06"/>
    <w:rsid w:val="04DC4690"/>
    <w:rsid w:val="04DD2193"/>
    <w:rsid w:val="04DF3D02"/>
    <w:rsid w:val="04E179AB"/>
    <w:rsid w:val="04E83035"/>
    <w:rsid w:val="04F35535"/>
    <w:rsid w:val="05025D14"/>
    <w:rsid w:val="050442C2"/>
    <w:rsid w:val="0507507E"/>
    <w:rsid w:val="05145A0C"/>
    <w:rsid w:val="051554AC"/>
    <w:rsid w:val="052370D3"/>
    <w:rsid w:val="05263B5D"/>
    <w:rsid w:val="05273155"/>
    <w:rsid w:val="052B2F21"/>
    <w:rsid w:val="053775DF"/>
    <w:rsid w:val="053814B3"/>
    <w:rsid w:val="054377AC"/>
    <w:rsid w:val="05500BDA"/>
    <w:rsid w:val="0555066B"/>
    <w:rsid w:val="05551D4C"/>
    <w:rsid w:val="055D3573"/>
    <w:rsid w:val="055E50A5"/>
    <w:rsid w:val="055F4DA0"/>
    <w:rsid w:val="05600E1D"/>
    <w:rsid w:val="056B7658"/>
    <w:rsid w:val="05753A6C"/>
    <w:rsid w:val="05796D93"/>
    <w:rsid w:val="057A4A23"/>
    <w:rsid w:val="05820786"/>
    <w:rsid w:val="05830037"/>
    <w:rsid w:val="05854CE9"/>
    <w:rsid w:val="059357C9"/>
    <w:rsid w:val="05A23AEA"/>
    <w:rsid w:val="05A32D8D"/>
    <w:rsid w:val="05A607FA"/>
    <w:rsid w:val="05B20F4D"/>
    <w:rsid w:val="05DB3FDB"/>
    <w:rsid w:val="05E774E6"/>
    <w:rsid w:val="05EA5338"/>
    <w:rsid w:val="05F477B7"/>
    <w:rsid w:val="05FA2A55"/>
    <w:rsid w:val="05FB0B46"/>
    <w:rsid w:val="05FC1F0A"/>
    <w:rsid w:val="06025659"/>
    <w:rsid w:val="060856F4"/>
    <w:rsid w:val="060A7287"/>
    <w:rsid w:val="060C2D53"/>
    <w:rsid w:val="06110369"/>
    <w:rsid w:val="06147E59"/>
    <w:rsid w:val="06191684"/>
    <w:rsid w:val="061D0ABC"/>
    <w:rsid w:val="062067FE"/>
    <w:rsid w:val="062B6E9A"/>
    <w:rsid w:val="062C6F51"/>
    <w:rsid w:val="062F2FDC"/>
    <w:rsid w:val="06302974"/>
    <w:rsid w:val="06334642"/>
    <w:rsid w:val="063B7CCA"/>
    <w:rsid w:val="063D2F0C"/>
    <w:rsid w:val="063E50AD"/>
    <w:rsid w:val="064249C6"/>
    <w:rsid w:val="06555537"/>
    <w:rsid w:val="065869FD"/>
    <w:rsid w:val="065B0CF6"/>
    <w:rsid w:val="065F4847"/>
    <w:rsid w:val="066801DD"/>
    <w:rsid w:val="06681F2D"/>
    <w:rsid w:val="067A04CA"/>
    <w:rsid w:val="067F3525"/>
    <w:rsid w:val="068230B2"/>
    <w:rsid w:val="06867DFC"/>
    <w:rsid w:val="06872F1A"/>
    <w:rsid w:val="06915006"/>
    <w:rsid w:val="069346A4"/>
    <w:rsid w:val="06947999"/>
    <w:rsid w:val="06952D48"/>
    <w:rsid w:val="069B6A6E"/>
    <w:rsid w:val="069D1BFD"/>
    <w:rsid w:val="069D785C"/>
    <w:rsid w:val="06A34A08"/>
    <w:rsid w:val="06B156A8"/>
    <w:rsid w:val="06B7213F"/>
    <w:rsid w:val="06BA5030"/>
    <w:rsid w:val="06C7630B"/>
    <w:rsid w:val="06CB676A"/>
    <w:rsid w:val="06CF4373"/>
    <w:rsid w:val="06EB0BBA"/>
    <w:rsid w:val="071B32B6"/>
    <w:rsid w:val="07267541"/>
    <w:rsid w:val="07287718"/>
    <w:rsid w:val="072B545A"/>
    <w:rsid w:val="07310263"/>
    <w:rsid w:val="073C2251"/>
    <w:rsid w:val="0743707D"/>
    <w:rsid w:val="07442880"/>
    <w:rsid w:val="074C325F"/>
    <w:rsid w:val="074E2EF7"/>
    <w:rsid w:val="07547B37"/>
    <w:rsid w:val="075958CC"/>
    <w:rsid w:val="075F3ED9"/>
    <w:rsid w:val="07660241"/>
    <w:rsid w:val="076B3AA9"/>
    <w:rsid w:val="076D2666"/>
    <w:rsid w:val="07767EF0"/>
    <w:rsid w:val="077C7D1E"/>
    <w:rsid w:val="07822CFC"/>
    <w:rsid w:val="07967398"/>
    <w:rsid w:val="07990119"/>
    <w:rsid w:val="07A128D4"/>
    <w:rsid w:val="07A1396F"/>
    <w:rsid w:val="07A174CB"/>
    <w:rsid w:val="07A5520D"/>
    <w:rsid w:val="07A953B1"/>
    <w:rsid w:val="07B0770E"/>
    <w:rsid w:val="07B34569"/>
    <w:rsid w:val="07B44AA7"/>
    <w:rsid w:val="07BA4244"/>
    <w:rsid w:val="07BE6026"/>
    <w:rsid w:val="07C25320"/>
    <w:rsid w:val="07C25615"/>
    <w:rsid w:val="07CA07CF"/>
    <w:rsid w:val="07CE1789"/>
    <w:rsid w:val="07DD7326"/>
    <w:rsid w:val="07E72BEE"/>
    <w:rsid w:val="07EC6998"/>
    <w:rsid w:val="07F21110"/>
    <w:rsid w:val="07F32AD5"/>
    <w:rsid w:val="0800140A"/>
    <w:rsid w:val="080D0674"/>
    <w:rsid w:val="080E5162"/>
    <w:rsid w:val="082371A9"/>
    <w:rsid w:val="082425D6"/>
    <w:rsid w:val="08254FB4"/>
    <w:rsid w:val="082751D4"/>
    <w:rsid w:val="0828199A"/>
    <w:rsid w:val="082D338F"/>
    <w:rsid w:val="08367B67"/>
    <w:rsid w:val="08371AF0"/>
    <w:rsid w:val="08393BA7"/>
    <w:rsid w:val="083E11BD"/>
    <w:rsid w:val="08430582"/>
    <w:rsid w:val="084F6F27"/>
    <w:rsid w:val="08512C9F"/>
    <w:rsid w:val="08517028"/>
    <w:rsid w:val="08591B53"/>
    <w:rsid w:val="085E716A"/>
    <w:rsid w:val="08640C24"/>
    <w:rsid w:val="08644C05"/>
    <w:rsid w:val="086C1F56"/>
    <w:rsid w:val="08730E67"/>
    <w:rsid w:val="08744F7A"/>
    <w:rsid w:val="087644CB"/>
    <w:rsid w:val="087D7F38"/>
    <w:rsid w:val="08821A3A"/>
    <w:rsid w:val="08852292"/>
    <w:rsid w:val="088766C0"/>
    <w:rsid w:val="088E7A4F"/>
    <w:rsid w:val="0895702F"/>
    <w:rsid w:val="08961A12"/>
    <w:rsid w:val="089F7EAE"/>
    <w:rsid w:val="08A414E1"/>
    <w:rsid w:val="08AB6408"/>
    <w:rsid w:val="08B80F70"/>
    <w:rsid w:val="08C16076"/>
    <w:rsid w:val="08D15B8E"/>
    <w:rsid w:val="08D2511C"/>
    <w:rsid w:val="08D768B3"/>
    <w:rsid w:val="08DC2B16"/>
    <w:rsid w:val="08E06BFE"/>
    <w:rsid w:val="08E65530"/>
    <w:rsid w:val="08EA1120"/>
    <w:rsid w:val="08F003D5"/>
    <w:rsid w:val="08FD1DEA"/>
    <w:rsid w:val="08FD31A9"/>
    <w:rsid w:val="090A75A9"/>
    <w:rsid w:val="091A0DEA"/>
    <w:rsid w:val="091B682D"/>
    <w:rsid w:val="09206DDD"/>
    <w:rsid w:val="09212671"/>
    <w:rsid w:val="0926412B"/>
    <w:rsid w:val="092C7268"/>
    <w:rsid w:val="09345CFE"/>
    <w:rsid w:val="09364775"/>
    <w:rsid w:val="0941451D"/>
    <w:rsid w:val="09497E1A"/>
    <w:rsid w:val="094A557B"/>
    <w:rsid w:val="09510A7C"/>
    <w:rsid w:val="095A2027"/>
    <w:rsid w:val="095C4F27"/>
    <w:rsid w:val="095E0535"/>
    <w:rsid w:val="09672AD3"/>
    <w:rsid w:val="096C40EB"/>
    <w:rsid w:val="096E49DF"/>
    <w:rsid w:val="096E75D6"/>
    <w:rsid w:val="097B395C"/>
    <w:rsid w:val="097F55EA"/>
    <w:rsid w:val="098904FD"/>
    <w:rsid w:val="099217C1"/>
    <w:rsid w:val="09973599"/>
    <w:rsid w:val="09993138"/>
    <w:rsid w:val="09AD03A9"/>
    <w:rsid w:val="09B63701"/>
    <w:rsid w:val="09BE4F1A"/>
    <w:rsid w:val="09C00789"/>
    <w:rsid w:val="09C33728"/>
    <w:rsid w:val="09C70C60"/>
    <w:rsid w:val="09D370FD"/>
    <w:rsid w:val="09D5345C"/>
    <w:rsid w:val="09D674F6"/>
    <w:rsid w:val="09EA11A2"/>
    <w:rsid w:val="09EA6F07"/>
    <w:rsid w:val="09EB7375"/>
    <w:rsid w:val="09EC032D"/>
    <w:rsid w:val="09F16108"/>
    <w:rsid w:val="09F87A96"/>
    <w:rsid w:val="0A012637"/>
    <w:rsid w:val="0A06008E"/>
    <w:rsid w:val="0A0B22A6"/>
    <w:rsid w:val="0A0D3EBF"/>
    <w:rsid w:val="0A1D552E"/>
    <w:rsid w:val="0A211B30"/>
    <w:rsid w:val="0A21573F"/>
    <w:rsid w:val="0A261B64"/>
    <w:rsid w:val="0A2A1AFE"/>
    <w:rsid w:val="0A2C39C3"/>
    <w:rsid w:val="0A2C447B"/>
    <w:rsid w:val="0A2C5771"/>
    <w:rsid w:val="0A3B7763"/>
    <w:rsid w:val="0A3D7FAC"/>
    <w:rsid w:val="0A430D0D"/>
    <w:rsid w:val="0A454A85"/>
    <w:rsid w:val="0A5F02C3"/>
    <w:rsid w:val="0A6007AB"/>
    <w:rsid w:val="0A693506"/>
    <w:rsid w:val="0A69398C"/>
    <w:rsid w:val="0A694362"/>
    <w:rsid w:val="0A792992"/>
    <w:rsid w:val="0A7E6F9F"/>
    <w:rsid w:val="0A80786B"/>
    <w:rsid w:val="0A883A89"/>
    <w:rsid w:val="0A8F5D00"/>
    <w:rsid w:val="0A911907"/>
    <w:rsid w:val="0A93759F"/>
    <w:rsid w:val="0A946A55"/>
    <w:rsid w:val="0A960E3D"/>
    <w:rsid w:val="0A963AAE"/>
    <w:rsid w:val="0A9D4330"/>
    <w:rsid w:val="0AA27E70"/>
    <w:rsid w:val="0AAB489B"/>
    <w:rsid w:val="0AAC240E"/>
    <w:rsid w:val="0AB75863"/>
    <w:rsid w:val="0ABD0ABF"/>
    <w:rsid w:val="0ABE2142"/>
    <w:rsid w:val="0ABE4510"/>
    <w:rsid w:val="0ACB31DC"/>
    <w:rsid w:val="0ACE0286"/>
    <w:rsid w:val="0ADB6EF4"/>
    <w:rsid w:val="0AE36ECE"/>
    <w:rsid w:val="0AF60B31"/>
    <w:rsid w:val="0AF96715"/>
    <w:rsid w:val="0AFA13CC"/>
    <w:rsid w:val="0AFC77D6"/>
    <w:rsid w:val="0B093D05"/>
    <w:rsid w:val="0B09418A"/>
    <w:rsid w:val="0B163D2C"/>
    <w:rsid w:val="0B1A19B4"/>
    <w:rsid w:val="0B217FC5"/>
    <w:rsid w:val="0B224DC6"/>
    <w:rsid w:val="0B2F5832"/>
    <w:rsid w:val="0B3150EA"/>
    <w:rsid w:val="0B33619E"/>
    <w:rsid w:val="0B3E67C2"/>
    <w:rsid w:val="0B41524D"/>
    <w:rsid w:val="0B45421B"/>
    <w:rsid w:val="0B5605CC"/>
    <w:rsid w:val="0B5B3783"/>
    <w:rsid w:val="0B5C708E"/>
    <w:rsid w:val="0B622A02"/>
    <w:rsid w:val="0B6536B8"/>
    <w:rsid w:val="0B674CBC"/>
    <w:rsid w:val="0B6874E1"/>
    <w:rsid w:val="0B6C50CB"/>
    <w:rsid w:val="0B6D1AC3"/>
    <w:rsid w:val="0B6E19A7"/>
    <w:rsid w:val="0B7B0B24"/>
    <w:rsid w:val="0B8475F4"/>
    <w:rsid w:val="0B883F1F"/>
    <w:rsid w:val="0B920E35"/>
    <w:rsid w:val="0B9A6BA7"/>
    <w:rsid w:val="0BA23811"/>
    <w:rsid w:val="0BA354C3"/>
    <w:rsid w:val="0BB11276"/>
    <w:rsid w:val="0BBC0D77"/>
    <w:rsid w:val="0BBE064B"/>
    <w:rsid w:val="0BBE4AFD"/>
    <w:rsid w:val="0BC10245"/>
    <w:rsid w:val="0BDC4F58"/>
    <w:rsid w:val="0BE0027A"/>
    <w:rsid w:val="0BED2CDE"/>
    <w:rsid w:val="0BEF7729"/>
    <w:rsid w:val="0BF56E60"/>
    <w:rsid w:val="0C0539DD"/>
    <w:rsid w:val="0C0804DC"/>
    <w:rsid w:val="0C100447"/>
    <w:rsid w:val="0C112AE3"/>
    <w:rsid w:val="0C1A4BEB"/>
    <w:rsid w:val="0C1B6E61"/>
    <w:rsid w:val="0C2649DF"/>
    <w:rsid w:val="0C2E6944"/>
    <w:rsid w:val="0C395F24"/>
    <w:rsid w:val="0C3C5F6D"/>
    <w:rsid w:val="0C3D30AA"/>
    <w:rsid w:val="0C4072B2"/>
    <w:rsid w:val="0C486239"/>
    <w:rsid w:val="0C530DEB"/>
    <w:rsid w:val="0C545836"/>
    <w:rsid w:val="0C55046C"/>
    <w:rsid w:val="0C6236CC"/>
    <w:rsid w:val="0C77337C"/>
    <w:rsid w:val="0C82288B"/>
    <w:rsid w:val="0C9B7F52"/>
    <w:rsid w:val="0CA30FB8"/>
    <w:rsid w:val="0CB97065"/>
    <w:rsid w:val="0CC53C5B"/>
    <w:rsid w:val="0CC563FB"/>
    <w:rsid w:val="0CCC0710"/>
    <w:rsid w:val="0CDE3470"/>
    <w:rsid w:val="0CE143B2"/>
    <w:rsid w:val="0CE343C4"/>
    <w:rsid w:val="0CF04ACE"/>
    <w:rsid w:val="0D04428B"/>
    <w:rsid w:val="0D0A343A"/>
    <w:rsid w:val="0D191630"/>
    <w:rsid w:val="0D1F336B"/>
    <w:rsid w:val="0D305D1E"/>
    <w:rsid w:val="0D364756"/>
    <w:rsid w:val="0D3875BE"/>
    <w:rsid w:val="0D4F52D6"/>
    <w:rsid w:val="0D600C33"/>
    <w:rsid w:val="0D637D73"/>
    <w:rsid w:val="0D643474"/>
    <w:rsid w:val="0D7C4200"/>
    <w:rsid w:val="0D863B28"/>
    <w:rsid w:val="0D887163"/>
    <w:rsid w:val="0D950710"/>
    <w:rsid w:val="0D960D3E"/>
    <w:rsid w:val="0DA254C0"/>
    <w:rsid w:val="0DA675E9"/>
    <w:rsid w:val="0DA837B8"/>
    <w:rsid w:val="0DB31787"/>
    <w:rsid w:val="0DB55A7E"/>
    <w:rsid w:val="0DBF4B4E"/>
    <w:rsid w:val="0DC21F49"/>
    <w:rsid w:val="0DCD09F0"/>
    <w:rsid w:val="0DCE08EE"/>
    <w:rsid w:val="0DCE4BD6"/>
    <w:rsid w:val="0DD51C7C"/>
    <w:rsid w:val="0DE563A5"/>
    <w:rsid w:val="0DE72CCE"/>
    <w:rsid w:val="0DEB1EA7"/>
    <w:rsid w:val="0DF30ACF"/>
    <w:rsid w:val="0DF96B59"/>
    <w:rsid w:val="0DFF5C3B"/>
    <w:rsid w:val="0E081147"/>
    <w:rsid w:val="0E102753"/>
    <w:rsid w:val="0E1A44BD"/>
    <w:rsid w:val="0E296834"/>
    <w:rsid w:val="0E296B13"/>
    <w:rsid w:val="0E386C18"/>
    <w:rsid w:val="0E3C2671"/>
    <w:rsid w:val="0E4018D9"/>
    <w:rsid w:val="0E467795"/>
    <w:rsid w:val="0E5139F9"/>
    <w:rsid w:val="0E567261"/>
    <w:rsid w:val="0E5C05EF"/>
    <w:rsid w:val="0E6178BC"/>
    <w:rsid w:val="0E6F3E7F"/>
    <w:rsid w:val="0E7D63D0"/>
    <w:rsid w:val="0E807E3A"/>
    <w:rsid w:val="0E8813E4"/>
    <w:rsid w:val="0E887F44"/>
    <w:rsid w:val="0E894549"/>
    <w:rsid w:val="0E9125B0"/>
    <w:rsid w:val="0E927E61"/>
    <w:rsid w:val="0E9457C5"/>
    <w:rsid w:val="0E971CEC"/>
    <w:rsid w:val="0EA3623F"/>
    <w:rsid w:val="0EA72B92"/>
    <w:rsid w:val="0EAA1E72"/>
    <w:rsid w:val="0EAD7E75"/>
    <w:rsid w:val="0EB16A5D"/>
    <w:rsid w:val="0EB83A78"/>
    <w:rsid w:val="0EC264DD"/>
    <w:rsid w:val="0EC71F0D"/>
    <w:rsid w:val="0EC97C3C"/>
    <w:rsid w:val="0EE20AF5"/>
    <w:rsid w:val="0EE71214"/>
    <w:rsid w:val="0EE7435D"/>
    <w:rsid w:val="0EF20FBD"/>
    <w:rsid w:val="0EFC6BE3"/>
    <w:rsid w:val="0F0C3DC3"/>
    <w:rsid w:val="0F114F36"/>
    <w:rsid w:val="0F142919"/>
    <w:rsid w:val="0F1B4006"/>
    <w:rsid w:val="0F1C245B"/>
    <w:rsid w:val="0F235324"/>
    <w:rsid w:val="0F36468A"/>
    <w:rsid w:val="0F3927D6"/>
    <w:rsid w:val="0F3E028F"/>
    <w:rsid w:val="0F455900"/>
    <w:rsid w:val="0F470958"/>
    <w:rsid w:val="0F4E1581"/>
    <w:rsid w:val="0F597A04"/>
    <w:rsid w:val="0F5A38D7"/>
    <w:rsid w:val="0F5B2655"/>
    <w:rsid w:val="0F611DE9"/>
    <w:rsid w:val="0F6255B7"/>
    <w:rsid w:val="0F625791"/>
    <w:rsid w:val="0F676827"/>
    <w:rsid w:val="0F76123D"/>
    <w:rsid w:val="0F8B118C"/>
    <w:rsid w:val="0F9A589C"/>
    <w:rsid w:val="0F9B7951"/>
    <w:rsid w:val="0FA609CC"/>
    <w:rsid w:val="0FAC3659"/>
    <w:rsid w:val="0FAD1102"/>
    <w:rsid w:val="0FB52D59"/>
    <w:rsid w:val="0FC77ADA"/>
    <w:rsid w:val="0FF26075"/>
    <w:rsid w:val="0FF44180"/>
    <w:rsid w:val="0FF7237E"/>
    <w:rsid w:val="0FF860F6"/>
    <w:rsid w:val="0FFA1E6E"/>
    <w:rsid w:val="0FFA3C1C"/>
    <w:rsid w:val="0FFC1427"/>
    <w:rsid w:val="10014FAA"/>
    <w:rsid w:val="10142F30"/>
    <w:rsid w:val="1017737C"/>
    <w:rsid w:val="10196798"/>
    <w:rsid w:val="101A14F8"/>
    <w:rsid w:val="101E031E"/>
    <w:rsid w:val="10214E0C"/>
    <w:rsid w:val="10245548"/>
    <w:rsid w:val="102D0195"/>
    <w:rsid w:val="10336795"/>
    <w:rsid w:val="10347536"/>
    <w:rsid w:val="103747D2"/>
    <w:rsid w:val="103D0BA2"/>
    <w:rsid w:val="103E48B7"/>
    <w:rsid w:val="103F5C65"/>
    <w:rsid w:val="10414F72"/>
    <w:rsid w:val="10435382"/>
    <w:rsid w:val="104C1361"/>
    <w:rsid w:val="10556DBB"/>
    <w:rsid w:val="10595FBD"/>
    <w:rsid w:val="105C0433"/>
    <w:rsid w:val="105C33D3"/>
    <w:rsid w:val="105E23FD"/>
    <w:rsid w:val="1067038F"/>
    <w:rsid w:val="106F63B8"/>
    <w:rsid w:val="107D0087"/>
    <w:rsid w:val="10817E99"/>
    <w:rsid w:val="10953945"/>
    <w:rsid w:val="1096761C"/>
    <w:rsid w:val="109951E3"/>
    <w:rsid w:val="109D1177"/>
    <w:rsid w:val="109F26BD"/>
    <w:rsid w:val="10A1594A"/>
    <w:rsid w:val="10A5614F"/>
    <w:rsid w:val="10AE1D05"/>
    <w:rsid w:val="10B91E62"/>
    <w:rsid w:val="10BE1BE7"/>
    <w:rsid w:val="10BF3AD4"/>
    <w:rsid w:val="10C85AC8"/>
    <w:rsid w:val="10D31FAC"/>
    <w:rsid w:val="10D413FD"/>
    <w:rsid w:val="10DB76E9"/>
    <w:rsid w:val="10DD253A"/>
    <w:rsid w:val="10DD419A"/>
    <w:rsid w:val="10E072B6"/>
    <w:rsid w:val="10E16EA2"/>
    <w:rsid w:val="10E178FF"/>
    <w:rsid w:val="10EC7CA6"/>
    <w:rsid w:val="10EF74F9"/>
    <w:rsid w:val="10F93234"/>
    <w:rsid w:val="10FA431D"/>
    <w:rsid w:val="10FC6398"/>
    <w:rsid w:val="11003900"/>
    <w:rsid w:val="110B7891"/>
    <w:rsid w:val="11125AA7"/>
    <w:rsid w:val="111C3A3A"/>
    <w:rsid w:val="111D1A3C"/>
    <w:rsid w:val="111D7BC2"/>
    <w:rsid w:val="11287AF5"/>
    <w:rsid w:val="112D6274"/>
    <w:rsid w:val="11335637"/>
    <w:rsid w:val="113E3FDC"/>
    <w:rsid w:val="113F4FF3"/>
    <w:rsid w:val="114F2D0E"/>
    <w:rsid w:val="11543643"/>
    <w:rsid w:val="115B3BDC"/>
    <w:rsid w:val="115B4B8E"/>
    <w:rsid w:val="115E37E9"/>
    <w:rsid w:val="116D6B65"/>
    <w:rsid w:val="116F79B7"/>
    <w:rsid w:val="117143B2"/>
    <w:rsid w:val="1178642B"/>
    <w:rsid w:val="11813B96"/>
    <w:rsid w:val="118A31F7"/>
    <w:rsid w:val="118E1F67"/>
    <w:rsid w:val="119074D8"/>
    <w:rsid w:val="1194344E"/>
    <w:rsid w:val="119B4D4D"/>
    <w:rsid w:val="11A90994"/>
    <w:rsid w:val="11AE2F10"/>
    <w:rsid w:val="11B90DD0"/>
    <w:rsid w:val="11C412E0"/>
    <w:rsid w:val="11CB13F5"/>
    <w:rsid w:val="11D23F92"/>
    <w:rsid w:val="11D86EAE"/>
    <w:rsid w:val="11DC2C5C"/>
    <w:rsid w:val="11E1766F"/>
    <w:rsid w:val="11E22BBA"/>
    <w:rsid w:val="11E64B3D"/>
    <w:rsid w:val="11E74565"/>
    <w:rsid w:val="11E76422"/>
    <w:rsid w:val="11E9616D"/>
    <w:rsid w:val="11EB41F5"/>
    <w:rsid w:val="11EE77B0"/>
    <w:rsid w:val="11EF60BB"/>
    <w:rsid w:val="11F3236C"/>
    <w:rsid w:val="11F62EE9"/>
    <w:rsid w:val="11F86D77"/>
    <w:rsid w:val="11FA721D"/>
    <w:rsid w:val="12045226"/>
    <w:rsid w:val="12095A3E"/>
    <w:rsid w:val="120C0775"/>
    <w:rsid w:val="120D35E2"/>
    <w:rsid w:val="120F086D"/>
    <w:rsid w:val="1212349F"/>
    <w:rsid w:val="121355DB"/>
    <w:rsid w:val="12210E7B"/>
    <w:rsid w:val="1226659C"/>
    <w:rsid w:val="122753E4"/>
    <w:rsid w:val="122D0061"/>
    <w:rsid w:val="123155A1"/>
    <w:rsid w:val="12333C10"/>
    <w:rsid w:val="123769F4"/>
    <w:rsid w:val="12473D7F"/>
    <w:rsid w:val="124D2729"/>
    <w:rsid w:val="124E024F"/>
    <w:rsid w:val="125062A1"/>
    <w:rsid w:val="125C38BD"/>
    <w:rsid w:val="12664815"/>
    <w:rsid w:val="126C4B0A"/>
    <w:rsid w:val="127D6304"/>
    <w:rsid w:val="128C0640"/>
    <w:rsid w:val="12954ADC"/>
    <w:rsid w:val="12960CDE"/>
    <w:rsid w:val="129C6349"/>
    <w:rsid w:val="129E34BA"/>
    <w:rsid w:val="12B46304"/>
    <w:rsid w:val="12BE3627"/>
    <w:rsid w:val="12BE7183"/>
    <w:rsid w:val="12C40726"/>
    <w:rsid w:val="12C64289"/>
    <w:rsid w:val="12C7072D"/>
    <w:rsid w:val="12CB4732"/>
    <w:rsid w:val="12D5073B"/>
    <w:rsid w:val="12D75CEB"/>
    <w:rsid w:val="12D83555"/>
    <w:rsid w:val="12D93FBD"/>
    <w:rsid w:val="12DF7C4D"/>
    <w:rsid w:val="12E3308D"/>
    <w:rsid w:val="12E43DCF"/>
    <w:rsid w:val="12E62E70"/>
    <w:rsid w:val="12EC0194"/>
    <w:rsid w:val="12F02E71"/>
    <w:rsid w:val="12F40DF6"/>
    <w:rsid w:val="12FA57FD"/>
    <w:rsid w:val="13024FF1"/>
    <w:rsid w:val="130519AD"/>
    <w:rsid w:val="13054DB2"/>
    <w:rsid w:val="1307145F"/>
    <w:rsid w:val="13076E22"/>
    <w:rsid w:val="131B3BB9"/>
    <w:rsid w:val="131E3B6B"/>
    <w:rsid w:val="13280AA0"/>
    <w:rsid w:val="132B25B1"/>
    <w:rsid w:val="133631BD"/>
    <w:rsid w:val="133B516B"/>
    <w:rsid w:val="133E0FD8"/>
    <w:rsid w:val="13426E05"/>
    <w:rsid w:val="134372EB"/>
    <w:rsid w:val="13453400"/>
    <w:rsid w:val="134B5640"/>
    <w:rsid w:val="134E648D"/>
    <w:rsid w:val="136832BA"/>
    <w:rsid w:val="13695C36"/>
    <w:rsid w:val="136C704E"/>
    <w:rsid w:val="13710699"/>
    <w:rsid w:val="13767056"/>
    <w:rsid w:val="137D703E"/>
    <w:rsid w:val="13975FCE"/>
    <w:rsid w:val="139C03FB"/>
    <w:rsid w:val="13A35FA2"/>
    <w:rsid w:val="13B50586"/>
    <w:rsid w:val="13BE63AE"/>
    <w:rsid w:val="13C54441"/>
    <w:rsid w:val="13C82D78"/>
    <w:rsid w:val="13C87727"/>
    <w:rsid w:val="13D53B45"/>
    <w:rsid w:val="13DC453C"/>
    <w:rsid w:val="13DF6E73"/>
    <w:rsid w:val="13E175CD"/>
    <w:rsid w:val="13E7095B"/>
    <w:rsid w:val="13ED3733"/>
    <w:rsid w:val="13F1593A"/>
    <w:rsid w:val="13FD3CDB"/>
    <w:rsid w:val="13FD4129"/>
    <w:rsid w:val="1402022F"/>
    <w:rsid w:val="140339E5"/>
    <w:rsid w:val="14067033"/>
    <w:rsid w:val="14092680"/>
    <w:rsid w:val="141D25CF"/>
    <w:rsid w:val="142A6E60"/>
    <w:rsid w:val="142F527C"/>
    <w:rsid w:val="14327BEE"/>
    <w:rsid w:val="1434290B"/>
    <w:rsid w:val="143474F1"/>
    <w:rsid w:val="14357918"/>
    <w:rsid w:val="14362BD1"/>
    <w:rsid w:val="143F5FAA"/>
    <w:rsid w:val="144B0EEA"/>
    <w:rsid w:val="144F3ACE"/>
    <w:rsid w:val="14524026"/>
    <w:rsid w:val="1454727D"/>
    <w:rsid w:val="14553B17"/>
    <w:rsid w:val="145A7513"/>
    <w:rsid w:val="14644BBB"/>
    <w:rsid w:val="1477078D"/>
    <w:rsid w:val="1480655B"/>
    <w:rsid w:val="14812B5E"/>
    <w:rsid w:val="14830684"/>
    <w:rsid w:val="14832432"/>
    <w:rsid w:val="148461AA"/>
    <w:rsid w:val="148553CE"/>
    <w:rsid w:val="14883EEC"/>
    <w:rsid w:val="148E6A4C"/>
    <w:rsid w:val="14952165"/>
    <w:rsid w:val="14991DEC"/>
    <w:rsid w:val="149E655B"/>
    <w:rsid w:val="14AA3E63"/>
    <w:rsid w:val="14AC7060"/>
    <w:rsid w:val="14B03698"/>
    <w:rsid w:val="14B167FF"/>
    <w:rsid w:val="14B75363"/>
    <w:rsid w:val="14BD65D4"/>
    <w:rsid w:val="14C34F24"/>
    <w:rsid w:val="14C62940"/>
    <w:rsid w:val="14CE3295"/>
    <w:rsid w:val="14D13799"/>
    <w:rsid w:val="14D16651"/>
    <w:rsid w:val="14D26F15"/>
    <w:rsid w:val="14D427D3"/>
    <w:rsid w:val="14D74BF1"/>
    <w:rsid w:val="14DC5FE6"/>
    <w:rsid w:val="14E32ED1"/>
    <w:rsid w:val="14E63240"/>
    <w:rsid w:val="14EA24B1"/>
    <w:rsid w:val="14EF1875"/>
    <w:rsid w:val="14FC3F92"/>
    <w:rsid w:val="14FE41AE"/>
    <w:rsid w:val="150712B5"/>
    <w:rsid w:val="151E65FF"/>
    <w:rsid w:val="152127FE"/>
    <w:rsid w:val="152655BA"/>
    <w:rsid w:val="15267BD5"/>
    <w:rsid w:val="1527568C"/>
    <w:rsid w:val="152C56B4"/>
    <w:rsid w:val="153E1664"/>
    <w:rsid w:val="15435C00"/>
    <w:rsid w:val="15451DDD"/>
    <w:rsid w:val="15472D06"/>
    <w:rsid w:val="154A1004"/>
    <w:rsid w:val="155073CC"/>
    <w:rsid w:val="1552003B"/>
    <w:rsid w:val="155C16B2"/>
    <w:rsid w:val="155E4A4F"/>
    <w:rsid w:val="156E2000"/>
    <w:rsid w:val="156E30E2"/>
    <w:rsid w:val="157A747A"/>
    <w:rsid w:val="15806971"/>
    <w:rsid w:val="1591146B"/>
    <w:rsid w:val="159259DB"/>
    <w:rsid w:val="15973CBB"/>
    <w:rsid w:val="15995C85"/>
    <w:rsid w:val="159B12DE"/>
    <w:rsid w:val="159C1350"/>
    <w:rsid w:val="159D1D5D"/>
    <w:rsid w:val="159D5775"/>
    <w:rsid w:val="159E329B"/>
    <w:rsid w:val="15A02B70"/>
    <w:rsid w:val="15A5462A"/>
    <w:rsid w:val="15A72150"/>
    <w:rsid w:val="15A8150E"/>
    <w:rsid w:val="15AE7982"/>
    <w:rsid w:val="15B33262"/>
    <w:rsid w:val="15BD4731"/>
    <w:rsid w:val="15BE749A"/>
    <w:rsid w:val="15C33CB3"/>
    <w:rsid w:val="15CC1BB7"/>
    <w:rsid w:val="15D05B4B"/>
    <w:rsid w:val="15D13671"/>
    <w:rsid w:val="15D46CBD"/>
    <w:rsid w:val="15DA1140"/>
    <w:rsid w:val="15DB268D"/>
    <w:rsid w:val="15DF44BE"/>
    <w:rsid w:val="15EE1307"/>
    <w:rsid w:val="15EF4DFF"/>
    <w:rsid w:val="15F630D7"/>
    <w:rsid w:val="15F967B3"/>
    <w:rsid w:val="16003FC0"/>
    <w:rsid w:val="16007AB2"/>
    <w:rsid w:val="16011215"/>
    <w:rsid w:val="160457F4"/>
    <w:rsid w:val="16090D0A"/>
    <w:rsid w:val="160B2645"/>
    <w:rsid w:val="160D0296"/>
    <w:rsid w:val="16114A0C"/>
    <w:rsid w:val="16140DEE"/>
    <w:rsid w:val="16196CEE"/>
    <w:rsid w:val="1622065F"/>
    <w:rsid w:val="16227A29"/>
    <w:rsid w:val="162E6FEA"/>
    <w:rsid w:val="16306CB5"/>
    <w:rsid w:val="163634D4"/>
    <w:rsid w:val="163934C9"/>
    <w:rsid w:val="163B747F"/>
    <w:rsid w:val="163C4F8E"/>
    <w:rsid w:val="163E47A2"/>
    <w:rsid w:val="16451D2C"/>
    <w:rsid w:val="16491459"/>
    <w:rsid w:val="164B51D1"/>
    <w:rsid w:val="164C1885"/>
    <w:rsid w:val="164C2CF7"/>
    <w:rsid w:val="16512C66"/>
    <w:rsid w:val="16534C52"/>
    <w:rsid w:val="16610EFD"/>
    <w:rsid w:val="1666781F"/>
    <w:rsid w:val="16783AEC"/>
    <w:rsid w:val="167B0147"/>
    <w:rsid w:val="167E2E5B"/>
    <w:rsid w:val="168C2EEF"/>
    <w:rsid w:val="16970417"/>
    <w:rsid w:val="169D3553"/>
    <w:rsid w:val="16A36DBB"/>
    <w:rsid w:val="16B30AE1"/>
    <w:rsid w:val="16B43836"/>
    <w:rsid w:val="16B70AB9"/>
    <w:rsid w:val="16BA4105"/>
    <w:rsid w:val="16BD5CDA"/>
    <w:rsid w:val="16BE69CE"/>
    <w:rsid w:val="16CE3958"/>
    <w:rsid w:val="16D03928"/>
    <w:rsid w:val="16D97DC7"/>
    <w:rsid w:val="16E3365C"/>
    <w:rsid w:val="16E54A4E"/>
    <w:rsid w:val="16EC492F"/>
    <w:rsid w:val="1700420E"/>
    <w:rsid w:val="17081314"/>
    <w:rsid w:val="170D2487"/>
    <w:rsid w:val="17112DA2"/>
    <w:rsid w:val="17151105"/>
    <w:rsid w:val="17185B34"/>
    <w:rsid w:val="171B2960"/>
    <w:rsid w:val="17211B5D"/>
    <w:rsid w:val="17256CE1"/>
    <w:rsid w:val="17285513"/>
    <w:rsid w:val="172872C1"/>
    <w:rsid w:val="172B6DB1"/>
    <w:rsid w:val="172D0D7B"/>
    <w:rsid w:val="173A0E4F"/>
    <w:rsid w:val="173B5246"/>
    <w:rsid w:val="173D12C8"/>
    <w:rsid w:val="173D3E77"/>
    <w:rsid w:val="173D68BB"/>
    <w:rsid w:val="17431887"/>
    <w:rsid w:val="17481C73"/>
    <w:rsid w:val="174836DA"/>
    <w:rsid w:val="17684793"/>
    <w:rsid w:val="176A5B2B"/>
    <w:rsid w:val="176B58AB"/>
    <w:rsid w:val="176D1177"/>
    <w:rsid w:val="177845C9"/>
    <w:rsid w:val="178D1819"/>
    <w:rsid w:val="17914E66"/>
    <w:rsid w:val="17917D74"/>
    <w:rsid w:val="17947F19"/>
    <w:rsid w:val="17950011"/>
    <w:rsid w:val="17A10E21"/>
    <w:rsid w:val="17A85737"/>
    <w:rsid w:val="17B15700"/>
    <w:rsid w:val="17B814A8"/>
    <w:rsid w:val="17B842A1"/>
    <w:rsid w:val="17C24895"/>
    <w:rsid w:val="17C36FE9"/>
    <w:rsid w:val="17D17DCF"/>
    <w:rsid w:val="17E170AC"/>
    <w:rsid w:val="17E20185"/>
    <w:rsid w:val="17E20250"/>
    <w:rsid w:val="17E51656"/>
    <w:rsid w:val="17F329A6"/>
    <w:rsid w:val="17FE06E4"/>
    <w:rsid w:val="18055854"/>
    <w:rsid w:val="180D4E89"/>
    <w:rsid w:val="181602D3"/>
    <w:rsid w:val="18161D69"/>
    <w:rsid w:val="181A3234"/>
    <w:rsid w:val="181C3E1E"/>
    <w:rsid w:val="18243D83"/>
    <w:rsid w:val="182C4B26"/>
    <w:rsid w:val="182D1850"/>
    <w:rsid w:val="183D4058"/>
    <w:rsid w:val="184229CE"/>
    <w:rsid w:val="184C6FDF"/>
    <w:rsid w:val="18577262"/>
    <w:rsid w:val="186913B9"/>
    <w:rsid w:val="186F1A5A"/>
    <w:rsid w:val="1881137E"/>
    <w:rsid w:val="18836BCC"/>
    <w:rsid w:val="188F0F8B"/>
    <w:rsid w:val="189B5D97"/>
    <w:rsid w:val="18A14754"/>
    <w:rsid w:val="18A32063"/>
    <w:rsid w:val="18A55392"/>
    <w:rsid w:val="18AD5158"/>
    <w:rsid w:val="18AF6EC4"/>
    <w:rsid w:val="18B31A70"/>
    <w:rsid w:val="18BB355D"/>
    <w:rsid w:val="18C536A3"/>
    <w:rsid w:val="18C60A94"/>
    <w:rsid w:val="18CB084B"/>
    <w:rsid w:val="18D442CB"/>
    <w:rsid w:val="18D71DD8"/>
    <w:rsid w:val="18DB7BBC"/>
    <w:rsid w:val="18E216F1"/>
    <w:rsid w:val="18E322BF"/>
    <w:rsid w:val="18E44402"/>
    <w:rsid w:val="18E77701"/>
    <w:rsid w:val="18F5116E"/>
    <w:rsid w:val="190340F9"/>
    <w:rsid w:val="190568F9"/>
    <w:rsid w:val="19124F6A"/>
    <w:rsid w:val="19242A1C"/>
    <w:rsid w:val="19265A82"/>
    <w:rsid w:val="192B12EA"/>
    <w:rsid w:val="19313AE7"/>
    <w:rsid w:val="1936518C"/>
    <w:rsid w:val="193C52A5"/>
    <w:rsid w:val="193E726F"/>
    <w:rsid w:val="193F7042"/>
    <w:rsid w:val="194175B6"/>
    <w:rsid w:val="194B54E8"/>
    <w:rsid w:val="194C2307"/>
    <w:rsid w:val="194D37D0"/>
    <w:rsid w:val="195754C6"/>
    <w:rsid w:val="19596F19"/>
    <w:rsid w:val="19597DE9"/>
    <w:rsid w:val="196B1588"/>
    <w:rsid w:val="197174BD"/>
    <w:rsid w:val="19720CC7"/>
    <w:rsid w:val="197607B7"/>
    <w:rsid w:val="197D7D98"/>
    <w:rsid w:val="19831126"/>
    <w:rsid w:val="19880B1B"/>
    <w:rsid w:val="1991739F"/>
    <w:rsid w:val="199364A5"/>
    <w:rsid w:val="19954059"/>
    <w:rsid w:val="19AF1F1B"/>
    <w:rsid w:val="19B133AF"/>
    <w:rsid w:val="19B17A0A"/>
    <w:rsid w:val="19BA156E"/>
    <w:rsid w:val="19BE6530"/>
    <w:rsid w:val="19C73E97"/>
    <w:rsid w:val="19C968E8"/>
    <w:rsid w:val="19E020D4"/>
    <w:rsid w:val="19E30D3E"/>
    <w:rsid w:val="19E90135"/>
    <w:rsid w:val="19EC6CCB"/>
    <w:rsid w:val="19F077E8"/>
    <w:rsid w:val="19FC385E"/>
    <w:rsid w:val="1A014D68"/>
    <w:rsid w:val="1A02204B"/>
    <w:rsid w:val="1A122BC9"/>
    <w:rsid w:val="1A174179"/>
    <w:rsid w:val="1A18186E"/>
    <w:rsid w:val="1A1D0C33"/>
    <w:rsid w:val="1A2361DE"/>
    <w:rsid w:val="1A265089"/>
    <w:rsid w:val="1A286987"/>
    <w:rsid w:val="1A2D1CA6"/>
    <w:rsid w:val="1A3174C7"/>
    <w:rsid w:val="1A383F32"/>
    <w:rsid w:val="1A3B7C2C"/>
    <w:rsid w:val="1A3F504D"/>
    <w:rsid w:val="1A424B3D"/>
    <w:rsid w:val="1A4A7EC5"/>
    <w:rsid w:val="1A4D493F"/>
    <w:rsid w:val="1A4F2DB6"/>
    <w:rsid w:val="1A5D0811"/>
    <w:rsid w:val="1A5D3B97"/>
    <w:rsid w:val="1A696AC4"/>
    <w:rsid w:val="1A6A64BE"/>
    <w:rsid w:val="1A6E2201"/>
    <w:rsid w:val="1A7353E6"/>
    <w:rsid w:val="1A741638"/>
    <w:rsid w:val="1A7D3DC7"/>
    <w:rsid w:val="1A820125"/>
    <w:rsid w:val="1A8326B7"/>
    <w:rsid w:val="1A8470D5"/>
    <w:rsid w:val="1A867F89"/>
    <w:rsid w:val="1A8A0CDA"/>
    <w:rsid w:val="1A8C4532"/>
    <w:rsid w:val="1A906823"/>
    <w:rsid w:val="1A961DAF"/>
    <w:rsid w:val="1AA107CB"/>
    <w:rsid w:val="1AA80FE1"/>
    <w:rsid w:val="1AAC1D72"/>
    <w:rsid w:val="1AAD228C"/>
    <w:rsid w:val="1AB943B7"/>
    <w:rsid w:val="1ABD6BD6"/>
    <w:rsid w:val="1AC90407"/>
    <w:rsid w:val="1ACD08AB"/>
    <w:rsid w:val="1ADC734A"/>
    <w:rsid w:val="1AEE0ED0"/>
    <w:rsid w:val="1B0167A6"/>
    <w:rsid w:val="1B03691D"/>
    <w:rsid w:val="1B110E54"/>
    <w:rsid w:val="1B1418BE"/>
    <w:rsid w:val="1B1433F2"/>
    <w:rsid w:val="1B18370C"/>
    <w:rsid w:val="1B1F59AD"/>
    <w:rsid w:val="1B251795"/>
    <w:rsid w:val="1B261D69"/>
    <w:rsid w:val="1B2673B2"/>
    <w:rsid w:val="1B327DFC"/>
    <w:rsid w:val="1B37016F"/>
    <w:rsid w:val="1B43606F"/>
    <w:rsid w:val="1B4F270F"/>
    <w:rsid w:val="1B590390"/>
    <w:rsid w:val="1B5E3125"/>
    <w:rsid w:val="1B6A60FA"/>
    <w:rsid w:val="1B6C11C8"/>
    <w:rsid w:val="1B6D0B86"/>
    <w:rsid w:val="1B70391D"/>
    <w:rsid w:val="1B707488"/>
    <w:rsid w:val="1B715935"/>
    <w:rsid w:val="1B721A08"/>
    <w:rsid w:val="1B80591D"/>
    <w:rsid w:val="1B8126FA"/>
    <w:rsid w:val="1B8371BB"/>
    <w:rsid w:val="1B855224"/>
    <w:rsid w:val="1B8875AF"/>
    <w:rsid w:val="1B8A679C"/>
    <w:rsid w:val="1B930AD5"/>
    <w:rsid w:val="1B965141"/>
    <w:rsid w:val="1BA2759C"/>
    <w:rsid w:val="1BA535D6"/>
    <w:rsid w:val="1BA60433"/>
    <w:rsid w:val="1BA76296"/>
    <w:rsid w:val="1BB11F7A"/>
    <w:rsid w:val="1BB750B7"/>
    <w:rsid w:val="1BBA62E9"/>
    <w:rsid w:val="1BC455EE"/>
    <w:rsid w:val="1BC565DC"/>
    <w:rsid w:val="1BCD48DA"/>
    <w:rsid w:val="1BDF3A0A"/>
    <w:rsid w:val="1BE80EF6"/>
    <w:rsid w:val="1BEF424D"/>
    <w:rsid w:val="1BEF7C4F"/>
    <w:rsid w:val="1BF20A61"/>
    <w:rsid w:val="1BF954ED"/>
    <w:rsid w:val="1BF956CF"/>
    <w:rsid w:val="1BFC2ACA"/>
    <w:rsid w:val="1BFF6B87"/>
    <w:rsid w:val="1C035D31"/>
    <w:rsid w:val="1C0E117B"/>
    <w:rsid w:val="1C100BB9"/>
    <w:rsid w:val="1C136D8A"/>
    <w:rsid w:val="1C1D316C"/>
    <w:rsid w:val="1C1D75AD"/>
    <w:rsid w:val="1C1E6BE2"/>
    <w:rsid w:val="1C220B80"/>
    <w:rsid w:val="1C2B577B"/>
    <w:rsid w:val="1C2C7853"/>
    <w:rsid w:val="1C316C4B"/>
    <w:rsid w:val="1C452578"/>
    <w:rsid w:val="1C4B4B3B"/>
    <w:rsid w:val="1C5A0D28"/>
    <w:rsid w:val="1C5B5A42"/>
    <w:rsid w:val="1C5E7EC4"/>
    <w:rsid w:val="1C607A2E"/>
    <w:rsid w:val="1C6B35FB"/>
    <w:rsid w:val="1C784104"/>
    <w:rsid w:val="1C7A05BE"/>
    <w:rsid w:val="1C8F1B2E"/>
    <w:rsid w:val="1C954CD6"/>
    <w:rsid w:val="1C994EC8"/>
    <w:rsid w:val="1C9A4142"/>
    <w:rsid w:val="1CA2734E"/>
    <w:rsid w:val="1CA44644"/>
    <w:rsid w:val="1CB4492A"/>
    <w:rsid w:val="1CBA322D"/>
    <w:rsid w:val="1CBF19D2"/>
    <w:rsid w:val="1CC73DEA"/>
    <w:rsid w:val="1CC916A3"/>
    <w:rsid w:val="1CCC09D0"/>
    <w:rsid w:val="1CD6156D"/>
    <w:rsid w:val="1CE65C54"/>
    <w:rsid w:val="1CEC09AD"/>
    <w:rsid w:val="1CEC4B93"/>
    <w:rsid w:val="1CF06D47"/>
    <w:rsid w:val="1D081F61"/>
    <w:rsid w:val="1D0870CF"/>
    <w:rsid w:val="1D185F8C"/>
    <w:rsid w:val="1D19579E"/>
    <w:rsid w:val="1D1D719C"/>
    <w:rsid w:val="1D1E0908"/>
    <w:rsid w:val="1D1F0D32"/>
    <w:rsid w:val="1D1F6293"/>
    <w:rsid w:val="1D206B8C"/>
    <w:rsid w:val="1D293D92"/>
    <w:rsid w:val="1D2B0222"/>
    <w:rsid w:val="1D2D5293"/>
    <w:rsid w:val="1D2F2FB7"/>
    <w:rsid w:val="1D323D10"/>
    <w:rsid w:val="1D376540"/>
    <w:rsid w:val="1D4F1A4B"/>
    <w:rsid w:val="1D5305B1"/>
    <w:rsid w:val="1D5A03F0"/>
    <w:rsid w:val="1D5B5B91"/>
    <w:rsid w:val="1D65301C"/>
    <w:rsid w:val="1D6B462A"/>
    <w:rsid w:val="1D6F3E9B"/>
    <w:rsid w:val="1D7457D3"/>
    <w:rsid w:val="1D7517E7"/>
    <w:rsid w:val="1D790876"/>
    <w:rsid w:val="1D7B481A"/>
    <w:rsid w:val="1D813BCE"/>
    <w:rsid w:val="1D862BB4"/>
    <w:rsid w:val="1D8C3B39"/>
    <w:rsid w:val="1D9B6A3E"/>
    <w:rsid w:val="1D9F5E03"/>
    <w:rsid w:val="1DA4146D"/>
    <w:rsid w:val="1DA51BD7"/>
    <w:rsid w:val="1DA52F17"/>
    <w:rsid w:val="1DA97F2F"/>
    <w:rsid w:val="1DC13FCB"/>
    <w:rsid w:val="1DC615E1"/>
    <w:rsid w:val="1DC62751"/>
    <w:rsid w:val="1DCD0BC2"/>
    <w:rsid w:val="1DCD642E"/>
    <w:rsid w:val="1DD714CA"/>
    <w:rsid w:val="1DE1641B"/>
    <w:rsid w:val="1DEE1D7B"/>
    <w:rsid w:val="1DF0613F"/>
    <w:rsid w:val="1DF4775D"/>
    <w:rsid w:val="1DFA6CCA"/>
    <w:rsid w:val="1E0A4DB8"/>
    <w:rsid w:val="1E0D1DFA"/>
    <w:rsid w:val="1E0F4C28"/>
    <w:rsid w:val="1E1172D3"/>
    <w:rsid w:val="1E144269"/>
    <w:rsid w:val="1E2076B7"/>
    <w:rsid w:val="1E210D49"/>
    <w:rsid w:val="1E2A6054"/>
    <w:rsid w:val="1E2E3A39"/>
    <w:rsid w:val="1E3173A3"/>
    <w:rsid w:val="1E370E0A"/>
    <w:rsid w:val="1E390005"/>
    <w:rsid w:val="1E3D5D47"/>
    <w:rsid w:val="1E462B8B"/>
    <w:rsid w:val="1E4B4FD8"/>
    <w:rsid w:val="1E5F1377"/>
    <w:rsid w:val="1E6C3BCE"/>
    <w:rsid w:val="1E751F95"/>
    <w:rsid w:val="1E7767C7"/>
    <w:rsid w:val="1E797BD7"/>
    <w:rsid w:val="1E86075E"/>
    <w:rsid w:val="1E875215"/>
    <w:rsid w:val="1E9860EB"/>
    <w:rsid w:val="1E9A6CF6"/>
    <w:rsid w:val="1EA93EBF"/>
    <w:rsid w:val="1EB1403F"/>
    <w:rsid w:val="1EB53569"/>
    <w:rsid w:val="1EB6330F"/>
    <w:rsid w:val="1EB82905"/>
    <w:rsid w:val="1EC9410B"/>
    <w:rsid w:val="1EE1179C"/>
    <w:rsid w:val="1EE214C0"/>
    <w:rsid w:val="1EF3123C"/>
    <w:rsid w:val="1EF55B62"/>
    <w:rsid w:val="1EF65EF6"/>
    <w:rsid w:val="1F0B3750"/>
    <w:rsid w:val="1F0B7084"/>
    <w:rsid w:val="1F1702FA"/>
    <w:rsid w:val="1F1B4728"/>
    <w:rsid w:val="1F2070D4"/>
    <w:rsid w:val="1F24386A"/>
    <w:rsid w:val="1F29007A"/>
    <w:rsid w:val="1F2C5FA4"/>
    <w:rsid w:val="1F2E521C"/>
    <w:rsid w:val="1F301408"/>
    <w:rsid w:val="1F360D7E"/>
    <w:rsid w:val="1F36422B"/>
    <w:rsid w:val="1F433D04"/>
    <w:rsid w:val="1F4D0EF4"/>
    <w:rsid w:val="1F552FA7"/>
    <w:rsid w:val="1F574CD6"/>
    <w:rsid w:val="1F617814"/>
    <w:rsid w:val="1F666BD8"/>
    <w:rsid w:val="1F690C77"/>
    <w:rsid w:val="1F703E42"/>
    <w:rsid w:val="1F737547"/>
    <w:rsid w:val="1F784B5D"/>
    <w:rsid w:val="1F9626BE"/>
    <w:rsid w:val="1F976D27"/>
    <w:rsid w:val="1F9B218F"/>
    <w:rsid w:val="1FA00D60"/>
    <w:rsid w:val="1FA344E3"/>
    <w:rsid w:val="1FB97650"/>
    <w:rsid w:val="1FBA5176"/>
    <w:rsid w:val="1FBD6F82"/>
    <w:rsid w:val="1FC009DE"/>
    <w:rsid w:val="1FC102B2"/>
    <w:rsid w:val="1FC14DBD"/>
    <w:rsid w:val="1FC16504"/>
    <w:rsid w:val="1FC472A5"/>
    <w:rsid w:val="1FC758F5"/>
    <w:rsid w:val="1FCD4EA9"/>
    <w:rsid w:val="1FCD625C"/>
    <w:rsid w:val="1FCE5246"/>
    <w:rsid w:val="1FD004A7"/>
    <w:rsid w:val="1FD53695"/>
    <w:rsid w:val="1FE1527D"/>
    <w:rsid w:val="1FED37B9"/>
    <w:rsid w:val="1FF96D1D"/>
    <w:rsid w:val="2012795A"/>
    <w:rsid w:val="202A56CE"/>
    <w:rsid w:val="202E7771"/>
    <w:rsid w:val="20311017"/>
    <w:rsid w:val="20313EAC"/>
    <w:rsid w:val="20317AED"/>
    <w:rsid w:val="203E1903"/>
    <w:rsid w:val="203E74FC"/>
    <w:rsid w:val="20445069"/>
    <w:rsid w:val="20445CF6"/>
    <w:rsid w:val="20452D6E"/>
    <w:rsid w:val="204557E3"/>
    <w:rsid w:val="20457135"/>
    <w:rsid w:val="20463307"/>
    <w:rsid w:val="204721AA"/>
    <w:rsid w:val="204A474C"/>
    <w:rsid w:val="20517888"/>
    <w:rsid w:val="205B7CB4"/>
    <w:rsid w:val="20607ACB"/>
    <w:rsid w:val="2076401A"/>
    <w:rsid w:val="20783067"/>
    <w:rsid w:val="207B26EE"/>
    <w:rsid w:val="207B3A1F"/>
    <w:rsid w:val="2080206C"/>
    <w:rsid w:val="20814CCB"/>
    <w:rsid w:val="20825957"/>
    <w:rsid w:val="20897B81"/>
    <w:rsid w:val="208A0FEC"/>
    <w:rsid w:val="20930891"/>
    <w:rsid w:val="2096173F"/>
    <w:rsid w:val="209E05F3"/>
    <w:rsid w:val="20A43EB9"/>
    <w:rsid w:val="20A63400"/>
    <w:rsid w:val="20A756FA"/>
    <w:rsid w:val="20AD455D"/>
    <w:rsid w:val="20AE57E6"/>
    <w:rsid w:val="20B06AF5"/>
    <w:rsid w:val="20B87907"/>
    <w:rsid w:val="20BD2233"/>
    <w:rsid w:val="20BE3384"/>
    <w:rsid w:val="20C067BC"/>
    <w:rsid w:val="20C11FAE"/>
    <w:rsid w:val="20D33D76"/>
    <w:rsid w:val="20DB53A4"/>
    <w:rsid w:val="20DC26D0"/>
    <w:rsid w:val="20E805DE"/>
    <w:rsid w:val="20EB5EB9"/>
    <w:rsid w:val="20EC0B7F"/>
    <w:rsid w:val="20EE7201"/>
    <w:rsid w:val="20F33B84"/>
    <w:rsid w:val="20F6042F"/>
    <w:rsid w:val="20F84942"/>
    <w:rsid w:val="20FB5A46"/>
    <w:rsid w:val="20FC5411"/>
    <w:rsid w:val="21006A09"/>
    <w:rsid w:val="21031E9A"/>
    <w:rsid w:val="21033044"/>
    <w:rsid w:val="21034127"/>
    <w:rsid w:val="2107175D"/>
    <w:rsid w:val="21130FE1"/>
    <w:rsid w:val="21334C40"/>
    <w:rsid w:val="21366A7E"/>
    <w:rsid w:val="21376B82"/>
    <w:rsid w:val="21381B3A"/>
    <w:rsid w:val="213F00CE"/>
    <w:rsid w:val="213F3B84"/>
    <w:rsid w:val="21425423"/>
    <w:rsid w:val="21457CBE"/>
    <w:rsid w:val="2147554F"/>
    <w:rsid w:val="21537670"/>
    <w:rsid w:val="215F4A0D"/>
    <w:rsid w:val="21623520"/>
    <w:rsid w:val="21676C37"/>
    <w:rsid w:val="216B59E3"/>
    <w:rsid w:val="216F4323"/>
    <w:rsid w:val="216F733B"/>
    <w:rsid w:val="217560B0"/>
    <w:rsid w:val="21771FE5"/>
    <w:rsid w:val="21780E44"/>
    <w:rsid w:val="21824E8B"/>
    <w:rsid w:val="2188552B"/>
    <w:rsid w:val="219A06D8"/>
    <w:rsid w:val="219D08AB"/>
    <w:rsid w:val="21A00408"/>
    <w:rsid w:val="21B53586"/>
    <w:rsid w:val="21C00D8A"/>
    <w:rsid w:val="21C10A3D"/>
    <w:rsid w:val="21C34002"/>
    <w:rsid w:val="21C62615"/>
    <w:rsid w:val="21D4266A"/>
    <w:rsid w:val="21D60813"/>
    <w:rsid w:val="21D90BF9"/>
    <w:rsid w:val="21DC50BF"/>
    <w:rsid w:val="21F14FC0"/>
    <w:rsid w:val="21F33EFD"/>
    <w:rsid w:val="220A5F40"/>
    <w:rsid w:val="22146DBF"/>
    <w:rsid w:val="221B1A4E"/>
    <w:rsid w:val="222A37F0"/>
    <w:rsid w:val="223823A3"/>
    <w:rsid w:val="224372CA"/>
    <w:rsid w:val="22445ECF"/>
    <w:rsid w:val="22482F0D"/>
    <w:rsid w:val="22506727"/>
    <w:rsid w:val="2261178B"/>
    <w:rsid w:val="22630B62"/>
    <w:rsid w:val="226F3030"/>
    <w:rsid w:val="22717EF7"/>
    <w:rsid w:val="227E5C9D"/>
    <w:rsid w:val="22812F8F"/>
    <w:rsid w:val="228727F7"/>
    <w:rsid w:val="229B5F30"/>
    <w:rsid w:val="22AA7723"/>
    <w:rsid w:val="22BC3EB7"/>
    <w:rsid w:val="22BD1BBF"/>
    <w:rsid w:val="22BD45D7"/>
    <w:rsid w:val="22C00E77"/>
    <w:rsid w:val="22C60B71"/>
    <w:rsid w:val="22D02936"/>
    <w:rsid w:val="22D05933"/>
    <w:rsid w:val="22D30A28"/>
    <w:rsid w:val="22DB5B2F"/>
    <w:rsid w:val="22E22A19"/>
    <w:rsid w:val="22E52C9B"/>
    <w:rsid w:val="22EC4CEA"/>
    <w:rsid w:val="22F059E5"/>
    <w:rsid w:val="22FC5261"/>
    <w:rsid w:val="22FD5350"/>
    <w:rsid w:val="23007CB8"/>
    <w:rsid w:val="2302130E"/>
    <w:rsid w:val="230706D2"/>
    <w:rsid w:val="23134E96"/>
    <w:rsid w:val="23194D81"/>
    <w:rsid w:val="231A6657"/>
    <w:rsid w:val="23362D65"/>
    <w:rsid w:val="23393A5D"/>
    <w:rsid w:val="233A6758"/>
    <w:rsid w:val="23411E36"/>
    <w:rsid w:val="23437A88"/>
    <w:rsid w:val="234436D4"/>
    <w:rsid w:val="23486C01"/>
    <w:rsid w:val="23556570"/>
    <w:rsid w:val="235A7056"/>
    <w:rsid w:val="23616034"/>
    <w:rsid w:val="23621DAC"/>
    <w:rsid w:val="23645B24"/>
    <w:rsid w:val="236643F7"/>
    <w:rsid w:val="23672C8A"/>
    <w:rsid w:val="237613B4"/>
    <w:rsid w:val="237C0F3C"/>
    <w:rsid w:val="23904D06"/>
    <w:rsid w:val="23906919"/>
    <w:rsid w:val="23A300A3"/>
    <w:rsid w:val="23A323D7"/>
    <w:rsid w:val="23AE4F4C"/>
    <w:rsid w:val="23BA3EF6"/>
    <w:rsid w:val="23C001D9"/>
    <w:rsid w:val="23C640E9"/>
    <w:rsid w:val="23CC35A5"/>
    <w:rsid w:val="23D06D16"/>
    <w:rsid w:val="23D902C0"/>
    <w:rsid w:val="23D9206E"/>
    <w:rsid w:val="23DD0BFC"/>
    <w:rsid w:val="23DF2FA8"/>
    <w:rsid w:val="23E00EE5"/>
    <w:rsid w:val="23F231AE"/>
    <w:rsid w:val="23F6664F"/>
    <w:rsid w:val="23F821FE"/>
    <w:rsid w:val="23FF1D1D"/>
    <w:rsid w:val="23FF5750"/>
    <w:rsid w:val="24042E63"/>
    <w:rsid w:val="24150A21"/>
    <w:rsid w:val="241B0F50"/>
    <w:rsid w:val="241C63FF"/>
    <w:rsid w:val="242330B8"/>
    <w:rsid w:val="24266E50"/>
    <w:rsid w:val="24305BD3"/>
    <w:rsid w:val="243204A7"/>
    <w:rsid w:val="24390235"/>
    <w:rsid w:val="24391C07"/>
    <w:rsid w:val="243D7158"/>
    <w:rsid w:val="243F083D"/>
    <w:rsid w:val="243F3E9B"/>
    <w:rsid w:val="2446776E"/>
    <w:rsid w:val="2449696F"/>
    <w:rsid w:val="2450029A"/>
    <w:rsid w:val="2455334D"/>
    <w:rsid w:val="24577437"/>
    <w:rsid w:val="24635DDC"/>
    <w:rsid w:val="24695B13"/>
    <w:rsid w:val="246A1D00"/>
    <w:rsid w:val="24772B22"/>
    <w:rsid w:val="247C0C4C"/>
    <w:rsid w:val="247E5135"/>
    <w:rsid w:val="2481129D"/>
    <w:rsid w:val="2485604C"/>
    <w:rsid w:val="248A0A7D"/>
    <w:rsid w:val="24967F5F"/>
    <w:rsid w:val="249D60D3"/>
    <w:rsid w:val="24A65CC9"/>
    <w:rsid w:val="24A96539"/>
    <w:rsid w:val="24C22047"/>
    <w:rsid w:val="24C46654"/>
    <w:rsid w:val="24D9609E"/>
    <w:rsid w:val="24E3729E"/>
    <w:rsid w:val="24E862E1"/>
    <w:rsid w:val="25071B35"/>
    <w:rsid w:val="250A07C3"/>
    <w:rsid w:val="253711A7"/>
    <w:rsid w:val="253B5F7F"/>
    <w:rsid w:val="253D3D04"/>
    <w:rsid w:val="254A073A"/>
    <w:rsid w:val="254B6F9C"/>
    <w:rsid w:val="2559688E"/>
    <w:rsid w:val="255E550E"/>
    <w:rsid w:val="256162F1"/>
    <w:rsid w:val="25644CD9"/>
    <w:rsid w:val="25653D07"/>
    <w:rsid w:val="25694D45"/>
    <w:rsid w:val="257F27A2"/>
    <w:rsid w:val="258B7119"/>
    <w:rsid w:val="258C1362"/>
    <w:rsid w:val="2591184A"/>
    <w:rsid w:val="25951FC5"/>
    <w:rsid w:val="25AD2225"/>
    <w:rsid w:val="25AD4AD5"/>
    <w:rsid w:val="25AF7C37"/>
    <w:rsid w:val="25B20291"/>
    <w:rsid w:val="25B636AB"/>
    <w:rsid w:val="25B92D29"/>
    <w:rsid w:val="25BD776E"/>
    <w:rsid w:val="25D626A7"/>
    <w:rsid w:val="25D710E1"/>
    <w:rsid w:val="25D92344"/>
    <w:rsid w:val="25E46AA9"/>
    <w:rsid w:val="25ED0061"/>
    <w:rsid w:val="25F0369F"/>
    <w:rsid w:val="25F03E08"/>
    <w:rsid w:val="25F653DC"/>
    <w:rsid w:val="25F9324C"/>
    <w:rsid w:val="26041520"/>
    <w:rsid w:val="260A5B88"/>
    <w:rsid w:val="262477ED"/>
    <w:rsid w:val="26263565"/>
    <w:rsid w:val="262B00FD"/>
    <w:rsid w:val="262F0073"/>
    <w:rsid w:val="26307F40"/>
    <w:rsid w:val="263537A8"/>
    <w:rsid w:val="264834DB"/>
    <w:rsid w:val="265005E2"/>
    <w:rsid w:val="26561E20"/>
    <w:rsid w:val="265754CC"/>
    <w:rsid w:val="265B5C80"/>
    <w:rsid w:val="265C4DF4"/>
    <w:rsid w:val="26600825"/>
    <w:rsid w:val="26661BB3"/>
    <w:rsid w:val="2669133F"/>
    <w:rsid w:val="26741FA5"/>
    <w:rsid w:val="267C5E66"/>
    <w:rsid w:val="26851904"/>
    <w:rsid w:val="268C1088"/>
    <w:rsid w:val="268E11BD"/>
    <w:rsid w:val="268F41C1"/>
    <w:rsid w:val="269A673C"/>
    <w:rsid w:val="26A050C5"/>
    <w:rsid w:val="26AF38E8"/>
    <w:rsid w:val="26B61F36"/>
    <w:rsid w:val="26BB44D0"/>
    <w:rsid w:val="26C12ADE"/>
    <w:rsid w:val="26C27698"/>
    <w:rsid w:val="26C74B1D"/>
    <w:rsid w:val="26C8226C"/>
    <w:rsid w:val="26C827B3"/>
    <w:rsid w:val="26C908EE"/>
    <w:rsid w:val="26CA7D26"/>
    <w:rsid w:val="26CD39E1"/>
    <w:rsid w:val="26CF1A96"/>
    <w:rsid w:val="26D905D7"/>
    <w:rsid w:val="26DA02E8"/>
    <w:rsid w:val="26DE5BEE"/>
    <w:rsid w:val="26E038BD"/>
    <w:rsid w:val="26E26D33"/>
    <w:rsid w:val="26EA49F0"/>
    <w:rsid w:val="26EA6341"/>
    <w:rsid w:val="26FB22FC"/>
    <w:rsid w:val="26FC437E"/>
    <w:rsid w:val="26FD42C6"/>
    <w:rsid w:val="26FF433E"/>
    <w:rsid w:val="2702368A"/>
    <w:rsid w:val="27096C04"/>
    <w:rsid w:val="270E4F90"/>
    <w:rsid w:val="270E64D3"/>
    <w:rsid w:val="27121405"/>
    <w:rsid w:val="2712523F"/>
    <w:rsid w:val="27195750"/>
    <w:rsid w:val="27206206"/>
    <w:rsid w:val="27263487"/>
    <w:rsid w:val="27475258"/>
    <w:rsid w:val="27491CE2"/>
    <w:rsid w:val="27497346"/>
    <w:rsid w:val="274C00E7"/>
    <w:rsid w:val="274E4B21"/>
    <w:rsid w:val="27526510"/>
    <w:rsid w:val="27554346"/>
    <w:rsid w:val="275E4EAC"/>
    <w:rsid w:val="27736336"/>
    <w:rsid w:val="277F74D6"/>
    <w:rsid w:val="27811AA2"/>
    <w:rsid w:val="27893DAB"/>
    <w:rsid w:val="278C73F8"/>
    <w:rsid w:val="27914CD4"/>
    <w:rsid w:val="27930DA0"/>
    <w:rsid w:val="2799071E"/>
    <w:rsid w:val="279B2B20"/>
    <w:rsid w:val="279D281D"/>
    <w:rsid w:val="27A97B8C"/>
    <w:rsid w:val="27BA50C6"/>
    <w:rsid w:val="27C110E8"/>
    <w:rsid w:val="27C2589A"/>
    <w:rsid w:val="27C608B1"/>
    <w:rsid w:val="27CB2BC4"/>
    <w:rsid w:val="27CB2C5E"/>
    <w:rsid w:val="27CF033D"/>
    <w:rsid w:val="27D008CD"/>
    <w:rsid w:val="27D24728"/>
    <w:rsid w:val="27D46535"/>
    <w:rsid w:val="27D74B17"/>
    <w:rsid w:val="27E84793"/>
    <w:rsid w:val="27EB3F28"/>
    <w:rsid w:val="27F87FBF"/>
    <w:rsid w:val="27FC27CF"/>
    <w:rsid w:val="280E5870"/>
    <w:rsid w:val="28146ADA"/>
    <w:rsid w:val="28173D98"/>
    <w:rsid w:val="281B6B3C"/>
    <w:rsid w:val="281E2746"/>
    <w:rsid w:val="281F4AE5"/>
    <w:rsid w:val="28250CC6"/>
    <w:rsid w:val="28251E9F"/>
    <w:rsid w:val="28285372"/>
    <w:rsid w:val="2829733C"/>
    <w:rsid w:val="283A4B96"/>
    <w:rsid w:val="284B190C"/>
    <w:rsid w:val="28527737"/>
    <w:rsid w:val="2854351E"/>
    <w:rsid w:val="285C547F"/>
    <w:rsid w:val="285D1471"/>
    <w:rsid w:val="28606245"/>
    <w:rsid w:val="28645791"/>
    <w:rsid w:val="286D0FD7"/>
    <w:rsid w:val="28810F26"/>
    <w:rsid w:val="2887059C"/>
    <w:rsid w:val="288753C6"/>
    <w:rsid w:val="28893937"/>
    <w:rsid w:val="288A5FB2"/>
    <w:rsid w:val="288B58A3"/>
    <w:rsid w:val="289851FD"/>
    <w:rsid w:val="289E0A26"/>
    <w:rsid w:val="28A0427A"/>
    <w:rsid w:val="28A138D1"/>
    <w:rsid w:val="28A32C4B"/>
    <w:rsid w:val="28A36707"/>
    <w:rsid w:val="28A71382"/>
    <w:rsid w:val="28AF35C6"/>
    <w:rsid w:val="28B06FF1"/>
    <w:rsid w:val="28B1024A"/>
    <w:rsid w:val="28B90FF5"/>
    <w:rsid w:val="28BB686A"/>
    <w:rsid w:val="28BC1F5F"/>
    <w:rsid w:val="28C57065"/>
    <w:rsid w:val="28C82C67"/>
    <w:rsid w:val="28D15A0A"/>
    <w:rsid w:val="28D37A3B"/>
    <w:rsid w:val="28DC43AF"/>
    <w:rsid w:val="28E21187"/>
    <w:rsid w:val="28F11C08"/>
    <w:rsid w:val="28FC7098"/>
    <w:rsid w:val="2900507C"/>
    <w:rsid w:val="290731DA"/>
    <w:rsid w:val="290D0E0E"/>
    <w:rsid w:val="29171045"/>
    <w:rsid w:val="29211DC2"/>
    <w:rsid w:val="29220014"/>
    <w:rsid w:val="292B0F16"/>
    <w:rsid w:val="293748C1"/>
    <w:rsid w:val="2939345D"/>
    <w:rsid w:val="293935AF"/>
    <w:rsid w:val="29580D07"/>
    <w:rsid w:val="295B1778"/>
    <w:rsid w:val="295D54F0"/>
    <w:rsid w:val="29606D8E"/>
    <w:rsid w:val="296350A7"/>
    <w:rsid w:val="29653242"/>
    <w:rsid w:val="296617F0"/>
    <w:rsid w:val="296C5604"/>
    <w:rsid w:val="298939FC"/>
    <w:rsid w:val="298C3CA4"/>
    <w:rsid w:val="298D37D0"/>
    <w:rsid w:val="299130E9"/>
    <w:rsid w:val="29930F11"/>
    <w:rsid w:val="2994513B"/>
    <w:rsid w:val="2996455E"/>
    <w:rsid w:val="2998569C"/>
    <w:rsid w:val="299B1B74"/>
    <w:rsid w:val="29A97F8A"/>
    <w:rsid w:val="29AC5B2F"/>
    <w:rsid w:val="29AD778D"/>
    <w:rsid w:val="29B47173"/>
    <w:rsid w:val="29B85107"/>
    <w:rsid w:val="29BA3551"/>
    <w:rsid w:val="29BB1BAC"/>
    <w:rsid w:val="29C2692C"/>
    <w:rsid w:val="29C410CB"/>
    <w:rsid w:val="29C87D11"/>
    <w:rsid w:val="29D05CC2"/>
    <w:rsid w:val="29D15596"/>
    <w:rsid w:val="29DE07BC"/>
    <w:rsid w:val="29DF7CB3"/>
    <w:rsid w:val="29E057D9"/>
    <w:rsid w:val="29E1421C"/>
    <w:rsid w:val="29E242FC"/>
    <w:rsid w:val="29E4176D"/>
    <w:rsid w:val="29E6570E"/>
    <w:rsid w:val="29E94B0F"/>
    <w:rsid w:val="29EC61E5"/>
    <w:rsid w:val="29FC3140"/>
    <w:rsid w:val="29FD2C93"/>
    <w:rsid w:val="2A0911D4"/>
    <w:rsid w:val="2A190AFA"/>
    <w:rsid w:val="2A1D0C3D"/>
    <w:rsid w:val="2A1F09F7"/>
    <w:rsid w:val="2A3049B2"/>
    <w:rsid w:val="2A331DAD"/>
    <w:rsid w:val="2A3527AE"/>
    <w:rsid w:val="2A3D6440"/>
    <w:rsid w:val="2A4B5348"/>
    <w:rsid w:val="2A4B5EB3"/>
    <w:rsid w:val="2A5F0DF4"/>
    <w:rsid w:val="2A5F5BA1"/>
    <w:rsid w:val="2A622692"/>
    <w:rsid w:val="2A656CB8"/>
    <w:rsid w:val="2A666A53"/>
    <w:rsid w:val="2A701253"/>
    <w:rsid w:val="2A765DEA"/>
    <w:rsid w:val="2A854FC4"/>
    <w:rsid w:val="2A872FE8"/>
    <w:rsid w:val="2A9211C9"/>
    <w:rsid w:val="2A932085"/>
    <w:rsid w:val="2A9413C9"/>
    <w:rsid w:val="2A944F41"/>
    <w:rsid w:val="2A9D36CA"/>
    <w:rsid w:val="2A9E191C"/>
    <w:rsid w:val="2AA42411"/>
    <w:rsid w:val="2AAA4BDE"/>
    <w:rsid w:val="2AB056E9"/>
    <w:rsid w:val="2AB23619"/>
    <w:rsid w:val="2AB34501"/>
    <w:rsid w:val="2ABB0C08"/>
    <w:rsid w:val="2AC1560A"/>
    <w:rsid w:val="2AC40751"/>
    <w:rsid w:val="2ACA4E23"/>
    <w:rsid w:val="2AD16F39"/>
    <w:rsid w:val="2AD27817"/>
    <w:rsid w:val="2AD30686"/>
    <w:rsid w:val="2AD57308"/>
    <w:rsid w:val="2AD838DF"/>
    <w:rsid w:val="2ADD0128"/>
    <w:rsid w:val="2AEA268E"/>
    <w:rsid w:val="2AF91248"/>
    <w:rsid w:val="2AFE498C"/>
    <w:rsid w:val="2B0261C7"/>
    <w:rsid w:val="2B14199B"/>
    <w:rsid w:val="2B1616C0"/>
    <w:rsid w:val="2B1C6CE5"/>
    <w:rsid w:val="2B2067D5"/>
    <w:rsid w:val="2B277B63"/>
    <w:rsid w:val="2B2C172A"/>
    <w:rsid w:val="2B2D2CA0"/>
    <w:rsid w:val="2B3109E2"/>
    <w:rsid w:val="2B375A80"/>
    <w:rsid w:val="2B421E23"/>
    <w:rsid w:val="2B4326B6"/>
    <w:rsid w:val="2B5618EA"/>
    <w:rsid w:val="2B5D4325"/>
    <w:rsid w:val="2B5E554F"/>
    <w:rsid w:val="2B620B9B"/>
    <w:rsid w:val="2B6A60AE"/>
    <w:rsid w:val="2B747BBA"/>
    <w:rsid w:val="2B801021"/>
    <w:rsid w:val="2B8A1EA0"/>
    <w:rsid w:val="2B8C4734"/>
    <w:rsid w:val="2B971695"/>
    <w:rsid w:val="2B976789"/>
    <w:rsid w:val="2B9F0531"/>
    <w:rsid w:val="2B9F27E9"/>
    <w:rsid w:val="2B9F77CC"/>
    <w:rsid w:val="2BAE0029"/>
    <w:rsid w:val="2BAE3DE1"/>
    <w:rsid w:val="2BB12FF2"/>
    <w:rsid w:val="2BB60EE7"/>
    <w:rsid w:val="2BC3094D"/>
    <w:rsid w:val="2BC73198"/>
    <w:rsid w:val="2BDA3FB6"/>
    <w:rsid w:val="2BDD3EDF"/>
    <w:rsid w:val="2BDD46C6"/>
    <w:rsid w:val="2BDF6BED"/>
    <w:rsid w:val="2BE22220"/>
    <w:rsid w:val="2BEF61A7"/>
    <w:rsid w:val="2C064ECB"/>
    <w:rsid w:val="2C0734F1"/>
    <w:rsid w:val="2C104E0B"/>
    <w:rsid w:val="2C155C0E"/>
    <w:rsid w:val="2C1B0FB3"/>
    <w:rsid w:val="2C230890"/>
    <w:rsid w:val="2C275E71"/>
    <w:rsid w:val="2C29790B"/>
    <w:rsid w:val="2C2C11A9"/>
    <w:rsid w:val="2C2C6236"/>
    <w:rsid w:val="2C33078A"/>
    <w:rsid w:val="2C387B4E"/>
    <w:rsid w:val="2C390A42"/>
    <w:rsid w:val="2C4732BE"/>
    <w:rsid w:val="2C4A2D94"/>
    <w:rsid w:val="2C4B7881"/>
    <w:rsid w:val="2C5A208D"/>
    <w:rsid w:val="2C5F332D"/>
    <w:rsid w:val="2C603C73"/>
    <w:rsid w:val="2C675C97"/>
    <w:rsid w:val="2C696B54"/>
    <w:rsid w:val="2C6B4044"/>
    <w:rsid w:val="2C705659"/>
    <w:rsid w:val="2C746AAE"/>
    <w:rsid w:val="2C7D2489"/>
    <w:rsid w:val="2C7E7C57"/>
    <w:rsid w:val="2C854E8D"/>
    <w:rsid w:val="2C8B2374"/>
    <w:rsid w:val="2C9A4C4D"/>
    <w:rsid w:val="2CA90A4C"/>
    <w:rsid w:val="2CAE2898"/>
    <w:rsid w:val="2CB7324A"/>
    <w:rsid w:val="2CBC077F"/>
    <w:rsid w:val="2CBF5D73"/>
    <w:rsid w:val="2CC1332A"/>
    <w:rsid w:val="2CC460EE"/>
    <w:rsid w:val="2CC55886"/>
    <w:rsid w:val="2CC94C4A"/>
    <w:rsid w:val="2CCB451E"/>
    <w:rsid w:val="2CCD4076"/>
    <w:rsid w:val="2CD31625"/>
    <w:rsid w:val="2CD60A6C"/>
    <w:rsid w:val="2CDB5B13"/>
    <w:rsid w:val="2CDC2BCF"/>
    <w:rsid w:val="2CDC7EC4"/>
    <w:rsid w:val="2CE13E0E"/>
    <w:rsid w:val="2CEB03C6"/>
    <w:rsid w:val="2CF50BA2"/>
    <w:rsid w:val="2CF55A3F"/>
    <w:rsid w:val="2CF9552F"/>
    <w:rsid w:val="2D034EA5"/>
    <w:rsid w:val="2D1057CD"/>
    <w:rsid w:val="2D157E8F"/>
    <w:rsid w:val="2D2307FE"/>
    <w:rsid w:val="2D260DDF"/>
    <w:rsid w:val="2D2B7629"/>
    <w:rsid w:val="2D2D2CF0"/>
    <w:rsid w:val="2D2F7EFE"/>
    <w:rsid w:val="2D307726"/>
    <w:rsid w:val="2D3E1194"/>
    <w:rsid w:val="2D464494"/>
    <w:rsid w:val="2D525F67"/>
    <w:rsid w:val="2D5573EF"/>
    <w:rsid w:val="2D5663E5"/>
    <w:rsid w:val="2D5704A8"/>
    <w:rsid w:val="2D5B79F0"/>
    <w:rsid w:val="2D5C59D6"/>
    <w:rsid w:val="2D5C5C8D"/>
    <w:rsid w:val="2D727090"/>
    <w:rsid w:val="2D7746A6"/>
    <w:rsid w:val="2D8172D3"/>
    <w:rsid w:val="2D852054"/>
    <w:rsid w:val="2D872595"/>
    <w:rsid w:val="2D8D7A26"/>
    <w:rsid w:val="2D9066E8"/>
    <w:rsid w:val="2D980FF2"/>
    <w:rsid w:val="2D9D3677"/>
    <w:rsid w:val="2DA239F0"/>
    <w:rsid w:val="2DA52FC1"/>
    <w:rsid w:val="2DAB444D"/>
    <w:rsid w:val="2DAD00C8"/>
    <w:rsid w:val="2DB245D8"/>
    <w:rsid w:val="2DB6793F"/>
    <w:rsid w:val="2DB96B52"/>
    <w:rsid w:val="2DBB4593"/>
    <w:rsid w:val="2DC0323D"/>
    <w:rsid w:val="2DC0604D"/>
    <w:rsid w:val="2DC378EB"/>
    <w:rsid w:val="2DC45B3D"/>
    <w:rsid w:val="2DC515B0"/>
    <w:rsid w:val="2DC729FE"/>
    <w:rsid w:val="2DC77DCA"/>
    <w:rsid w:val="2DCD403A"/>
    <w:rsid w:val="2DE11007"/>
    <w:rsid w:val="2DE63220"/>
    <w:rsid w:val="2DEA387E"/>
    <w:rsid w:val="2DEF4B7B"/>
    <w:rsid w:val="2DF552BE"/>
    <w:rsid w:val="2DFB0D3B"/>
    <w:rsid w:val="2DFE297D"/>
    <w:rsid w:val="2E0208DD"/>
    <w:rsid w:val="2E073CE1"/>
    <w:rsid w:val="2E09462B"/>
    <w:rsid w:val="2E0A444D"/>
    <w:rsid w:val="2E0C6AD8"/>
    <w:rsid w:val="2E0E2DE1"/>
    <w:rsid w:val="2E114AFB"/>
    <w:rsid w:val="2E1344DC"/>
    <w:rsid w:val="2E20085E"/>
    <w:rsid w:val="2E234885"/>
    <w:rsid w:val="2E286A42"/>
    <w:rsid w:val="2E3C4DDE"/>
    <w:rsid w:val="2E400F3C"/>
    <w:rsid w:val="2E426A62"/>
    <w:rsid w:val="2E472DE0"/>
    <w:rsid w:val="2E4E18AB"/>
    <w:rsid w:val="2E5311BD"/>
    <w:rsid w:val="2E547285"/>
    <w:rsid w:val="2E55192F"/>
    <w:rsid w:val="2E581FE4"/>
    <w:rsid w:val="2E596761"/>
    <w:rsid w:val="2E5A3DAC"/>
    <w:rsid w:val="2E6021BF"/>
    <w:rsid w:val="2E607A11"/>
    <w:rsid w:val="2E621E4D"/>
    <w:rsid w:val="2E69625B"/>
    <w:rsid w:val="2E7133BC"/>
    <w:rsid w:val="2E76348A"/>
    <w:rsid w:val="2E7D18A1"/>
    <w:rsid w:val="2E7E255B"/>
    <w:rsid w:val="2E7F3812"/>
    <w:rsid w:val="2E8B0409"/>
    <w:rsid w:val="2E903C71"/>
    <w:rsid w:val="2E9E2638"/>
    <w:rsid w:val="2EA446A8"/>
    <w:rsid w:val="2EB01C1E"/>
    <w:rsid w:val="2EB10D65"/>
    <w:rsid w:val="2EB46A04"/>
    <w:rsid w:val="2EB711FE"/>
    <w:rsid w:val="2ECD362D"/>
    <w:rsid w:val="2ED90510"/>
    <w:rsid w:val="2EE20771"/>
    <w:rsid w:val="2EE21ADE"/>
    <w:rsid w:val="2EE962FC"/>
    <w:rsid w:val="2EEC01FD"/>
    <w:rsid w:val="2EED0359"/>
    <w:rsid w:val="2EF22236"/>
    <w:rsid w:val="2EF266DA"/>
    <w:rsid w:val="2EF37D5C"/>
    <w:rsid w:val="2EFC4E63"/>
    <w:rsid w:val="2F014B01"/>
    <w:rsid w:val="2F0247C0"/>
    <w:rsid w:val="2F0A1F46"/>
    <w:rsid w:val="2F0B32F8"/>
    <w:rsid w:val="2F0C63BC"/>
    <w:rsid w:val="2F141D40"/>
    <w:rsid w:val="2F191A56"/>
    <w:rsid w:val="2F1C3757"/>
    <w:rsid w:val="2F21503B"/>
    <w:rsid w:val="2F257C3B"/>
    <w:rsid w:val="2F275A72"/>
    <w:rsid w:val="2F363DB4"/>
    <w:rsid w:val="2F3960B7"/>
    <w:rsid w:val="2F446CE9"/>
    <w:rsid w:val="2F516105"/>
    <w:rsid w:val="2F533148"/>
    <w:rsid w:val="2F6A03D2"/>
    <w:rsid w:val="2F723377"/>
    <w:rsid w:val="2F776BDF"/>
    <w:rsid w:val="2F787D25"/>
    <w:rsid w:val="2F7D09D9"/>
    <w:rsid w:val="2F8A246F"/>
    <w:rsid w:val="2F9316C0"/>
    <w:rsid w:val="2F962126"/>
    <w:rsid w:val="2F9966D9"/>
    <w:rsid w:val="2F9E1DDD"/>
    <w:rsid w:val="2FA26362"/>
    <w:rsid w:val="2FB62D97"/>
    <w:rsid w:val="2FBA48F0"/>
    <w:rsid w:val="2FC10CAA"/>
    <w:rsid w:val="2FC242FE"/>
    <w:rsid w:val="2FD054DB"/>
    <w:rsid w:val="2FD271D9"/>
    <w:rsid w:val="2FD42EE9"/>
    <w:rsid w:val="2FD808A9"/>
    <w:rsid w:val="2FE37DD1"/>
    <w:rsid w:val="2FF41FDE"/>
    <w:rsid w:val="2FF81E0E"/>
    <w:rsid w:val="2FFB2DCC"/>
    <w:rsid w:val="2FFD65A9"/>
    <w:rsid w:val="300E12F2"/>
    <w:rsid w:val="301B6D6D"/>
    <w:rsid w:val="301C6CAC"/>
    <w:rsid w:val="301F28F2"/>
    <w:rsid w:val="302851CF"/>
    <w:rsid w:val="30316D8E"/>
    <w:rsid w:val="30336FAA"/>
    <w:rsid w:val="303650C3"/>
    <w:rsid w:val="30367A6B"/>
    <w:rsid w:val="303A5707"/>
    <w:rsid w:val="304765B2"/>
    <w:rsid w:val="304F5466"/>
    <w:rsid w:val="30504D60"/>
    <w:rsid w:val="305553AF"/>
    <w:rsid w:val="30615956"/>
    <w:rsid w:val="30662EDC"/>
    <w:rsid w:val="30662F4D"/>
    <w:rsid w:val="307153DD"/>
    <w:rsid w:val="307C003B"/>
    <w:rsid w:val="30883269"/>
    <w:rsid w:val="30991074"/>
    <w:rsid w:val="30C23E8A"/>
    <w:rsid w:val="30C9346B"/>
    <w:rsid w:val="30C95219"/>
    <w:rsid w:val="30CB2D3F"/>
    <w:rsid w:val="30CC6AB7"/>
    <w:rsid w:val="30CC6F7E"/>
    <w:rsid w:val="30D15CFE"/>
    <w:rsid w:val="30D23F36"/>
    <w:rsid w:val="30D75B88"/>
    <w:rsid w:val="30DD197C"/>
    <w:rsid w:val="30DD6F16"/>
    <w:rsid w:val="30EC0F07"/>
    <w:rsid w:val="30EE2ED1"/>
    <w:rsid w:val="30EE3F00"/>
    <w:rsid w:val="30EF1D20"/>
    <w:rsid w:val="30F779FC"/>
    <w:rsid w:val="30FA12BF"/>
    <w:rsid w:val="30FE35C8"/>
    <w:rsid w:val="31210BB1"/>
    <w:rsid w:val="312E5247"/>
    <w:rsid w:val="3134032E"/>
    <w:rsid w:val="31363E4E"/>
    <w:rsid w:val="3138414C"/>
    <w:rsid w:val="313A6116"/>
    <w:rsid w:val="313B179E"/>
    <w:rsid w:val="314A7BDF"/>
    <w:rsid w:val="314D409C"/>
    <w:rsid w:val="314F750B"/>
    <w:rsid w:val="315159AC"/>
    <w:rsid w:val="3153463F"/>
    <w:rsid w:val="31566970"/>
    <w:rsid w:val="31580624"/>
    <w:rsid w:val="315B5C24"/>
    <w:rsid w:val="315E7B1E"/>
    <w:rsid w:val="31731494"/>
    <w:rsid w:val="317D7EBB"/>
    <w:rsid w:val="317F6A68"/>
    <w:rsid w:val="31832E4E"/>
    <w:rsid w:val="31876369"/>
    <w:rsid w:val="318D450C"/>
    <w:rsid w:val="31903F88"/>
    <w:rsid w:val="31935EC2"/>
    <w:rsid w:val="319F0024"/>
    <w:rsid w:val="31A812D2"/>
    <w:rsid w:val="31AB2DAB"/>
    <w:rsid w:val="31B25476"/>
    <w:rsid w:val="31B71515"/>
    <w:rsid w:val="31B959C7"/>
    <w:rsid w:val="31BD550A"/>
    <w:rsid w:val="31C3435E"/>
    <w:rsid w:val="31CC3212"/>
    <w:rsid w:val="31CC4FC0"/>
    <w:rsid w:val="31CF465E"/>
    <w:rsid w:val="31D40319"/>
    <w:rsid w:val="31D65860"/>
    <w:rsid w:val="31DF2946"/>
    <w:rsid w:val="31E77E49"/>
    <w:rsid w:val="31ED3189"/>
    <w:rsid w:val="31EE10DC"/>
    <w:rsid w:val="31F27808"/>
    <w:rsid w:val="31F724B8"/>
    <w:rsid w:val="31F81AD3"/>
    <w:rsid w:val="32056724"/>
    <w:rsid w:val="32110C25"/>
    <w:rsid w:val="321142D8"/>
    <w:rsid w:val="32180050"/>
    <w:rsid w:val="321B644E"/>
    <w:rsid w:val="3221513D"/>
    <w:rsid w:val="322410BA"/>
    <w:rsid w:val="32317484"/>
    <w:rsid w:val="323647E0"/>
    <w:rsid w:val="323808A8"/>
    <w:rsid w:val="32431AD0"/>
    <w:rsid w:val="32530340"/>
    <w:rsid w:val="325A3421"/>
    <w:rsid w:val="32607DFF"/>
    <w:rsid w:val="326501D5"/>
    <w:rsid w:val="326571C3"/>
    <w:rsid w:val="326E03CD"/>
    <w:rsid w:val="32716E51"/>
    <w:rsid w:val="32737B32"/>
    <w:rsid w:val="32754BA4"/>
    <w:rsid w:val="32793FAC"/>
    <w:rsid w:val="327A71D0"/>
    <w:rsid w:val="3282040F"/>
    <w:rsid w:val="3282531E"/>
    <w:rsid w:val="328E2CF1"/>
    <w:rsid w:val="32977498"/>
    <w:rsid w:val="329B2BE5"/>
    <w:rsid w:val="32A11B7A"/>
    <w:rsid w:val="32A55B5B"/>
    <w:rsid w:val="32AB22E8"/>
    <w:rsid w:val="32B04DB2"/>
    <w:rsid w:val="32C569FF"/>
    <w:rsid w:val="32CD3487"/>
    <w:rsid w:val="32CE4D68"/>
    <w:rsid w:val="32CF2B72"/>
    <w:rsid w:val="32D03638"/>
    <w:rsid w:val="32D50524"/>
    <w:rsid w:val="32E53A10"/>
    <w:rsid w:val="32EC5A11"/>
    <w:rsid w:val="32F00761"/>
    <w:rsid w:val="32F50547"/>
    <w:rsid w:val="32FA3431"/>
    <w:rsid w:val="32FC48DF"/>
    <w:rsid w:val="3306616E"/>
    <w:rsid w:val="330662B0"/>
    <w:rsid w:val="330C6B05"/>
    <w:rsid w:val="33125758"/>
    <w:rsid w:val="332350B4"/>
    <w:rsid w:val="333A389D"/>
    <w:rsid w:val="333F7A14"/>
    <w:rsid w:val="33545A64"/>
    <w:rsid w:val="336F3663"/>
    <w:rsid w:val="337554A3"/>
    <w:rsid w:val="337B0E24"/>
    <w:rsid w:val="338401D6"/>
    <w:rsid w:val="338C030E"/>
    <w:rsid w:val="33925D96"/>
    <w:rsid w:val="33A45AC9"/>
    <w:rsid w:val="33A51F6D"/>
    <w:rsid w:val="33B053AF"/>
    <w:rsid w:val="33B314A9"/>
    <w:rsid w:val="33B43F5E"/>
    <w:rsid w:val="33B7681F"/>
    <w:rsid w:val="33C0222F"/>
    <w:rsid w:val="33C61EE3"/>
    <w:rsid w:val="33CA4D76"/>
    <w:rsid w:val="33CF5015"/>
    <w:rsid w:val="33D041B0"/>
    <w:rsid w:val="33D34C0B"/>
    <w:rsid w:val="33D62126"/>
    <w:rsid w:val="33E011C1"/>
    <w:rsid w:val="33E0347F"/>
    <w:rsid w:val="33E16D1D"/>
    <w:rsid w:val="33F95E15"/>
    <w:rsid w:val="34091EBE"/>
    <w:rsid w:val="34094833"/>
    <w:rsid w:val="34162F23"/>
    <w:rsid w:val="341A5D77"/>
    <w:rsid w:val="34210CAE"/>
    <w:rsid w:val="342B1D46"/>
    <w:rsid w:val="343A1627"/>
    <w:rsid w:val="344008D1"/>
    <w:rsid w:val="344572AC"/>
    <w:rsid w:val="34495444"/>
    <w:rsid w:val="345E1E65"/>
    <w:rsid w:val="3465632F"/>
    <w:rsid w:val="347436ED"/>
    <w:rsid w:val="348002E4"/>
    <w:rsid w:val="34802708"/>
    <w:rsid w:val="3482348D"/>
    <w:rsid w:val="34847DD4"/>
    <w:rsid w:val="3485461B"/>
    <w:rsid w:val="348C7AC7"/>
    <w:rsid w:val="34925255"/>
    <w:rsid w:val="349721D9"/>
    <w:rsid w:val="349B4A38"/>
    <w:rsid w:val="349D69F2"/>
    <w:rsid w:val="34AA710F"/>
    <w:rsid w:val="34BE489F"/>
    <w:rsid w:val="34C5219B"/>
    <w:rsid w:val="34CA77B1"/>
    <w:rsid w:val="34D10B40"/>
    <w:rsid w:val="34D52F4E"/>
    <w:rsid w:val="34D661A3"/>
    <w:rsid w:val="34D7676C"/>
    <w:rsid w:val="34D81ECE"/>
    <w:rsid w:val="34EB2CDD"/>
    <w:rsid w:val="34EB7302"/>
    <w:rsid w:val="34EC2EB9"/>
    <w:rsid w:val="34EC43E6"/>
    <w:rsid w:val="34EE524E"/>
    <w:rsid w:val="34EE74E4"/>
    <w:rsid w:val="34F42CFD"/>
    <w:rsid w:val="35002E80"/>
    <w:rsid w:val="3504664D"/>
    <w:rsid w:val="350F40EB"/>
    <w:rsid w:val="35156C7E"/>
    <w:rsid w:val="351849C1"/>
    <w:rsid w:val="351E091F"/>
    <w:rsid w:val="351F0FAC"/>
    <w:rsid w:val="35210197"/>
    <w:rsid w:val="35285CBC"/>
    <w:rsid w:val="352A4256"/>
    <w:rsid w:val="353D61D5"/>
    <w:rsid w:val="3542559A"/>
    <w:rsid w:val="35431424"/>
    <w:rsid w:val="354715B6"/>
    <w:rsid w:val="35474AB0"/>
    <w:rsid w:val="3547515D"/>
    <w:rsid w:val="35480CF6"/>
    <w:rsid w:val="354E3E1E"/>
    <w:rsid w:val="3553332C"/>
    <w:rsid w:val="355D069A"/>
    <w:rsid w:val="35646B82"/>
    <w:rsid w:val="356B50D9"/>
    <w:rsid w:val="356C58AD"/>
    <w:rsid w:val="357065AB"/>
    <w:rsid w:val="35774AB9"/>
    <w:rsid w:val="357E2A76"/>
    <w:rsid w:val="3581396F"/>
    <w:rsid w:val="358335C2"/>
    <w:rsid w:val="3587366D"/>
    <w:rsid w:val="35950A25"/>
    <w:rsid w:val="359851AF"/>
    <w:rsid w:val="359F29EC"/>
    <w:rsid w:val="35A16F73"/>
    <w:rsid w:val="35A3641B"/>
    <w:rsid w:val="35A41DB0"/>
    <w:rsid w:val="35A46254"/>
    <w:rsid w:val="35A470AE"/>
    <w:rsid w:val="35B277CF"/>
    <w:rsid w:val="35B33B03"/>
    <w:rsid w:val="35BA5E1A"/>
    <w:rsid w:val="35C04614"/>
    <w:rsid w:val="35C366DA"/>
    <w:rsid w:val="35C84690"/>
    <w:rsid w:val="35CA7988"/>
    <w:rsid w:val="35E47D46"/>
    <w:rsid w:val="35ED6B48"/>
    <w:rsid w:val="35F45E8B"/>
    <w:rsid w:val="35FB5B03"/>
    <w:rsid w:val="360437A1"/>
    <w:rsid w:val="360530DE"/>
    <w:rsid w:val="360B441E"/>
    <w:rsid w:val="361707D4"/>
    <w:rsid w:val="36174C78"/>
    <w:rsid w:val="36241293"/>
    <w:rsid w:val="36257395"/>
    <w:rsid w:val="363D6170"/>
    <w:rsid w:val="36411F77"/>
    <w:rsid w:val="364269DE"/>
    <w:rsid w:val="36583083"/>
    <w:rsid w:val="365A33B7"/>
    <w:rsid w:val="365E68AB"/>
    <w:rsid w:val="36602341"/>
    <w:rsid w:val="3664555A"/>
    <w:rsid w:val="366830F8"/>
    <w:rsid w:val="366D23E9"/>
    <w:rsid w:val="366E276C"/>
    <w:rsid w:val="36703A01"/>
    <w:rsid w:val="3673370D"/>
    <w:rsid w:val="36755FDE"/>
    <w:rsid w:val="367D2D2D"/>
    <w:rsid w:val="36832A4B"/>
    <w:rsid w:val="368340BC"/>
    <w:rsid w:val="36881445"/>
    <w:rsid w:val="368A292D"/>
    <w:rsid w:val="368A594B"/>
    <w:rsid w:val="368A71F8"/>
    <w:rsid w:val="368C1783"/>
    <w:rsid w:val="368F7238"/>
    <w:rsid w:val="36932551"/>
    <w:rsid w:val="36AA4451"/>
    <w:rsid w:val="36B008D8"/>
    <w:rsid w:val="36B10C29"/>
    <w:rsid w:val="36B7627B"/>
    <w:rsid w:val="36B83D65"/>
    <w:rsid w:val="36BB1AA7"/>
    <w:rsid w:val="36BC2851"/>
    <w:rsid w:val="36C95F72"/>
    <w:rsid w:val="36D7150B"/>
    <w:rsid w:val="36D96DD9"/>
    <w:rsid w:val="36E66C40"/>
    <w:rsid w:val="36F10990"/>
    <w:rsid w:val="37030298"/>
    <w:rsid w:val="370D26A3"/>
    <w:rsid w:val="37201095"/>
    <w:rsid w:val="372235BD"/>
    <w:rsid w:val="37227431"/>
    <w:rsid w:val="37252C7D"/>
    <w:rsid w:val="373309DC"/>
    <w:rsid w:val="373C4996"/>
    <w:rsid w:val="374C2271"/>
    <w:rsid w:val="37520247"/>
    <w:rsid w:val="37557806"/>
    <w:rsid w:val="375665FE"/>
    <w:rsid w:val="376215F9"/>
    <w:rsid w:val="376C68FE"/>
    <w:rsid w:val="376E70A4"/>
    <w:rsid w:val="37753A04"/>
    <w:rsid w:val="377719EF"/>
    <w:rsid w:val="377C1237"/>
    <w:rsid w:val="378679C0"/>
    <w:rsid w:val="37885B03"/>
    <w:rsid w:val="37887BDC"/>
    <w:rsid w:val="379A16BD"/>
    <w:rsid w:val="37A3555E"/>
    <w:rsid w:val="37A434A3"/>
    <w:rsid w:val="37A920BC"/>
    <w:rsid w:val="37AC7AD3"/>
    <w:rsid w:val="37AE6CFD"/>
    <w:rsid w:val="37B01116"/>
    <w:rsid w:val="37C4498C"/>
    <w:rsid w:val="37C5495D"/>
    <w:rsid w:val="37D837D6"/>
    <w:rsid w:val="37DF02D1"/>
    <w:rsid w:val="37E341DA"/>
    <w:rsid w:val="37EA43F2"/>
    <w:rsid w:val="37EC117D"/>
    <w:rsid w:val="37EC5F7B"/>
    <w:rsid w:val="37F0694A"/>
    <w:rsid w:val="37F14165"/>
    <w:rsid w:val="37FE1C4C"/>
    <w:rsid w:val="380600E0"/>
    <w:rsid w:val="380C7EA0"/>
    <w:rsid w:val="381257AF"/>
    <w:rsid w:val="381450F7"/>
    <w:rsid w:val="381A7091"/>
    <w:rsid w:val="3824244F"/>
    <w:rsid w:val="38244A09"/>
    <w:rsid w:val="38276324"/>
    <w:rsid w:val="382947EF"/>
    <w:rsid w:val="38334DFF"/>
    <w:rsid w:val="3837600C"/>
    <w:rsid w:val="383C6CB5"/>
    <w:rsid w:val="38433B03"/>
    <w:rsid w:val="38441E4A"/>
    <w:rsid w:val="384537FB"/>
    <w:rsid w:val="38460F48"/>
    <w:rsid w:val="38581D94"/>
    <w:rsid w:val="38626FDD"/>
    <w:rsid w:val="38635F53"/>
    <w:rsid w:val="386C12AB"/>
    <w:rsid w:val="38703520"/>
    <w:rsid w:val="387442BD"/>
    <w:rsid w:val="3876317F"/>
    <w:rsid w:val="387A5AF6"/>
    <w:rsid w:val="387A74C6"/>
    <w:rsid w:val="387E2D8D"/>
    <w:rsid w:val="387E4B3B"/>
    <w:rsid w:val="38824FEC"/>
    <w:rsid w:val="388365F5"/>
    <w:rsid w:val="389B74EC"/>
    <w:rsid w:val="389E342F"/>
    <w:rsid w:val="38A2163C"/>
    <w:rsid w:val="38A67853"/>
    <w:rsid w:val="38B10CD7"/>
    <w:rsid w:val="38B371E2"/>
    <w:rsid w:val="38B43B03"/>
    <w:rsid w:val="38BC484B"/>
    <w:rsid w:val="38BF1A11"/>
    <w:rsid w:val="38C01848"/>
    <w:rsid w:val="38C21810"/>
    <w:rsid w:val="38D8647F"/>
    <w:rsid w:val="38DD7AB3"/>
    <w:rsid w:val="38E758FC"/>
    <w:rsid w:val="38ED6A84"/>
    <w:rsid w:val="38F51C6A"/>
    <w:rsid w:val="38F74E20"/>
    <w:rsid w:val="38FE486E"/>
    <w:rsid w:val="390115DC"/>
    <w:rsid w:val="39111C5F"/>
    <w:rsid w:val="39142431"/>
    <w:rsid w:val="3914549F"/>
    <w:rsid w:val="39186D3D"/>
    <w:rsid w:val="39204A69"/>
    <w:rsid w:val="39227BBC"/>
    <w:rsid w:val="392C7748"/>
    <w:rsid w:val="39317DFF"/>
    <w:rsid w:val="39391637"/>
    <w:rsid w:val="393A67E2"/>
    <w:rsid w:val="39464AF1"/>
    <w:rsid w:val="394B5125"/>
    <w:rsid w:val="39535396"/>
    <w:rsid w:val="3961677A"/>
    <w:rsid w:val="39640917"/>
    <w:rsid w:val="39651C68"/>
    <w:rsid w:val="396C6F56"/>
    <w:rsid w:val="398828FC"/>
    <w:rsid w:val="39985DC1"/>
    <w:rsid w:val="399E7355"/>
    <w:rsid w:val="39B12CEE"/>
    <w:rsid w:val="39B13948"/>
    <w:rsid w:val="39BA4298"/>
    <w:rsid w:val="39BD24A1"/>
    <w:rsid w:val="39C42A21"/>
    <w:rsid w:val="39C84BD3"/>
    <w:rsid w:val="39CD7B28"/>
    <w:rsid w:val="39D23088"/>
    <w:rsid w:val="39D23C11"/>
    <w:rsid w:val="39D63BC2"/>
    <w:rsid w:val="39E35B85"/>
    <w:rsid w:val="39E92488"/>
    <w:rsid w:val="39EC3D26"/>
    <w:rsid w:val="39ED1F78"/>
    <w:rsid w:val="39F03816"/>
    <w:rsid w:val="39F24786"/>
    <w:rsid w:val="39FD5F33"/>
    <w:rsid w:val="39FF22C5"/>
    <w:rsid w:val="3A0215EB"/>
    <w:rsid w:val="3A0B4AF4"/>
    <w:rsid w:val="3A0D1341"/>
    <w:rsid w:val="3A0F3F57"/>
    <w:rsid w:val="3A132F03"/>
    <w:rsid w:val="3A19697C"/>
    <w:rsid w:val="3A221A8C"/>
    <w:rsid w:val="3A241712"/>
    <w:rsid w:val="3A275664"/>
    <w:rsid w:val="3A296A5E"/>
    <w:rsid w:val="3A396F6B"/>
    <w:rsid w:val="3A483652"/>
    <w:rsid w:val="3A4B6EC2"/>
    <w:rsid w:val="3A555D6F"/>
    <w:rsid w:val="3A672285"/>
    <w:rsid w:val="3A695688"/>
    <w:rsid w:val="3A72247D"/>
    <w:rsid w:val="3A73258B"/>
    <w:rsid w:val="3A740FA3"/>
    <w:rsid w:val="3A744447"/>
    <w:rsid w:val="3A773F37"/>
    <w:rsid w:val="3A94332A"/>
    <w:rsid w:val="3A951A32"/>
    <w:rsid w:val="3A9A69CA"/>
    <w:rsid w:val="3AAD1707"/>
    <w:rsid w:val="3AAE3D2E"/>
    <w:rsid w:val="3AB65411"/>
    <w:rsid w:val="3AB7338B"/>
    <w:rsid w:val="3ABB4F90"/>
    <w:rsid w:val="3AC54CA3"/>
    <w:rsid w:val="3AD06FC2"/>
    <w:rsid w:val="3ADF71D3"/>
    <w:rsid w:val="3AF60C85"/>
    <w:rsid w:val="3AFC1592"/>
    <w:rsid w:val="3B0A473E"/>
    <w:rsid w:val="3B0B3494"/>
    <w:rsid w:val="3B0B50DD"/>
    <w:rsid w:val="3B0C4DA2"/>
    <w:rsid w:val="3B0F4170"/>
    <w:rsid w:val="3B174F09"/>
    <w:rsid w:val="3B176016"/>
    <w:rsid w:val="3B2641D4"/>
    <w:rsid w:val="3B3132FD"/>
    <w:rsid w:val="3B421FAF"/>
    <w:rsid w:val="3B424B80"/>
    <w:rsid w:val="3B4267A7"/>
    <w:rsid w:val="3B48382E"/>
    <w:rsid w:val="3B5851E9"/>
    <w:rsid w:val="3B5A1C91"/>
    <w:rsid w:val="3B5B61CE"/>
    <w:rsid w:val="3B5C7645"/>
    <w:rsid w:val="3B5E3238"/>
    <w:rsid w:val="3B5F38BE"/>
    <w:rsid w:val="3B621C43"/>
    <w:rsid w:val="3B707C26"/>
    <w:rsid w:val="3B794422"/>
    <w:rsid w:val="3B7C212C"/>
    <w:rsid w:val="3B892174"/>
    <w:rsid w:val="3B8C756F"/>
    <w:rsid w:val="3BB23E5F"/>
    <w:rsid w:val="3BB7024A"/>
    <w:rsid w:val="3BC7691B"/>
    <w:rsid w:val="3BDA4E51"/>
    <w:rsid w:val="3BDB2906"/>
    <w:rsid w:val="3BEC3676"/>
    <w:rsid w:val="3BEE0229"/>
    <w:rsid w:val="3BEF7DD6"/>
    <w:rsid w:val="3BF66E77"/>
    <w:rsid w:val="3BF82EB3"/>
    <w:rsid w:val="3BFB035A"/>
    <w:rsid w:val="3C0165D0"/>
    <w:rsid w:val="3C0869C9"/>
    <w:rsid w:val="3C0D1A01"/>
    <w:rsid w:val="3C1112CB"/>
    <w:rsid w:val="3C1832DF"/>
    <w:rsid w:val="3C1D7D04"/>
    <w:rsid w:val="3C24099A"/>
    <w:rsid w:val="3C291261"/>
    <w:rsid w:val="3C2F4ACA"/>
    <w:rsid w:val="3C335C3C"/>
    <w:rsid w:val="3C353F33"/>
    <w:rsid w:val="3C380813"/>
    <w:rsid w:val="3C3A7F27"/>
    <w:rsid w:val="3C4768E8"/>
    <w:rsid w:val="3C5C33E5"/>
    <w:rsid w:val="3C5D3C4F"/>
    <w:rsid w:val="3C5F0E2E"/>
    <w:rsid w:val="3C5F3DC8"/>
    <w:rsid w:val="3C746DFB"/>
    <w:rsid w:val="3C776471"/>
    <w:rsid w:val="3C861C33"/>
    <w:rsid w:val="3C8E046F"/>
    <w:rsid w:val="3C9E65CD"/>
    <w:rsid w:val="3CA7031E"/>
    <w:rsid w:val="3CB0571D"/>
    <w:rsid w:val="3CC2593E"/>
    <w:rsid w:val="3CC80A7A"/>
    <w:rsid w:val="3CCF0F6E"/>
    <w:rsid w:val="3CDA3B31"/>
    <w:rsid w:val="3CDC7007"/>
    <w:rsid w:val="3CDD5A81"/>
    <w:rsid w:val="3CE55646"/>
    <w:rsid w:val="3D0777F5"/>
    <w:rsid w:val="3D1230BD"/>
    <w:rsid w:val="3D136EFB"/>
    <w:rsid w:val="3D154912"/>
    <w:rsid w:val="3D1A5448"/>
    <w:rsid w:val="3D2D7B8E"/>
    <w:rsid w:val="3D2F0740"/>
    <w:rsid w:val="3D3659E4"/>
    <w:rsid w:val="3D404AB5"/>
    <w:rsid w:val="3D464B66"/>
    <w:rsid w:val="3D474095"/>
    <w:rsid w:val="3D5A0B77"/>
    <w:rsid w:val="3D5B544A"/>
    <w:rsid w:val="3D5D7F98"/>
    <w:rsid w:val="3D5F13DF"/>
    <w:rsid w:val="3D6213C4"/>
    <w:rsid w:val="3D6267D9"/>
    <w:rsid w:val="3D6A1B31"/>
    <w:rsid w:val="3D7442A2"/>
    <w:rsid w:val="3D780746"/>
    <w:rsid w:val="3D7A6218"/>
    <w:rsid w:val="3D7A7FC6"/>
    <w:rsid w:val="3D8438F5"/>
    <w:rsid w:val="3D864BBD"/>
    <w:rsid w:val="3D891FB8"/>
    <w:rsid w:val="3D8C006D"/>
    <w:rsid w:val="3D8E3A72"/>
    <w:rsid w:val="3D954E00"/>
    <w:rsid w:val="3D98044D"/>
    <w:rsid w:val="3DA43295"/>
    <w:rsid w:val="3DAE7C70"/>
    <w:rsid w:val="3DB159B2"/>
    <w:rsid w:val="3DB272D8"/>
    <w:rsid w:val="3DB97E88"/>
    <w:rsid w:val="3DBC182E"/>
    <w:rsid w:val="3DBF1E7D"/>
    <w:rsid w:val="3DC348DD"/>
    <w:rsid w:val="3DCE24ED"/>
    <w:rsid w:val="3DD376D7"/>
    <w:rsid w:val="3DDF2B68"/>
    <w:rsid w:val="3DE36705"/>
    <w:rsid w:val="3DE50366"/>
    <w:rsid w:val="3DEB1C8C"/>
    <w:rsid w:val="3DF35ACC"/>
    <w:rsid w:val="3DFF127E"/>
    <w:rsid w:val="3E014244"/>
    <w:rsid w:val="3E025620"/>
    <w:rsid w:val="3E05072E"/>
    <w:rsid w:val="3E0B2D85"/>
    <w:rsid w:val="3E16206F"/>
    <w:rsid w:val="3E277A87"/>
    <w:rsid w:val="3E29654F"/>
    <w:rsid w:val="3E2B7513"/>
    <w:rsid w:val="3E2B7626"/>
    <w:rsid w:val="3E300685"/>
    <w:rsid w:val="3E3208A1"/>
    <w:rsid w:val="3E406979"/>
    <w:rsid w:val="3E4D29DB"/>
    <w:rsid w:val="3E506F79"/>
    <w:rsid w:val="3E5838DD"/>
    <w:rsid w:val="3E5C4AA2"/>
    <w:rsid w:val="3E602718"/>
    <w:rsid w:val="3E614CE2"/>
    <w:rsid w:val="3E7012AD"/>
    <w:rsid w:val="3E726EC9"/>
    <w:rsid w:val="3E75078E"/>
    <w:rsid w:val="3E831D52"/>
    <w:rsid w:val="3E8E326B"/>
    <w:rsid w:val="3E951889"/>
    <w:rsid w:val="3E9629CF"/>
    <w:rsid w:val="3EA0134A"/>
    <w:rsid w:val="3EAA6689"/>
    <w:rsid w:val="3EAE0324"/>
    <w:rsid w:val="3EAE208D"/>
    <w:rsid w:val="3EB158B4"/>
    <w:rsid w:val="3EB2553E"/>
    <w:rsid w:val="3EB72B54"/>
    <w:rsid w:val="3EC3206C"/>
    <w:rsid w:val="3ECC7844"/>
    <w:rsid w:val="3ECD00BE"/>
    <w:rsid w:val="3ED96C16"/>
    <w:rsid w:val="3EDF07E5"/>
    <w:rsid w:val="3EE91D44"/>
    <w:rsid w:val="3EED1E62"/>
    <w:rsid w:val="3EEE2F1C"/>
    <w:rsid w:val="3EF23B8C"/>
    <w:rsid w:val="3EF8449E"/>
    <w:rsid w:val="3EFC7DAE"/>
    <w:rsid w:val="3F010273"/>
    <w:rsid w:val="3F096D0B"/>
    <w:rsid w:val="3F0B7179"/>
    <w:rsid w:val="3F151574"/>
    <w:rsid w:val="3F163D1F"/>
    <w:rsid w:val="3F180FBB"/>
    <w:rsid w:val="3F1E3015"/>
    <w:rsid w:val="3F1E4289"/>
    <w:rsid w:val="3F251D7D"/>
    <w:rsid w:val="3F2E1312"/>
    <w:rsid w:val="3F3225D2"/>
    <w:rsid w:val="3F42218F"/>
    <w:rsid w:val="3F481599"/>
    <w:rsid w:val="3F4A628E"/>
    <w:rsid w:val="3F514B2D"/>
    <w:rsid w:val="3F557260"/>
    <w:rsid w:val="3F5B7B73"/>
    <w:rsid w:val="3F5D1B7A"/>
    <w:rsid w:val="3F60523E"/>
    <w:rsid w:val="3F667372"/>
    <w:rsid w:val="3F6727CC"/>
    <w:rsid w:val="3F6759F5"/>
    <w:rsid w:val="3F6D115F"/>
    <w:rsid w:val="3F724CCD"/>
    <w:rsid w:val="3F7377B0"/>
    <w:rsid w:val="3F7C5873"/>
    <w:rsid w:val="3F8B74A4"/>
    <w:rsid w:val="3F927221"/>
    <w:rsid w:val="3F93128E"/>
    <w:rsid w:val="3F9335C1"/>
    <w:rsid w:val="3F984120"/>
    <w:rsid w:val="3FA540B0"/>
    <w:rsid w:val="3FA541A9"/>
    <w:rsid w:val="3FB53538"/>
    <w:rsid w:val="3FB631D8"/>
    <w:rsid w:val="3FB672B0"/>
    <w:rsid w:val="3FB776F5"/>
    <w:rsid w:val="3FC20379"/>
    <w:rsid w:val="3FE060DB"/>
    <w:rsid w:val="3FEE76F8"/>
    <w:rsid w:val="400310D8"/>
    <w:rsid w:val="40041DC9"/>
    <w:rsid w:val="40086AA5"/>
    <w:rsid w:val="400A2D8B"/>
    <w:rsid w:val="400B22C6"/>
    <w:rsid w:val="400B2990"/>
    <w:rsid w:val="400E0E9A"/>
    <w:rsid w:val="400E2C48"/>
    <w:rsid w:val="4014562F"/>
    <w:rsid w:val="401D24AF"/>
    <w:rsid w:val="402C78D5"/>
    <w:rsid w:val="40307BC9"/>
    <w:rsid w:val="40356427"/>
    <w:rsid w:val="403A0A27"/>
    <w:rsid w:val="403D28E3"/>
    <w:rsid w:val="403F5E49"/>
    <w:rsid w:val="40430493"/>
    <w:rsid w:val="4048768D"/>
    <w:rsid w:val="404B17A6"/>
    <w:rsid w:val="404D19C2"/>
    <w:rsid w:val="40564EE7"/>
    <w:rsid w:val="405A0CFC"/>
    <w:rsid w:val="405E5CCB"/>
    <w:rsid w:val="4068042A"/>
    <w:rsid w:val="406E3D2B"/>
    <w:rsid w:val="40714172"/>
    <w:rsid w:val="407F661D"/>
    <w:rsid w:val="408245ED"/>
    <w:rsid w:val="40864295"/>
    <w:rsid w:val="40917B26"/>
    <w:rsid w:val="40926379"/>
    <w:rsid w:val="409F45CB"/>
    <w:rsid w:val="40AC7A1C"/>
    <w:rsid w:val="40B557B9"/>
    <w:rsid w:val="40B86E7B"/>
    <w:rsid w:val="40B90E06"/>
    <w:rsid w:val="40B94B83"/>
    <w:rsid w:val="40BE466E"/>
    <w:rsid w:val="40C319E2"/>
    <w:rsid w:val="40CD00BD"/>
    <w:rsid w:val="40CD4ED1"/>
    <w:rsid w:val="40D12495"/>
    <w:rsid w:val="40DC0019"/>
    <w:rsid w:val="40E31DD5"/>
    <w:rsid w:val="40E65224"/>
    <w:rsid w:val="40E85247"/>
    <w:rsid w:val="40EC27D7"/>
    <w:rsid w:val="40EF2A79"/>
    <w:rsid w:val="40F260C6"/>
    <w:rsid w:val="410C127B"/>
    <w:rsid w:val="410C5573"/>
    <w:rsid w:val="410D73A4"/>
    <w:rsid w:val="41120516"/>
    <w:rsid w:val="41196606"/>
    <w:rsid w:val="411E6EBB"/>
    <w:rsid w:val="41242B9C"/>
    <w:rsid w:val="412A1D04"/>
    <w:rsid w:val="413466DE"/>
    <w:rsid w:val="41474664"/>
    <w:rsid w:val="41523008"/>
    <w:rsid w:val="415437EE"/>
    <w:rsid w:val="41546B10"/>
    <w:rsid w:val="41562AF9"/>
    <w:rsid w:val="41616C71"/>
    <w:rsid w:val="41624E29"/>
    <w:rsid w:val="41676221"/>
    <w:rsid w:val="4169700E"/>
    <w:rsid w:val="416C40CA"/>
    <w:rsid w:val="4175673C"/>
    <w:rsid w:val="417B1ADC"/>
    <w:rsid w:val="417B77D1"/>
    <w:rsid w:val="418238EE"/>
    <w:rsid w:val="41831414"/>
    <w:rsid w:val="418365EE"/>
    <w:rsid w:val="418401AA"/>
    <w:rsid w:val="418D20C9"/>
    <w:rsid w:val="41955799"/>
    <w:rsid w:val="419867DB"/>
    <w:rsid w:val="419D4283"/>
    <w:rsid w:val="41A51BAC"/>
    <w:rsid w:val="41B17F29"/>
    <w:rsid w:val="41B3338B"/>
    <w:rsid w:val="41B501A4"/>
    <w:rsid w:val="41B8730F"/>
    <w:rsid w:val="41BF3BD9"/>
    <w:rsid w:val="41BF4A91"/>
    <w:rsid w:val="41C20D1A"/>
    <w:rsid w:val="41C5598F"/>
    <w:rsid w:val="41CB3D94"/>
    <w:rsid w:val="41D13F2D"/>
    <w:rsid w:val="41D614EA"/>
    <w:rsid w:val="41DC36BB"/>
    <w:rsid w:val="41F51BC5"/>
    <w:rsid w:val="41FA3484"/>
    <w:rsid w:val="41FB0356"/>
    <w:rsid w:val="42022339"/>
    <w:rsid w:val="42132FE7"/>
    <w:rsid w:val="42137006"/>
    <w:rsid w:val="421729DE"/>
    <w:rsid w:val="421A7082"/>
    <w:rsid w:val="421B648D"/>
    <w:rsid w:val="4220623E"/>
    <w:rsid w:val="4226071D"/>
    <w:rsid w:val="42330CE7"/>
    <w:rsid w:val="423821FE"/>
    <w:rsid w:val="424C4C09"/>
    <w:rsid w:val="4254392F"/>
    <w:rsid w:val="425B768F"/>
    <w:rsid w:val="426B720D"/>
    <w:rsid w:val="42701998"/>
    <w:rsid w:val="428321EF"/>
    <w:rsid w:val="4286740D"/>
    <w:rsid w:val="42892644"/>
    <w:rsid w:val="428A7B32"/>
    <w:rsid w:val="429A7093"/>
    <w:rsid w:val="429A76AC"/>
    <w:rsid w:val="42A76B06"/>
    <w:rsid w:val="42A93909"/>
    <w:rsid w:val="42AD52B2"/>
    <w:rsid w:val="42B32AAD"/>
    <w:rsid w:val="42B71734"/>
    <w:rsid w:val="42B86941"/>
    <w:rsid w:val="42BC698B"/>
    <w:rsid w:val="42BF195C"/>
    <w:rsid w:val="42CC3DFF"/>
    <w:rsid w:val="42D02437"/>
    <w:rsid w:val="42D40179"/>
    <w:rsid w:val="42D737C5"/>
    <w:rsid w:val="42DC7863"/>
    <w:rsid w:val="42E42D48"/>
    <w:rsid w:val="42E83C24"/>
    <w:rsid w:val="42F81366"/>
    <w:rsid w:val="430A7047"/>
    <w:rsid w:val="43157D26"/>
    <w:rsid w:val="431920F3"/>
    <w:rsid w:val="431A3863"/>
    <w:rsid w:val="43223EC8"/>
    <w:rsid w:val="4329362C"/>
    <w:rsid w:val="433160C7"/>
    <w:rsid w:val="43317379"/>
    <w:rsid w:val="43397DE8"/>
    <w:rsid w:val="43410F50"/>
    <w:rsid w:val="4341198E"/>
    <w:rsid w:val="43452E25"/>
    <w:rsid w:val="434E1DB1"/>
    <w:rsid w:val="43536554"/>
    <w:rsid w:val="43537B5E"/>
    <w:rsid w:val="43556CA5"/>
    <w:rsid w:val="4356618F"/>
    <w:rsid w:val="436C76AE"/>
    <w:rsid w:val="43710B5F"/>
    <w:rsid w:val="437B4FD1"/>
    <w:rsid w:val="437F411E"/>
    <w:rsid w:val="43853221"/>
    <w:rsid w:val="43864C8C"/>
    <w:rsid w:val="438A541B"/>
    <w:rsid w:val="438F7452"/>
    <w:rsid w:val="43903286"/>
    <w:rsid w:val="43972F54"/>
    <w:rsid w:val="43A32A80"/>
    <w:rsid w:val="43AA2D86"/>
    <w:rsid w:val="43AD1BA2"/>
    <w:rsid w:val="43B03AF0"/>
    <w:rsid w:val="43BA62BC"/>
    <w:rsid w:val="43C43746"/>
    <w:rsid w:val="43CF7D82"/>
    <w:rsid w:val="43D16C6D"/>
    <w:rsid w:val="43E02682"/>
    <w:rsid w:val="43E85F2B"/>
    <w:rsid w:val="43F30C80"/>
    <w:rsid w:val="43F45810"/>
    <w:rsid w:val="43F477B8"/>
    <w:rsid w:val="43F6778C"/>
    <w:rsid w:val="43F955DA"/>
    <w:rsid w:val="440452E5"/>
    <w:rsid w:val="440933B5"/>
    <w:rsid w:val="440F117C"/>
    <w:rsid w:val="44212DFF"/>
    <w:rsid w:val="4439400C"/>
    <w:rsid w:val="443F79A1"/>
    <w:rsid w:val="44410337"/>
    <w:rsid w:val="44436036"/>
    <w:rsid w:val="444C0775"/>
    <w:rsid w:val="445C07AC"/>
    <w:rsid w:val="446B0669"/>
    <w:rsid w:val="44727C49"/>
    <w:rsid w:val="44776BD6"/>
    <w:rsid w:val="447A5F85"/>
    <w:rsid w:val="44801914"/>
    <w:rsid w:val="44855C27"/>
    <w:rsid w:val="448E6105"/>
    <w:rsid w:val="4491249F"/>
    <w:rsid w:val="44917E58"/>
    <w:rsid w:val="449556E6"/>
    <w:rsid w:val="449A7A08"/>
    <w:rsid w:val="449B69D0"/>
    <w:rsid w:val="44A26055"/>
    <w:rsid w:val="44AC2A30"/>
    <w:rsid w:val="44B00772"/>
    <w:rsid w:val="44B71B00"/>
    <w:rsid w:val="44B83B16"/>
    <w:rsid w:val="44B94074"/>
    <w:rsid w:val="44CC3666"/>
    <w:rsid w:val="44EB114B"/>
    <w:rsid w:val="44EB7ADD"/>
    <w:rsid w:val="44F10492"/>
    <w:rsid w:val="44F370A9"/>
    <w:rsid w:val="44F468B0"/>
    <w:rsid w:val="44F6398F"/>
    <w:rsid w:val="44FC7513"/>
    <w:rsid w:val="44FD328B"/>
    <w:rsid w:val="4508410A"/>
    <w:rsid w:val="450B1B4F"/>
    <w:rsid w:val="45101210"/>
    <w:rsid w:val="45121B01"/>
    <w:rsid w:val="45144E13"/>
    <w:rsid w:val="45154A79"/>
    <w:rsid w:val="451A10C9"/>
    <w:rsid w:val="451E1B7F"/>
    <w:rsid w:val="451F4814"/>
    <w:rsid w:val="45322415"/>
    <w:rsid w:val="45343151"/>
    <w:rsid w:val="453D27DA"/>
    <w:rsid w:val="453F6E28"/>
    <w:rsid w:val="45504348"/>
    <w:rsid w:val="45565EE6"/>
    <w:rsid w:val="45566CB6"/>
    <w:rsid w:val="45585EFE"/>
    <w:rsid w:val="45612761"/>
    <w:rsid w:val="4564617E"/>
    <w:rsid w:val="456926CF"/>
    <w:rsid w:val="456D298D"/>
    <w:rsid w:val="456F4189"/>
    <w:rsid w:val="456F5F37"/>
    <w:rsid w:val="45715A81"/>
    <w:rsid w:val="458F0387"/>
    <w:rsid w:val="458F3DA1"/>
    <w:rsid w:val="45912351"/>
    <w:rsid w:val="45943BEF"/>
    <w:rsid w:val="45957044"/>
    <w:rsid w:val="45962409"/>
    <w:rsid w:val="45965BB9"/>
    <w:rsid w:val="45981F3C"/>
    <w:rsid w:val="45991206"/>
    <w:rsid w:val="45997458"/>
    <w:rsid w:val="459B5059"/>
    <w:rsid w:val="45A03F59"/>
    <w:rsid w:val="45A831F7"/>
    <w:rsid w:val="45B34405"/>
    <w:rsid w:val="45C07A37"/>
    <w:rsid w:val="45C85647"/>
    <w:rsid w:val="45CD7101"/>
    <w:rsid w:val="45D160A9"/>
    <w:rsid w:val="45D87924"/>
    <w:rsid w:val="45EC6CE6"/>
    <w:rsid w:val="45EE1552"/>
    <w:rsid w:val="45EE30CE"/>
    <w:rsid w:val="461D64FB"/>
    <w:rsid w:val="46274A64"/>
    <w:rsid w:val="463648E9"/>
    <w:rsid w:val="464253F9"/>
    <w:rsid w:val="46491939"/>
    <w:rsid w:val="46535859"/>
    <w:rsid w:val="46607F75"/>
    <w:rsid w:val="466247F2"/>
    <w:rsid w:val="46696E2A"/>
    <w:rsid w:val="46790ADF"/>
    <w:rsid w:val="46873754"/>
    <w:rsid w:val="468A6DA0"/>
    <w:rsid w:val="469203F9"/>
    <w:rsid w:val="46A25C36"/>
    <w:rsid w:val="46A51334"/>
    <w:rsid w:val="46A9225B"/>
    <w:rsid w:val="46AC4F69"/>
    <w:rsid w:val="46BC781A"/>
    <w:rsid w:val="46C77B24"/>
    <w:rsid w:val="46C92EF6"/>
    <w:rsid w:val="46CA5F1E"/>
    <w:rsid w:val="46CE23DF"/>
    <w:rsid w:val="46D67F50"/>
    <w:rsid w:val="46E62384"/>
    <w:rsid w:val="46E7395C"/>
    <w:rsid w:val="46F14EEF"/>
    <w:rsid w:val="46F16FC5"/>
    <w:rsid w:val="46F32FC3"/>
    <w:rsid w:val="46F93FAB"/>
    <w:rsid w:val="47037071"/>
    <w:rsid w:val="4707219F"/>
    <w:rsid w:val="470E1780"/>
    <w:rsid w:val="47166879"/>
    <w:rsid w:val="471741F3"/>
    <w:rsid w:val="4717516D"/>
    <w:rsid w:val="47186BFB"/>
    <w:rsid w:val="47207C7B"/>
    <w:rsid w:val="472E6063"/>
    <w:rsid w:val="472F533E"/>
    <w:rsid w:val="4732546E"/>
    <w:rsid w:val="473731F8"/>
    <w:rsid w:val="47481EC4"/>
    <w:rsid w:val="475950F1"/>
    <w:rsid w:val="47595427"/>
    <w:rsid w:val="475A0F43"/>
    <w:rsid w:val="475E6263"/>
    <w:rsid w:val="47617B01"/>
    <w:rsid w:val="47685B93"/>
    <w:rsid w:val="476D294A"/>
    <w:rsid w:val="477041E8"/>
    <w:rsid w:val="477261B2"/>
    <w:rsid w:val="47762884"/>
    <w:rsid w:val="478B1B1F"/>
    <w:rsid w:val="47906312"/>
    <w:rsid w:val="47A12458"/>
    <w:rsid w:val="47AE0645"/>
    <w:rsid w:val="47AE7E19"/>
    <w:rsid w:val="47B17848"/>
    <w:rsid w:val="47B9635A"/>
    <w:rsid w:val="47C46F79"/>
    <w:rsid w:val="47D1249A"/>
    <w:rsid w:val="47D14E3C"/>
    <w:rsid w:val="47E26A4A"/>
    <w:rsid w:val="47E30228"/>
    <w:rsid w:val="47E8201B"/>
    <w:rsid w:val="47E86474"/>
    <w:rsid w:val="47ED5081"/>
    <w:rsid w:val="47FD1C99"/>
    <w:rsid w:val="481132D5"/>
    <w:rsid w:val="48151DFF"/>
    <w:rsid w:val="48177D5A"/>
    <w:rsid w:val="481E3C44"/>
    <w:rsid w:val="48230E62"/>
    <w:rsid w:val="48240F71"/>
    <w:rsid w:val="48254FD3"/>
    <w:rsid w:val="482A25E9"/>
    <w:rsid w:val="4831773D"/>
    <w:rsid w:val="48383643"/>
    <w:rsid w:val="483B2A48"/>
    <w:rsid w:val="484359E3"/>
    <w:rsid w:val="48457423"/>
    <w:rsid w:val="484578A4"/>
    <w:rsid w:val="48463DC2"/>
    <w:rsid w:val="48482514"/>
    <w:rsid w:val="484A1B4B"/>
    <w:rsid w:val="484C255F"/>
    <w:rsid w:val="485737AE"/>
    <w:rsid w:val="48604DA3"/>
    <w:rsid w:val="486050DE"/>
    <w:rsid w:val="486176F0"/>
    <w:rsid w:val="48691363"/>
    <w:rsid w:val="48701EA5"/>
    <w:rsid w:val="48780990"/>
    <w:rsid w:val="487A6E4A"/>
    <w:rsid w:val="487F6A9B"/>
    <w:rsid w:val="4888027D"/>
    <w:rsid w:val="48947BBD"/>
    <w:rsid w:val="489850F6"/>
    <w:rsid w:val="489B27C5"/>
    <w:rsid w:val="489B34E7"/>
    <w:rsid w:val="48A25E13"/>
    <w:rsid w:val="48A71E8C"/>
    <w:rsid w:val="48AE6D76"/>
    <w:rsid w:val="48AF018B"/>
    <w:rsid w:val="48B523EF"/>
    <w:rsid w:val="48B56F6C"/>
    <w:rsid w:val="48B87AB8"/>
    <w:rsid w:val="48BB132D"/>
    <w:rsid w:val="48BC31D4"/>
    <w:rsid w:val="48BF3E0A"/>
    <w:rsid w:val="48BF5427"/>
    <w:rsid w:val="48C2431F"/>
    <w:rsid w:val="48CA52B0"/>
    <w:rsid w:val="48CB4577"/>
    <w:rsid w:val="48CD641C"/>
    <w:rsid w:val="48CD674E"/>
    <w:rsid w:val="48D34CEE"/>
    <w:rsid w:val="48DD3AFF"/>
    <w:rsid w:val="48DD7B03"/>
    <w:rsid w:val="48E22EC4"/>
    <w:rsid w:val="48E62612"/>
    <w:rsid w:val="48E629B4"/>
    <w:rsid w:val="48E828E7"/>
    <w:rsid w:val="48EA5BC1"/>
    <w:rsid w:val="48EB4404"/>
    <w:rsid w:val="48ED0B47"/>
    <w:rsid w:val="48F212BE"/>
    <w:rsid w:val="48F22724"/>
    <w:rsid w:val="48F42E29"/>
    <w:rsid w:val="48F6071D"/>
    <w:rsid w:val="48FF3FE4"/>
    <w:rsid w:val="490648C8"/>
    <w:rsid w:val="49080B7C"/>
    <w:rsid w:val="490F1EEF"/>
    <w:rsid w:val="49180A9B"/>
    <w:rsid w:val="491C2C2F"/>
    <w:rsid w:val="491C3609"/>
    <w:rsid w:val="49276855"/>
    <w:rsid w:val="492E7EB7"/>
    <w:rsid w:val="493556E9"/>
    <w:rsid w:val="49382AE4"/>
    <w:rsid w:val="493A285B"/>
    <w:rsid w:val="49423962"/>
    <w:rsid w:val="49482783"/>
    <w:rsid w:val="494F3168"/>
    <w:rsid w:val="49554BE1"/>
    <w:rsid w:val="49580552"/>
    <w:rsid w:val="496A6BED"/>
    <w:rsid w:val="4970227E"/>
    <w:rsid w:val="49710949"/>
    <w:rsid w:val="49731BCB"/>
    <w:rsid w:val="497467A8"/>
    <w:rsid w:val="49811526"/>
    <w:rsid w:val="498209CF"/>
    <w:rsid w:val="49843E14"/>
    <w:rsid w:val="498A49A4"/>
    <w:rsid w:val="49AA0075"/>
    <w:rsid w:val="49AD6334"/>
    <w:rsid w:val="49B230DD"/>
    <w:rsid w:val="49B37092"/>
    <w:rsid w:val="49C65640"/>
    <w:rsid w:val="49D00DC5"/>
    <w:rsid w:val="49D97E23"/>
    <w:rsid w:val="49DB0476"/>
    <w:rsid w:val="49E30CA1"/>
    <w:rsid w:val="49E52C6C"/>
    <w:rsid w:val="49E62540"/>
    <w:rsid w:val="49EC7A1D"/>
    <w:rsid w:val="49F27137"/>
    <w:rsid w:val="49F570D9"/>
    <w:rsid w:val="49F66C27"/>
    <w:rsid w:val="4A0062BB"/>
    <w:rsid w:val="4A0C2074"/>
    <w:rsid w:val="4A116FD8"/>
    <w:rsid w:val="4A117D9D"/>
    <w:rsid w:val="4A121587"/>
    <w:rsid w:val="4A162E25"/>
    <w:rsid w:val="4A196E79"/>
    <w:rsid w:val="4A1E1CDA"/>
    <w:rsid w:val="4A211AF6"/>
    <w:rsid w:val="4A235A4E"/>
    <w:rsid w:val="4A24383D"/>
    <w:rsid w:val="4A2F038B"/>
    <w:rsid w:val="4A3140D8"/>
    <w:rsid w:val="4A3459D1"/>
    <w:rsid w:val="4A4200BE"/>
    <w:rsid w:val="4A482FDB"/>
    <w:rsid w:val="4A4A0D22"/>
    <w:rsid w:val="4A535A86"/>
    <w:rsid w:val="4A54703F"/>
    <w:rsid w:val="4A5804B6"/>
    <w:rsid w:val="4A5B3A9F"/>
    <w:rsid w:val="4A5E2A1E"/>
    <w:rsid w:val="4A677F4D"/>
    <w:rsid w:val="4A6D7FA4"/>
    <w:rsid w:val="4A7F3061"/>
    <w:rsid w:val="4A830D27"/>
    <w:rsid w:val="4A8415B1"/>
    <w:rsid w:val="4A8F4780"/>
    <w:rsid w:val="4A954692"/>
    <w:rsid w:val="4AA246B9"/>
    <w:rsid w:val="4AA448D5"/>
    <w:rsid w:val="4AB34B18"/>
    <w:rsid w:val="4AB44216"/>
    <w:rsid w:val="4AB50890"/>
    <w:rsid w:val="4AB84FEA"/>
    <w:rsid w:val="4ABA448F"/>
    <w:rsid w:val="4ABC61FC"/>
    <w:rsid w:val="4AC34A65"/>
    <w:rsid w:val="4AC565F9"/>
    <w:rsid w:val="4ACA61C7"/>
    <w:rsid w:val="4AD07993"/>
    <w:rsid w:val="4AD55B10"/>
    <w:rsid w:val="4ADC00D6"/>
    <w:rsid w:val="4ADF42D7"/>
    <w:rsid w:val="4AE25FF8"/>
    <w:rsid w:val="4AEF09B8"/>
    <w:rsid w:val="4AF74ADD"/>
    <w:rsid w:val="4B0F6F4D"/>
    <w:rsid w:val="4B146D88"/>
    <w:rsid w:val="4B1923E5"/>
    <w:rsid w:val="4B1B7074"/>
    <w:rsid w:val="4B2B08B4"/>
    <w:rsid w:val="4B3454E4"/>
    <w:rsid w:val="4B377676"/>
    <w:rsid w:val="4B3C29B6"/>
    <w:rsid w:val="4B3F79B7"/>
    <w:rsid w:val="4B423440"/>
    <w:rsid w:val="4B555C31"/>
    <w:rsid w:val="4B5861CE"/>
    <w:rsid w:val="4B5A712B"/>
    <w:rsid w:val="4B5C51AF"/>
    <w:rsid w:val="4B5F54B0"/>
    <w:rsid w:val="4B6202EC"/>
    <w:rsid w:val="4B682440"/>
    <w:rsid w:val="4B6A1BE3"/>
    <w:rsid w:val="4B7C13AE"/>
    <w:rsid w:val="4B7E7695"/>
    <w:rsid w:val="4B882F10"/>
    <w:rsid w:val="4B8926B1"/>
    <w:rsid w:val="4B8D20F8"/>
    <w:rsid w:val="4B9C45C1"/>
    <w:rsid w:val="4B9D5C0C"/>
    <w:rsid w:val="4BA72512"/>
    <w:rsid w:val="4BB31D91"/>
    <w:rsid w:val="4BB5041C"/>
    <w:rsid w:val="4BB943B0"/>
    <w:rsid w:val="4BBC5AC7"/>
    <w:rsid w:val="4BC3109F"/>
    <w:rsid w:val="4BC36FDC"/>
    <w:rsid w:val="4BC44E0D"/>
    <w:rsid w:val="4BC66ACD"/>
    <w:rsid w:val="4BD034A7"/>
    <w:rsid w:val="4BD048BE"/>
    <w:rsid w:val="4BD632B9"/>
    <w:rsid w:val="4BE23A6B"/>
    <w:rsid w:val="4BE74BEC"/>
    <w:rsid w:val="4BE965B6"/>
    <w:rsid w:val="4BEE3EE1"/>
    <w:rsid w:val="4BF03B4A"/>
    <w:rsid w:val="4BF37E67"/>
    <w:rsid w:val="4BF5144B"/>
    <w:rsid w:val="4BFF0BB9"/>
    <w:rsid w:val="4C047AC6"/>
    <w:rsid w:val="4C080E93"/>
    <w:rsid w:val="4C0B2731"/>
    <w:rsid w:val="4C156BCA"/>
    <w:rsid w:val="4C207F8B"/>
    <w:rsid w:val="4C2B3759"/>
    <w:rsid w:val="4C581C45"/>
    <w:rsid w:val="4C623ADB"/>
    <w:rsid w:val="4C6961C6"/>
    <w:rsid w:val="4C6C22FC"/>
    <w:rsid w:val="4C6D5A2A"/>
    <w:rsid w:val="4C767B34"/>
    <w:rsid w:val="4C7A1154"/>
    <w:rsid w:val="4C7B3413"/>
    <w:rsid w:val="4C7C31EA"/>
    <w:rsid w:val="4C7D362F"/>
    <w:rsid w:val="4C7E1155"/>
    <w:rsid w:val="4C7E73A7"/>
    <w:rsid w:val="4C804ECE"/>
    <w:rsid w:val="4C8554DD"/>
    <w:rsid w:val="4C88285A"/>
    <w:rsid w:val="4C942475"/>
    <w:rsid w:val="4C9C159D"/>
    <w:rsid w:val="4CA2142F"/>
    <w:rsid w:val="4CB6655C"/>
    <w:rsid w:val="4CB73E4F"/>
    <w:rsid w:val="4CC329A2"/>
    <w:rsid w:val="4CDF13AC"/>
    <w:rsid w:val="4CE44D9F"/>
    <w:rsid w:val="4CE960BB"/>
    <w:rsid w:val="4CEA5226"/>
    <w:rsid w:val="4CF17B79"/>
    <w:rsid w:val="4D016156"/>
    <w:rsid w:val="4D02299E"/>
    <w:rsid w:val="4D023B34"/>
    <w:rsid w:val="4D0258E3"/>
    <w:rsid w:val="4D0653CA"/>
    <w:rsid w:val="4D0D0E37"/>
    <w:rsid w:val="4D0D695E"/>
    <w:rsid w:val="4D113D78"/>
    <w:rsid w:val="4D14442F"/>
    <w:rsid w:val="4D16603F"/>
    <w:rsid w:val="4D1D16ED"/>
    <w:rsid w:val="4D1E2DAC"/>
    <w:rsid w:val="4D331F40"/>
    <w:rsid w:val="4D493511"/>
    <w:rsid w:val="4D4B227E"/>
    <w:rsid w:val="4D4D338A"/>
    <w:rsid w:val="4D4D6F1E"/>
    <w:rsid w:val="4D4E6D7A"/>
    <w:rsid w:val="4D5259D5"/>
    <w:rsid w:val="4D5C1497"/>
    <w:rsid w:val="4D5E4583"/>
    <w:rsid w:val="4D6B3488"/>
    <w:rsid w:val="4D721F65"/>
    <w:rsid w:val="4D73771A"/>
    <w:rsid w:val="4D783DF7"/>
    <w:rsid w:val="4D7A21FD"/>
    <w:rsid w:val="4D82460E"/>
    <w:rsid w:val="4D866514"/>
    <w:rsid w:val="4D8D78A2"/>
    <w:rsid w:val="4D9146B3"/>
    <w:rsid w:val="4D9549A9"/>
    <w:rsid w:val="4D97249F"/>
    <w:rsid w:val="4DA35BE5"/>
    <w:rsid w:val="4DAC62C6"/>
    <w:rsid w:val="4DBB187B"/>
    <w:rsid w:val="4DDE3611"/>
    <w:rsid w:val="4DDE36D5"/>
    <w:rsid w:val="4DDE46EF"/>
    <w:rsid w:val="4DEB2367"/>
    <w:rsid w:val="4DF27608"/>
    <w:rsid w:val="4E0840B5"/>
    <w:rsid w:val="4E0D27AA"/>
    <w:rsid w:val="4E121D51"/>
    <w:rsid w:val="4E131F3A"/>
    <w:rsid w:val="4E1C7C1C"/>
    <w:rsid w:val="4E241749"/>
    <w:rsid w:val="4E255D2C"/>
    <w:rsid w:val="4E2F3073"/>
    <w:rsid w:val="4E331A18"/>
    <w:rsid w:val="4E375A60"/>
    <w:rsid w:val="4E4350E9"/>
    <w:rsid w:val="4E537920"/>
    <w:rsid w:val="4E555954"/>
    <w:rsid w:val="4E721B60"/>
    <w:rsid w:val="4E734F8F"/>
    <w:rsid w:val="4E772300"/>
    <w:rsid w:val="4E821769"/>
    <w:rsid w:val="4E8B6898"/>
    <w:rsid w:val="4E8D38D2"/>
    <w:rsid w:val="4E931D00"/>
    <w:rsid w:val="4E9327BD"/>
    <w:rsid w:val="4EA63CE8"/>
    <w:rsid w:val="4EA67795"/>
    <w:rsid w:val="4EAF48AA"/>
    <w:rsid w:val="4EB279C9"/>
    <w:rsid w:val="4EB6433D"/>
    <w:rsid w:val="4EBD6D93"/>
    <w:rsid w:val="4EBF5F82"/>
    <w:rsid w:val="4EC015B1"/>
    <w:rsid w:val="4EC12182"/>
    <w:rsid w:val="4ED52B67"/>
    <w:rsid w:val="4ED92118"/>
    <w:rsid w:val="4EDA5E36"/>
    <w:rsid w:val="4EE7311E"/>
    <w:rsid w:val="4EEE723C"/>
    <w:rsid w:val="4EF320A0"/>
    <w:rsid w:val="4F087956"/>
    <w:rsid w:val="4F094A9E"/>
    <w:rsid w:val="4F1212A3"/>
    <w:rsid w:val="4F1D57EB"/>
    <w:rsid w:val="4F2A39EC"/>
    <w:rsid w:val="4F311B14"/>
    <w:rsid w:val="4F321354"/>
    <w:rsid w:val="4F327331"/>
    <w:rsid w:val="4F381A8F"/>
    <w:rsid w:val="4F5368C9"/>
    <w:rsid w:val="4F5979CB"/>
    <w:rsid w:val="4F5F49C4"/>
    <w:rsid w:val="4F6D25F9"/>
    <w:rsid w:val="4F744081"/>
    <w:rsid w:val="4F766114"/>
    <w:rsid w:val="4F7B372A"/>
    <w:rsid w:val="4F7C39A7"/>
    <w:rsid w:val="4F7F76BE"/>
    <w:rsid w:val="4F8E136D"/>
    <w:rsid w:val="4F920444"/>
    <w:rsid w:val="4F950B0E"/>
    <w:rsid w:val="4F9E4811"/>
    <w:rsid w:val="4FA51312"/>
    <w:rsid w:val="4FA7451F"/>
    <w:rsid w:val="4FB47FD6"/>
    <w:rsid w:val="4FBA5581"/>
    <w:rsid w:val="4FBA60A3"/>
    <w:rsid w:val="4FC3320E"/>
    <w:rsid w:val="4FC3725F"/>
    <w:rsid w:val="4FC864A4"/>
    <w:rsid w:val="4FC9420B"/>
    <w:rsid w:val="4FCB0034"/>
    <w:rsid w:val="4FDE13FD"/>
    <w:rsid w:val="4FE5239D"/>
    <w:rsid w:val="4FE6773D"/>
    <w:rsid w:val="4FEA269F"/>
    <w:rsid w:val="4FEC0E2A"/>
    <w:rsid w:val="4FF0487B"/>
    <w:rsid w:val="4FF25FC4"/>
    <w:rsid w:val="4FF260E2"/>
    <w:rsid w:val="4FF43C08"/>
    <w:rsid w:val="4FFF2A60"/>
    <w:rsid w:val="5004520D"/>
    <w:rsid w:val="500D6A78"/>
    <w:rsid w:val="50121667"/>
    <w:rsid w:val="50130483"/>
    <w:rsid w:val="50157ED0"/>
    <w:rsid w:val="50206009"/>
    <w:rsid w:val="50234336"/>
    <w:rsid w:val="502A714C"/>
    <w:rsid w:val="502B33A2"/>
    <w:rsid w:val="50357D7D"/>
    <w:rsid w:val="50377F99"/>
    <w:rsid w:val="5044508F"/>
    <w:rsid w:val="50521378"/>
    <w:rsid w:val="50534132"/>
    <w:rsid w:val="5055041F"/>
    <w:rsid w:val="505722FA"/>
    <w:rsid w:val="505E5526"/>
    <w:rsid w:val="505E7184"/>
    <w:rsid w:val="50616DC4"/>
    <w:rsid w:val="50665C75"/>
    <w:rsid w:val="50700DB5"/>
    <w:rsid w:val="50707269"/>
    <w:rsid w:val="507761F3"/>
    <w:rsid w:val="507A1C34"/>
    <w:rsid w:val="50800883"/>
    <w:rsid w:val="50811214"/>
    <w:rsid w:val="50852AB2"/>
    <w:rsid w:val="508710FB"/>
    <w:rsid w:val="50A02428"/>
    <w:rsid w:val="50A218B6"/>
    <w:rsid w:val="50A310A9"/>
    <w:rsid w:val="50A373DC"/>
    <w:rsid w:val="50A62359"/>
    <w:rsid w:val="50AC149B"/>
    <w:rsid w:val="50C80BF1"/>
    <w:rsid w:val="50CC3A85"/>
    <w:rsid w:val="50CF3D2E"/>
    <w:rsid w:val="50D457E8"/>
    <w:rsid w:val="50DE21C3"/>
    <w:rsid w:val="50E82ABB"/>
    <w:rsid w:val="50EC1DD2"/>
    <w:rsid w:val="50F051B9"/>
    <w:rsid w:val="50F33EC0"/>
    <w:rsid w:val="50F43794"/>
    <w:rsid w:val="50F82FAC"/>
    <w:rsid w:val="50FF48D0"/>
    <w:rsid w:val="5116195C"/>
    <w:rsid w:val="511F5F83"/>
    <w:rsid w:val="51260B6A"/>
    <w:rsid w:val="513B4DF7"/>
    <w:rsid w:val="51422751"/>
    <w:rsid w:val="514B3F6A"/>
    <w:rsid w:val="5150517C"/>
    <w:rsid w:val="515626A1"/>
    <w:rsid w:val="5156444F"/>
    <w:rsid w:val="515669E7"/>
    <w:rsid w:val="515A4308"/>
    <w:rsid w:val="5160707C"/>
    <w:rsid w:val="5167040A"/>
    <w:rsid w:val="516A4ADC"/>
    <w:rsid w:val="5172656E"/>
    <w:rsid w:val="51810005"/>
    <w:rsid w:val="51825244"/>
    <w:rsid w:val="51826DFB"/>
    <w:rsid w:val="51880507"/>
    <w:rsid w:val="518813FC"/>
    <w:rsid w:val="518D06A0"/>
    <w:rsid w:val="519061B9"/>
    <w:rsid w:val="519A07DF"/>
    <w:rsid w:val="519F2884"/>
    <w:rsid w:val="51A53C9E"/>
    <w:rsid w:val="51A62D85"/>
    <w:rsid w:val="51AA5240"/>
    <w:rsid w:val="51B855E6"/>
    <w:rsid w:val="51B92CCF"/>
    <w:rsid w:val="51BA1226"/>
    <w:rsid w:val="51BA263B"/>
    <w:rsid w:val="51C4447B"/>
    <w:rsid w:val="51C92E73"/>
    <w:rsid w:val="51CC64BF"/>
    <w:rsid w:val="51DA64ED"/>
    <w:rsid w:val="51DB7F4F"/>
    <w:rsid w:val="51DD247A"/>
    <w:rsid w:val="51DE160C"/>
    <w:rsid w:val="51E8486B"/>
    <w:rsid w:val="51EC090F"/>
    <w:rsid w:val="51EF6702"/>
    <w:rsid w:val="51F21DCD"/>
    <w:rsid w:val="51F67DA1"/>
    <w:rsid w:val="51FD0BB6"/>
    <w:rsid w:val="520818B6"/>
    <w:rsid w:val="520A6C76"/>
    <w:rsid w:val="520C5713"/>
    <w:rsid w:val="521100A8"/>
    <w:rsid w:val="521F0CE5"/>
    <w:rsid w:val="5224454D"/>
    <w:rsid w:val="5227192A"/>
    <w:rsid w:val="522C3CE1"/>
    <w:rsid w:val="522D3402"/>
    <w:rsid w:val="52320A18"/>
    <w:rsid w:val="52391DB4"/>
    <w:rsid w:val="523B771C"/>
    <w:rsid w:val="523F4EE3"/>
    <w:rsid w:val="524546A2"/>
    <w:rsid w:val="5247354A"/>
    <w:rsid w:val="52525677"/>
    <w:rsid w:val="526A11AC"/>
    <w:rsid w:val="526B7928"/>
    <w:rsid w:val="526D6907"/>
    <w:rsid w:val="527C6137"/>
    <w:rsid w:val="527C758B"/>
    <w:rsid w:val="527E556C"/>
    <w:rsid w:val="529C0587"/>
    <w:rsid w:val="52A15B9E"/>
    <w:rsid w:val="52AD718C"/>
    <w:rsid w:val="52AE78A0"/>
    <w:rsid w:val="52B96A43"/>
    <w:rsid w:val="52C02D79"/>
    <w:rsid w:val="52CE17AF"/>
    <w:rsid w:val="52D41ACF"/>
    <w:rsid w:val="52E431D7"/>
    <w:rsid w:val="52E502A3"/>
    <w:rsid w:val="52E63A37"/>
    <w:rsid w:val="52EB483D"/>
    <w:rsid w:val="52ED4375"/>
    <w:rsid w:val="52ED6537"/>
    <w:rsid w:val="52EF3D6F"/>
    <w:rsid w:val="52F11DEE"/>
    <w:rsid w:val="52F537F4"/>
    <w:rsid w:val="52F932E4"/>
    <w:rsid w:val="52FA615D"/>
    <w:rsid w:val="52FE35FA"/>
    <w:rsid w:val="5300759F"/>
    <w:rsid w:val="530321A3"/>
    <w:rsid w:val="53086C68"/>
    <w:rsid w:val="530A48DD"/>
    <w:rsid w:val="53116579"/>
    <w:rsid w:val="531A55EE"/>
    <w:rsid w:val="531C00D0"/>
    <w:rsid w:val="53206076"/>
    <w:rsid w:val="53226CDE"/>
    <w:rsid w:val="53271025"/>
    <w:rsid w:val="53353F57"/>
    <w:rsid w:val="53364538"/>
    <w:rsid w:val="53380FA9"/>
    <w:rsid w:val="533A4B08"/>
    <w:rsid w:val="534529CD"/>
    <w:rsid w:val="53486019"/>
    <w:rsid w:val="535022B4"/>
    <w:rsid w:val="535075B2"/>
    <w:rsid w:val="53536636"/>
    <w:rsid w:val="535A55E1"/>
    <w:rsid w:val="535C1828"/>
    <w:rsid w:val="53603363"/>
    <w:rsid w:val="536A41E2"/>
    <w:rsid w:val="536C0605"/>
    <w:rsid w:val="536E636E"/>
    <w:rsid w:val="536F35A6"/>
    <w:rsid w:val="5377063A"/>
    <w:rsid w:val="53794684"/>
    <w:rsid w:val="537B019D"/>
    <w:rsid w:val="537C1E10"/>
    <w:rsid w:val="537D1A12"/>
    <w:rsid w:val="53913AFC"/>
    <w:rsid w:val="539354E6"/>
    <w:rsid w:val="539A6F28"/>
    <w:rsid w:val="53B631FA"/>
    <w:rsid w:val="53C11F3C"/>
    <w:rsid w:val="53C438F2"/>
    <w:rsid w:val="53C77352"/>
    <w:rsid w:val="53D37FD9"/>
    <w:rsid w:val="53D77DB9"/>
    <w:rsid w:val="53E2599D"/>
    <w:rsid w:val="53EB3ACC"/>
    <w:rsid w:val="53EB7D0C"/>
    <w:rsid w:val="53F549F0"/>
    <w:rsid w:val="53F8359B"/>
    <w:rsid w:val="53FA5565"/>
    <w:rsid w:val="53FD3D0C"/>
    <w:rsid w:val="54103A28"/>
    <w:rsid w:val="5410792C"/>
    <w:rsid w:val="541C1A6F"/>
    <w:rsid w:val="541D1254"/>
    <w:rsid w:val="54206BAB"/>
    <w:rsid w:val="54222492"/>
    <w:rsid w:val="542757CF"/>
    <w:rsid w:val="54284497"/>
    <w:rsid w:val="542B571F"/>
    <w:rsid w:val="542C6F5C"/>
    <w:rsid w:val="542D3B70"/>
    <w:rsid w:val="543433F6"/>
    <w:rsid w:val="5439467A"/>
    <w:rsid w:val="543A32AD"/>
    <w:rsid w:val="5445347D"/>
    <w:rsid w:val="5445601B"/>
    <w:rsid w:val="544B6F68"/>
    <w:rsid w:val="54525277"/>
    <w:rsid w:val="545709BF"/>
    <w:rsid w:val="54624EB9"/>
    <w:rsid w:val="54661FA6"/>
    <w:rsid w:val="54692B85"/>
    <w:rsid w:val="546B4888"/>
    <w:rsid w:val="546C31A2"/>
    <w:rsid w:val="5471215C"/>
    <w:rsid w:val="54780C2F"/>
    <w:rsid w:val="548573BB"/>
    <w:rsid w:val="54877909"/>
    <w:rsid w:val="548E627B"/>
    <w:rsid w:val="549332C4"/>
    <w:rsid w:val="54957CEE"/>
    <w:rsid w:val="5499550F"/>
    <w:rsid w:val="549C03CB"/>
    <w:rsid w:val="54A12CB7"/>
    <w:rsid w:val="54A53D7C"/>
    <w:rsid w:val="54B7249D"/>
    <w:rsid w:val="54C14E3F"/>
    <w:rsid w:val="54C806BA"/>
    <w:rsid w:val="54CC7AC8"/>
    <w:rsid w:val="54CF18AB"/>
    <w:rsid w:val="54D827E0"/>
    <w:rsid w:val="54DA272A"/>
    <w:rsid w:val="54DB06F3"/>
    <w:rsid w:val="54EA7EC3"/>
    <w:rsid w:val="54EB1352"/>
    <w:rsid w:val="54F1026B"/>
    <w:rsid w:val="54F1103D"/>
    <w:rsid w:val="54F25C8B"/>
    <w:rsid w:val="54FE4633"/>
    <w:rsid w:val="55045144"/>
    <w:rsid w:val="55055F70"/>
    <w:rsid w:val="550B1575"/>
    <w:rsid w:val="55166762"/>
    <w:rsid w:val="55185577"/>
    <w:rsid w:val="552F56E3"/>
    <w:rsid w:val="55320D2F"/>
    <w:rsid w:val="5532240D"/>
    <w:rsid w:val="553623F6"/>
    <w:rsid w:val="553739C0"/>
    <w:rsid w:val="55421934"/>
    <w:rsid w:val="55450A62"/>
    <w:rsid w:val="554A0C9E"/>
    <w:rsid w:val="554B166B"/>
    <w:rsid w:val="554F1507"/>
    <w:rsid w:val="554F1BF3"/>
    <w:rsid w:val="55582538"/>
    <w:rsid w:val="555F65A5"/>
    <w:rsid w:val="5564034E"/>
    <w:rsid w:val="5565489D"/>
    <w:rsid w:val="556A56B6"/>
    <w:rsid w:val="556E5D90"/>
    <w:rsid w:val="55752250"/>
    <w:rsid w:val="557E6181"/>
    <w:rsid w:val="5588094F"/>
    <w:rsid w:val="55945546"/>
    <w:rsid w:val="559B27AA"/>
    <w:rsid w:val="55A02195"/>
    <w:rsid w:val="55A41C2D"/>
    <w:rsid w:val="55A75279"/>
    <w:rsid w:val="55A81B76"/>
    <w:rsid w:val="55B00195"/>
    <w:rsid w:val="55B31E70"/>
    <w:rsid w:val="55B73096"/>
    <w:rsid w:val="55B94FAC"/>
    <w:rsid w:val="55BF3799"/>
    <w:rsid w:val="55C36183"/>
    <w:rsid w:val="55C73193"/>
    <w:rsid w:val="55C76818"/>
    <w:rsid w:val="55C961B4"/>
    <w:rsid w:val="55D2625E"/>
    <w:rsid w:val="55DA38A0"/>
    <w:rsid w:val="55DB13C7"/>
    <w:rsid w:val="55EA33B8"/>
    <w:rsid w:val="55EB60B7"/>
    <w:rsid w:val="55EC2AC1"/>
    <w:rsid w:val="55F14746"/>
    <w:rsid w:val="55F221C8"/>
    <w:rsid w:val="55F2604B"/>
    <w:rsid w:val="55F7482D"/>
    <w:rsid w:val="55F74830"/>
    <w:rsid w:val="56026953"/>
    <w:rsid w:val="560468F6"/>
    <w:rsid w:val="560C1580"/>
    <w:rsid w:val="56113843"/>
    <w:rsid w:val="5612548B"/>
    <w:rsid w:val="56144780"/>
    <w:rsid w:val="561F15E3"/>
    <w:rsid w:val="5622420A"/>
    <w:rsid w:val="5624472B"/>
    <w:rsid w:val="562468CA"/>
    <w:rsid w:val="562D6668"/>
    <w:rsid w:val="56312D95"/>
    <w:rsid w:val="5637264E"/>
    <w:rsid w:val="563945B3"/>
    <w:rsid w:val="563F0D72"/>
    <w:rsid w:val="56440687"/>
    <w:rsid w:val="56444AB4"/>
    <w:rsid w:val="56452BCB"/>
    <w:rsid w:val="564C6FD3"/>
    <w:rsid w:val="566025B8"/>
    <w:rsid w:val="56603417"/>
    <w:rsid w:val="56644F18"/>
    <w:rsid w:val="566748DD"/>
    <w:rsid w:val="56785D5C"/>
    <w:rsid w:val="56837A94"/>
    <w:rsid w:val="568836AC"/>
    <w:rsid w:val="56921A85"/>
    <w:rsid w:val="569C0B56"/>
    <w:rsid w:val="569C2AFB"/>
    <w:rsid w:val="56AB6D07"/>
    <w:rsid w:val="56AD2D63"/>
    <w:rsid w:val="56B93E41"/>
    <w:rsid w:val="56D227CA"/>
    <w:rsid w:val="56D402F0"/>
    <w:rsid w:val="56D94391"/>
    <w:rsid w:val="56DE186D"/>
    <w:rsid w:val="56E01FD3"/>
    <w:rsid w:val="56F72ACE"/>
    <w:rsid w:val="56F83D23"/>
    <w:rsid w:val="56FB1D20"/>
    <w:rsid w:val="56FE1948"/>
    <w:rsid w:val="57041072"/>
    <w:rsid w:val="570C4656"/>
    <w:rsid w:val="57154464"/>
    <w:rsid w:val="57174680"/>
    <w:rsid w:val="57347A2F"/>
    <w:rsid w:val="5735698D"/>
    <w:rsid w:val="57380335"/>
    <w:rsid w:val="573F088A"/>
    <w:rsid w:val="573F1A51"/>
    <w:rsid w:val="57481DED"/>
    <w:rsid w:val="574C6B1F"/>
    <w:rsid w:val="574E4D83"/>
    <w:rsid w:val="575718DC"/>
    <w:rsid w:val="57601348"/>
    <w:rsid w:val="57607DD5"/>
    <w:rsid w:val="57686DA9"/>
    <w:rsid w:val="57694C35"/>
    <w:rsid w:val="5774402B"/>
    <w:rsid w:val="5776562B"/>
    <w:rsid w:val="577F4CE4"/>
    <w:rsid w:val="57814294"/>
    <w:rsid w:val="578C633F"/>
    <w:rsid w:val="57945CD1"/>
    <w:rsid w:val="579542E2"/>
    <w:rsid w:val="57A05711"/>
    <w:rsid w:val="57A16CEB"/>
    <w:rsid w:val="57A9177C"/>
    <w:rsid w:val="57AB105E"/>
    <w:rsid w:val="57B10631"/>
    <w:rsid w:val="57B65C47"/>
    <w:rsid w:val="57B679F5"/>
    <w:rsid w:val="57B87ECB"/>
    <w:rsid w:val="57C00175"/>
    <w:rsid w:val="57C204E8"/>
    <w:rsid w:val="57C33EC0"/>
    <w:rsid w:val="57D8796C"/>
    <w:rsid w:val="57DB5B54"/>
    <w:rsid w:val="57E15E8A"/>
    <w:rsid w:val="57E5652D"/>
    <w:rsid w:val="57EF14B5"/>
    <w:rsid w:val="58005114"/>
    <w:rsid w:val="580A7D41"/>
    <w:rsid w:val="58170A85"/>
    <w:rsid w:val="581D5CC6"/>
    <w:rsid w:val="5822723A"/>
    <w:rsid w:val="582818A8"/>
    <w:rsid w:val="5830221D"/>
    <w:rsid w:val="583161A3"/>
    <w:rsid w:val="58337D56"/>
    <w:rsid w:val="583475F3"/>
    <w:rsid w:val="583B614D"/>
    <w:rsid w:val="583E2172"/>
    <w:rsid w:val="584A3CB1"/>
    <w:rsid w:val="5853793A"/>
    <w:rsid w:val="585A69C8"/>
    <w:rsid w:val="585B059D"/>
    <w:rsid w:val="586466E1"/>
    <w:rsid w:val="586618D3"/>
    <w:rsid w:val="58675193"/>
    <w:rsid w:val="5868710C"/>
    <w:rsid w:val="586B4C84"/>
    <w:rsid w:val="58746BD9"/>
    <w:rsid w:val="587F24DD"/>
    <w:rsid w:val="58841452"/>
    <w:rsid w:val="588E2720"/>
    <w:rsid w:val="58942A25"/>
    <w:rsid w:val="58977827"/>
    <w:rsid w:val="589B4229"/>
    <w:rsid w:val="58AD53C5"/>
    <w:rsid w:val="58B531C5"/>
    <w:rsid w:val="58BC5126"/>
    <w:rsid w:val="58BD6086"/>
    <w:rsid w:val="58C6010C"/>
    <w:rsid w:val="58DB6D15"/>
    <w:rsid w:val="58E81E30"/>
    <w:rsid w:val="58F46A27"/>
    <w:rsid w:val="58F479E3"/>
    <w:rsid w:val="58FF22DB"/>
    <w:rsid w:val="590824D3"/>
    <w:rsid w:val="590A2C81"/>
    <w:rsid w:val="590B7C9C"/>
    <w:rsid w:val="5915074C"/>
    <w:rsid w:val="59195665"/>
    <w:rsid w:val="591A49CA"/>
    <w:rsid w:val="591F6673"/>
    <w:rsid w:val="59215342"/>
    <w:rsid w:val="59257140"/>
    <w:rsid w:val="592738E1"/>
    <w:rsid w:val="59305585"/>
    <w:rsid w:val="59361550"/>
    <w:rsid w:val="5947124D"/>
    <w:rsid w:val="594F58B5"/>
    <w:rsid w:val="59545718"/>
    <w:rsid w:val="595C637A"/>
    <w:rsid w:val="59653481"/>
    <w:rsid w:val="59657925"/>
    <w:rsid w:val="59693390"/>
    <w:rsid w:val="5973527B"/>
    <w:rsid w:val="59753252"/>
    <w:rsid w:val="59786A09"/>
    <w:rsid w:val="597914B4"/>
    <w:rsid w:val="5980290A"/>
    <w:rsid w:val="598729A5"/>
    <w:rsid w:val="598A2EE8"/>
    <w:rsid w:val="598A35B0"/>
    <w:rsid w:val="598C0234"/>
    <w:rsid w:val="599124C8"/>
    <w:rsid w:val="599B3347"/>
    <w:rsid w:val="59A01D23"/>
    <w:rsid w:val="59A12B57"/>
    <w:rsid w:val="59A87D08"/>
    <w:rsid w:val="59B17140"/>
    <w:rsid w:val="59B2243E"/>
    <w:rsid w:val="59B43525"/>
    <w:rsid w:val="59B611D6"/>
    <w:rsid w:val="59B678AD"/>
    <w:rsid w:val="59BA0642"/>
    <w:rsid w:val="59BA4AC3"/>
    <w:rsid w:val="59BA76B2"/>
    <w:rsid w:val="59BE19FA"/>
    <w:rsid w:val="59C33FA5"/>
    <w:rsid w:val="59C356A8"/>
    <w:rsid w:val="59C61D34"/>
    <w:rsid w:val="59CF1242"/>
    <w:rsid w:val="59E808B2"/>
    <w:rsid w:val="59E91753"/>
    <w:rsid w:val="59F94AC0"/>
    <w:rsid w:val="59FE6DC7"/>
    <w:rsid w:val="5A013D74"/>
    <w:rsid w:val="5A0802B0"/>
    <w:rsid w:val="5A0C1B4F"/>
    <w:rsid w:val="5A0F6902"/>
    <w:rsid w:val="5A0F707A"/>
    <w:rsid w:val="5A137B38"/>
    <w:rsid w:val="5A1B4488"/>
    <w:rsid w:val="5A1E1882"/>
    <w:rsid w:val="5A221372"/>
    <w:rsid w:val="5A3022F6"/>
    <w:rsid w:val="5A35111C"/>
    <w:rsid w:val="5A357F97"/>
    <w:rsid w:val="5A3B5FA0"/>
    <w:rsid w:val="5A427B73"/>
    <w:rsid w:val="5A47702B"/>
    <w:rsid w:val="5A4F5EDF"/>
    <w:rsid w:val="5A5217AD"/>
    <w:rsid w:val="5A566C15"/>
    <w:rsid w:val="5A5D0617"/>
    <w:rsid w:val="5A6829A7"/>
    <w:rsid w:val="5A7029DE"/>
    <w:rsid w:val="5A764DB1"/>
    <w:rsid w:val="5A79768C"/>
    <w:rsid w:val="5A7D778E"/>
    <w:rsid w:val="5A830771"/>
    <w:rsid w:val="5A871B1D"/>
    <w:rsid w:val="5A8A4D39"/>
    <w:rsid w:val="5A8D5B3C"/>
    <w:rsid w:val="5A900A91"/>
    <w:rsid w:val="5A911684"/>
    <w:rsid w:val="5A955FE8"/>
    <w:rsid w:val="5A971D60"/>
    <w:rsid w:val="5A987886"/>
    <w:rsid w:val="5AA71877"/>
    <w:rsid w:val="5AAB2214"/>
    <w:rsid w:val="5AAC5656"/>
    <w:rsid w:val="5AAC58EC"/>
    <w:rsid w:val="5AAE0E58"/>
    <w:rsid w:val="5AAE2C06"/>
    <w:rsid w:val="5AB61502"/>
    <w:rsid w:val="5AB660D5"/>
    <w:rsid w:val="5AD02E77"/>
    <w:rsid w:val="5AD5099F"/>
    <w:rsid w:val="5AD572B3"/>
    <w:rsid w:val="5ADC59C5"/>
    <w:rsid w:val="5AE76118"/>
    <w:rsid w:val="5AEB6539"/>
    <w:rsid w:val="5AF341FE"/>
    <w:rsid w:val="5AF34ABD"/>
    <w:rsid w:val="5AF56B7C"/>
    <w:rsid w:val="5B026770"/>
    <w:rsid w:val="5B0E7B10"/>
    <w:rsid w:val="5B101A24"/>
    <w:rsid w:val="5B1213E7"/>
    <w:rsid w:val="5B12588A"/>
    <w:rsid w:val="5B141BEC"/>
    <w:rsid w:val="5B14445E"/>
    <w:rsid w:val="5B162D21"/>
    <w:rsid w:val="5B3637FA"/>
    <w:rsid w:val="5B3A6B8F"/>
    <w:rsid w:val="5B3E21DC"/>
    <w:rsid w:val="5B402FBF"/>
    <w:rsid w:val="5B4041A6"/>
    <w:rsid w:val="5B466CB4"/>
    <w:rsid w:val="5B52424E"/>
    <w:rsid w:val="5B547C51"/>
    <w:rsid w:val="5B607464"/>
    <w:rsid w:val="5B6836FC"/>
    <w:rsid w:val="5B8B5DF2"/>
    <w:rsid w:val="5B8E3EFA"/>
    <w:rsid w:val="5B935248"/>
    <w:rsid w:val="5B94004E"/>
    <w:rsid w:val="5B962018"/>
    <w:rsid w:val="5B9938B6"/>
    <w:rsid w:val="5B9B5880"/>
    <w:rsid w:val="5BBB1A7E"/>
    <w:rsid w:val="5BC20A0D"/>
    <w:rsid w:val="5BCD355F"/>
    <w:rsid w:val="5BDE5E3D"/>
    <w:rsid w:val="5BE32D83"/>
    <w:rsid w:val="5BE55D05"/>
    <w:rsid w:val="5BEA7864"/>
    <w:rsid w:val="5BED775E"/>
    <w:rsid w:val="5BF127C1"/>
    <w:rsid w:val="5BF12EF0"/>
    <w:rsid w:val="5BF1724E"/>
    <w:rsid w:val="5BF5277C"/>
    <w:rsid w:val="5BFA12D2"/>
    <w:rsid w:val="5BFE196B"/>
    <w:rsid w:val="5C0351D3"/>
    <w:rsid w:val="5C036F81"/>
    <w:rsid w:val="5C050F4B"/>
    <w:rsid w:val="5C05719D"/>
    <w:rsid w:val="5C0E0F8B"/>
    <w:rsid w:val="5C0E6052"/>
    <w:rsid w:val="5C1318BA"/>
    <w:rsid w:val="5C2102D0"/>
    <w:rsid w:val="5C2E04A2"/>
    <w:rsid w:val="5C304591"/>
    <w:rsid w:val="5C356C4B"/>
    <w:rsid w:val="5C3706D2"/>
    <w:rsid w:val="5C384E7D"/>
    <w:rsid w:val="5C3977B6"/>
    <w:rsid w:val="5C3A119E"/>
    <w:rsid w:val="5C42409E"/>
    <w:rsid w:val="5C4A6B57"/>
    <w:rsid w:val="5C4F2412"/>
    <w:rsid w:val="5C525071"/>
    <w:rsid w:val="5C526D5D"/>
    <w:rsid w:val="5C583771"/>
    <w:rsid w:val="5C593AC2"/>
    <w:rsid w:val="5C685E55"/>
    <w:rsid w:val="5C6A7000"/>
    <w:rsid w:val="5C704E57"/>
    <w:rsid w:val="5C7834CB"/>
    <w:rsid w:val="5C78796F"/>
    <w:rsid w:val="5C787AFD"/>
    <w:rsid w:val="5C7D454D"/>
    <w:rsid w:val="5C82259C"/>
    <w:rsid w:val="5C8F6E70"/>
    <w:rsid w:val="5C98714B"/>
    <w:rsid w:val="5C9B540C"/>
    <w:rsid w:val="5C9C1945"/>
    <w:rsid w:val="5C9D2289"/>
    <w:rsid w:val="5CA415FB"/>
    <w:rsid w:val="5CA74C91"/>
    <w:rsid w:val="5CA83399"/>
    <w:rsid w:val="5CBD0F3E"/>
    <w:rsid w:val="5CC23BA2"/>
    <w:rsid w:val="5CC5181A"/>
    <w:rsid w:val="5CD0702B"/>
    <w:rsid w:val="5CD252D1"/>
    <w:rsid w:val="5CD56B70"/>
    <w:rsid w:val="5CD64696"/>
    <w:rsid w:val="5CDF3213"/>
    <w:rsid w:val="5CE1177F"/>
    <w:rsid w:val="5CE15956"/>
    <w:rsid w:val="5CE17B0A"/>
    <w:rsid w:val="5CF3349A"/>
    <w:rsid w:val="5CF44AE0"/>
    <w:rsid w:val="5CFA0384"/>
    <w:rsid w:val="5D0D6309"/>
    <w:rsid w:val="5D1458EA"/>
    <w:rsid w:val="5D235B2D"/>
    <w:rsid w:val="5D2672BC"/>
    <w:rsid w:val="5D27532B"/>
    <w:rsid w:val="5D301260"/>
    <w:rsid w:val="5D327B1E"/>
    <w:rsid w:val="5D3B6F2A"/>
    <w:rsid w:val="5D3E051F"/>
    <w:rsid w:val="5D441E39"/>
    <w:rsid w:val="5D515259"/>
    <w:rsid w:val="5D584A99"/>
    <w:rsid w:val="5D5C4B9B"/>
    <w:rsid w:val="5D613BCB"/>
    <w:rsid w:val="5D6250B4"/>
    <w:rsid w:val="5D631084"/>
    <w:rsid w:val="5D7E0E10"/>
    <w:rsid w:val="5D7F34E2"/>
    <w:rsid w:val="5D820D7F"/>
    <w:rsid w:val="5D876A04"/>
    <w:rsid w:val="5D884E5F"/>
    <w:rsid w:val="5D8F289A"/>
    <w:rsid w:val="5D9216EA"/>
    <w:rsid w:val="5D943DC1"/>
    <w:rsid w:val="5DA34FE8"/>
    <w:rsid w:val="5DA87DE0"/>
    <w:rsid w:val="5DAC0B1E"/>
    <w:rsid w:val="5DAF3EB2"/>
    <w:rsid w:val="5DB4354B"/>
    <w:rsid w:val="5DB9617C"/>
    <w:rsid w:val="5DBE13B2"/>
    <w:rsid w:val="5DC15346"/>
    <w:rsid w:val="5DC170F4"/>
    <w:rsid w:val="5DC7223B"/>
    <w:rsid w:val="5DD24E5D"/>
    <w:rsid w:val="5DDB5188"/>
    <w:rsid w:val="5DDC146F"/>
    <w:rsid w:val="5DE86870"/>
    <w:rsid w:val="5DF23751"/>
    <w:rsid w:val="5DF272AD"/>
    <w:rsid w:val="5DF64FF0"/>
    <w:rsid w:val="5DFD07C0"/>
    <w:rsid w:val="5E041FD8"/>
    <w:rsid w:val="5E0764B7"/>
    <w:rsid w:val="5E0B017F"/>
    <w:rsid w:val="5E127071"/>
    <w:rsid w:val="5E1611EE"/>
    <w:rsid w:val="5E1704AA"/>
    <w:rsid w:val="5E18474A"/>
    <w:rsid w:val="5E1E3878"/>
    <w:rsid w:val="5E254020"/>
    <w:rsid w:val="5E2A6A47"/>
    <w:rsid w:val="5E2F35DF"/>
    <w:rsid w:val="5E345B18"/>
    <w:rsid w:val="5E3721D5"/>
    <w:rsid w:val="5E39025D"/>
    <w:rsid w:val="5E427006"/>
    <w:rsid w:val="5E4A3516"/>
    <w:rsid w:val="5E4B4B03"/>
    <w:rsid w:val="5E4C4C10"/>
    <w:rsid w:val="5E4C6BBC"/>
    <w:rsid w:val="5E4F1CDA"/>
    <w:rsid w:val="5E5166CA"/>
    <w:rsid w:val="5E536942"/>
    <w:rsid w:val="5E545207"/>
    <w:rsid w:val="5E5810F8"/>
    <w:rsid w:val="5E5E2B95"/>
    <w:rsid w:val="5E60047B"/>
    <w:rsid w:val="5E6155FE"/>
    <w:rsid w:val="5E79352B"/>
    <w:rsid w:val="5E7C38CA"/>
    <w:rsid w:val="5E8124A0"/>
    <w:rsid w:val="5E8E26A4"/>
    <w:rsid w:val="5E9A7A2A"/>
    <w:rsid w:val="5EAA6DD9"/>
    <w:rsid w:val="5EAB402C"/>
    <w:rsid w:val="5EAE7678"/>
    <w:rsid w:val="5EAF6076"/>
    <w:rsid w:val="5EB2314A"/>
    <w:rsid w:val="5EB56C59"/>
    <w:rsid w:val="5EC450EE"/>
    <w:rsid w:val="5EC648CD"/>
    <w:rsid w:val="5EC809F4"/>
    <w:rsid w:val="5EE20946"/>
    <w:rsid w:val="5EFA18BB"/>
    <w:rsid w:val="5EFF1C82"/>
    <w:rsid w:val="5F014F67"/>
    <w:rsid w:val="5F03515E"/>
    <w:rsid w:val="5F0A20A2"/>
    <w:rsid w:val="5F0D1098"/>
    <w:rsid w:val="5F0E7A43"/>
    <w:rsid w:val="5F0F19B8"/>
    <w:rsid w:val="5F20181C"/>
    <w:rsid w:val="5F27521E"/>
    <w:rsid w:val="5F2E60FA"/>
    <w:rsid w:val="5F3608F5"/>
    <w:rsid w:val="5F3D00E1"/>
    <w:rsid w:val="5F3D3985"/>
    <w:rsid w:val="5F477C2A"/>
    <w:rsid w:val="5F49114F"/>
    <w:rsid w:val="5F561124"/>
    <w:rsid w:val="5F5E28DD"/>
    <w:rsid w:val="5F6076AF"/>
    <w:rsid w:val="5F795F2D"/>
    <w:rsid w:val="5F7F7F09"/>
    <w:rsid w:val="5F812DA9"/>
    <w:rsid w:val="5F814D8D"/>
    <w:rsid w:val="5F8613F6"/>
    <w:rsid w:val="5F864C19"/>
    <w:rsid w:val="5F8B1768"/>
    <w:rsid w:val="5F922535"/>
    <w:rsid w:val="5F973A30"/>
    <w:rsid w:val="5FA01B9B"/>
    <w:rsid w:val="5FA47A9A"/>
    <w:rsid w:val="5FA62A45"/>
    <w:rsid w:val="5FA865BC"/>
    <w:rsid w:val="5FAF52EE"/>
    <w:rsid w:val="5FB130D0"/>
    <w:rsid w:val="5FB4701C"/>
    <w:rsid w:val="5FB54A36"/>
    <w:rsid w:val="5FB707AE"/>
    <w:rsid w:val="5FC34143"/>
    <w:rsid w:val="5FCB4CE9"/>
    <w:rsid w:val="5FED5F7E"/>
    <w:rsid w:val="5FEF48C7"/>
    <w:rsid w:val="5FF078FF"/>
    <w:rsid w:val="5FF13CC0"/>
    <w:rsid w:val="5FF4555F"/>
    <w:rsid w:val="5FF6646E"/>
    <w:rsid w:val="5FF92B75"/>
    <w:rsid w:val="60136F65"/>
    <w:rsid w:val="601B0B11"/>
    <w:rsid w:val="601F4A3C"/>
    <w:rsid w:val="6025396A"/>
    <w:rsid w:val="602A5424"/>
    <w:rsid w:val="602B3912"/>
    <w:rsid w:val="602C265E"/>
    <w:rsid w:val="60341DFF"/>
    <w:rsid w:val="60352AAC"/>
    <w:rsid w:val="60402552"/>
    <w:rsid w:val="60411AA3"/>
    <w:rsid w:val="60491A92"/>
    <w:rsid w:val="60494C8A"/>
    <w:rsid w:val="604E5030"/>
    <w:rsid w:val="60507E62"/>
    <w:rsid w:val="60580360"/>
    <w:rsid w:val="60624553"/>
    <w:rsid w:val="60633696"/>
    <w:rsid w:val="606359E6"/>
    <w:rsid w:val="60636240"/>
    <w:rsid w:val="606964C9"/>
    <w:rsid w:val="606E745A"/>
    <w:rsid w:val="607526B4"/>
    <w:rsid w:val="607E48A3"/>
    <w:rsid w:val="607F3AE0"/>
    <w:rsid w:val="6084377A"/>
    <w:rsid w:val="60857EC3"/>
    <w:rsid w:val="609917DB"/>
    <w:rsid w:val="60A13198"/>
    <w:rsid w:val="60A24FBB"/>
    <w:rsid w:val="60A521A0"/>
    <w:rsid w:val="60BB348D"/>
    <w:rsid w:val="60BD2AB5"/>
    <w:rsid w:val="60BD58AC"/>
    <w:rsid w:val="60C33FC4"/>
    <w:rsid w:val="60C72C73"/>
    <w:rsid w:val="60D63B2E"/>
    <w:rsid w:val="60D809DC"/>
    <w:rsid w:val="60DF1D6B"/>
    <w:rsid w:val="60E277A8"/>
    <w:rsid w:val="60E65FC9"/>
    <w:rsid w:val="60EA66DE"/>
    <w:rsid w:val="60FE666C"/>
    <w:rsid w:val="61050A04"/>
    <w:rsid w:val="61066AA3"/>
    <w:rsid w:val="61113EEE"/>
    <w:rsid w:val="61177312"/>
    <w:rsid w:val="61377DF9"/>
    <w:rsid w:val="61380167"/>
    <w:rsid w:val="613A3445"/>
    <w:rsid w:val="614147D4"/>
    <w:rsid w:val="6145155F"/>
    <w:rsid w:val="6149117D"/>
    <w:rsid w:val="614B7400"/>
    <w:rsid w:val="614E0C9F"/>
    <w:rsid w:val="61520175"/>
    <w:rsid w:val="6155202D"/>
    <w:rsid w:val="61614E76"/>
    <w:rsid w:val="61627EF2"/>
    <w:rsid w:val="616404C2"/>
    <w:rsid w:val="61690897"/>
    <w:rsid w:val="61694115"/>
    <w:rsid w:val="61696F28"/>
    <w:rsid w:val="6176513D"/>
    <w:rsid w:val="617B5F04"/>
    <w:rsid w:val="61822EF6"/>
    <w:rsid w:val="61840B64"/>
    <w:rsid w:val="61867CBE"/>
    <w:rsid w:val="618C5FB1"/>
    <w:rsid w:val="619F774C"/>
    <w:rsid w:val="61A30A46"/>
    <w:rsid w:val="61A37FBF"/>
    <w:rsid w:val="61AD67D9"/>
    <w:rsid w:val="61BE00C7"/>
    <w:rsid w:val="61C667E4"/>
    <w:rsid w:val="61D05715"/>
    <w:rsid w:val="61DB43ED"/>
    <w:rsid w:val="61E1276F"/>
    <w:rsid w:val="61E84C4F"/>
    <w:rsid w:val="61EE40B9"/>
    <w:rsid w:val="61F24E65"/>
    <w:rsid w:val="61FC6B54"/>
    <w:rsid w:val="6208709F"/>
    <w:rsid w:val="62132AC5"/>
    <w:rsid w:val="62132D13"/>
    <w:rsid w:val="62143659"/>
    <w:rsid w:val="622112F5"/>
    <w:rsid w:val="622A102E"/>
    <w:rsid w:val="622D7B47"/>
    <w:rsid w:val="623916BE"/>
    <w:rsid w:val="62402A42"/>
    <w:rsid w:val="624E486D"/>
    <w:rsid w:val="625F1E10"/>
    <w:rsid w:val="62686413"/>
    <w:rsid w:val="626B289A"/>
    <w:rsid w:val="62870D02"/>
    <w:rsid w:val="628D57F7"/>
    <w:rsid w:val="6291178B"/>
    <w:rsid w:val="62937F82"/>
    <w:rsid w:val="629503BF"/>
    <w:rsid w:val="6295776A"/>
    <w:rsid w:val="629B323B"/>
    <w:rsid w:val="629E37E6"/>
    <w:rsid w:val="62B00A61"/>
    <w:rsid w:val="62B02E9C"/>
    <w:rsid w:val="62BC7E8A"/>
    <w:rsid w:val="62C21463"/>
    <w:rsid w:val="62C25C0C"/>
    <w:rsid w:val="62C60068"/>
    <w:rsid w:val="62CD5509"/>
    <w:rsid w:val="62CF1196"/>
    <w:rsid w:val="62DF0794"/>
    <w:rsid w:val="62E15AE5"/>
    <w:rsid w:val="62EA2C49"/>
    <w:rsid w:val="62ED7B55"/>
    <w:rsid w:val="63077F65"/>
    <w:rsid w:val="630930CF"/>
    <w:rsid w:val="630F445E"/>
    <w:rsid w:val="63232C71"/>
    <w:rsid w:val="63291928"/>
    <w:rsid w:val="63301343"/>
    <w:rsid w:val="63312626"/>
    <w:rsid w:val="63332842"/>
    <w:rsid w:val="633C694F"/>
    <w:rsid w:val="633D721D"/>
    <w:rsid w:val="633E4E82"/>
    <w:rsid w:val="633F11E7"/>
    <w:rsid w:val="6347009B"/>
    <w:rsid w:val="634C7460"/>
    <w:rsid w:val="635025C8"/>
    <w:rsid w:val="6352254F"/>
    <w:rsid w:val="63552E8A"/>
    <w:rsid w:val="635B4CC7"/>
    <w:rsid w:val="636130E0"/>
    <w:rsid w:val="63666773"/>
    <w:rsid w:val="636A6886"/>
    <w:rsid w:val="636E564F"/>
    <w:rsid w:val="637349EC"/>
    <w:rsid w:val="637372C1"/>
    <w:rsid w:val="637D075E"/>
    <w:rsid w:val="63891F1F"/>
    <w:rsid w:val="638D1F52"/>
    <w:rsid w:val="63950C34"/>
    <w:rsid w:val="63A45B72"/>
    <w:rsid w:val="63A53508"/>
    <w:rsid w:val="63AA1BCD"/>
    <w:rsid w:val="63AE1B9F"/>
    <w:rsid w:val="63B06793"/>
    <w:rsid w:val="63B079EF"/>
    <w:rsid w:val="63B514A9"/>
    <w:rsid w:val="63BA261B"/>
    <w:rsid w:val="63C0668C"/>
    <w:rsid w:val="63C51931"/>
    <w:rsid w:val="63D00091"/>
    <w:rsid w:val="63D62269"/>
    <w:rsid w:val="63DA4A6C"/>
    <w:rsid w:val="63DB4576"/>
    <w:rsid w:val="63E034FC"/>
    <w:rsid w:val="63E86948"/>
    <w:rsid w:val="63FB5C60"/>
    <w:rsid w:val="64037F24"/>
    <w:rsid w:val="64046278"/>
    <w:rsid w:val="640E2967"/>
    <w:rsid w:val="64142999"/>
    <w:rsid w:val="641E25E6"/>
    <w:rsid w:val="642C3EEA"/>
    <w:rsid w:val="642C54C7"/>
    <w:rsid w:val="642E7A37"/>
    <w:rsid w:val="643237A5"/>
    <w:rsid w:val="64346872"/>
    <w:rsid w:val="6436623C"/>
    <w:rsid w:val="643855FF"/>
    <w:rsid w:val="643A21BF"/>
    <w:rsid w:val="64414AEB"/>
    <w:rsid w:val="64484B87"/>
    <w:rsid w:val="644B7576"/>
    <w:rsid w:val="64607667"/>
    <w:rsid w:val="646144B1"/>
    <w:rsid w:val="64626A30"/>
    <w:rsid w:val="646F3406"/>
    <w:rsid w:val="64805613"/>
    <w:rsid w:val="64886EB0"/>
    <w:rsid w:val="648D7D30"/>
    <w:rsid w:val="649E1F3D"/>
    <w:rsid w:val="64AA2690"/>
    <w:rsid w:val="64B04BF4"/>
    <w:rsid w:val="64B976B2"/>
    <w:rsid w:val="64BC50A8"/>
    <w:rsid w:val="64D704F4"/>
    <w:rsid w:val="64D771FD"/>
    <w:rsid w:val="64D87E52"/>
    <w:rsid w:val="64DC78B8"/>
    <w:rsid w:val="64DF6B47"/>
    <w:rsid w:val="64E030DF"/>
    <w:rsid w:val="64E1336B"/>
    <w:rsid w:val="64E40E6A"/>
    <w:rsid w:val="64E42046"/>
    <w:rsid w:val="64EA5A43"/>
    <w:rsid w:val="64EB4CCD"/>
    <w:rsid w:val="64F54AB1"/>
    <w:rsid w:val="64F664FA"/>
    <w:rsid w:val="64FE4ED3"/>
    <w:rsid w:val="65002528"/>
    <w:rsid w:val="650270DD"/>
    <w:rsid w:val="65064C01"/>
    <w:rsid w:val="65065370"/>
    <w:rsid w:val="6509385A"/>
    <w:rsid w:val="651135B3"/>
    <w:rsid w:val="651A0578"/>
    <w:rsid w:val="651B358E"/>
    <w:rsid w:val="6521758C"/>
    <w:rsid w:val="6522491C"/>
    <w:rsid w:val="652454E4"/>
    <w:rsid w:val="6525440C"/>
    <w:rsid w:val="652B0517"/>
    <w:rsid w:val="652B4D81"/>
    <w:rsid w:val="652C2DFC"/>
    <w:rsid w:val="652E32C1"/>
    <w:rsid w:val="6531690D"/>
    <w:rsid w:val="65336B29"/>
    <w:rsid w:val="653F294D"/>
    <w:rsid w:val="654C2076"/>
    <w:rsid w:val="654C747E"/>
    <w:rsid w:val="6552134C"/>
    <w:rsid w:val="6553078D"/>
    <w:rsid w:val="656A42D9"/>
    <w:rsid w:val="656F3DC7"/>
    <w:rsid w:val="65735178"/>
    <w:rsid w:val="6579736B"/>
    <w:rsid w:val="657D1B52"/>
    <w:rsid w:val="65841133"/>
    <w:rsid w:val="658730AF"/>
    <w:rsid w:val="65876E75"/>
    <w:rsid w:val="65882D0B"/>
    <w:rsid w:val="65892A2A"/>
    <w:rsid w:val="659059BC"/>
    <w:rsid w:val="65943D2E"/>
    <w:rsid w:val="65994698"/>
    <w:rsid w:val="659D3FA3"/>
    <w:rsid w:val="65AA24B1"/>
    <w:rsid w:val="65AE4402"/>
    <w:rsid w:val="65B141EA"/>
    <w:rsid w:val="65B337C6"/>
    <w:rsid w:val="65B923E3"/>
    <w:rsid w:val="65C32A3D"/>
    <w:rsid w:val="65C50D1A"/>
    <w:rsid w:val="65D21DE8"/>
    <w:rsid w:val="65D315FF"/>
    <w:rsid w:val="65D5605E"/>
    <w:rsid w:val="65DA51F7"/>
    <w:rsid w:val="65E6594A"/>
    <w:rsid w:val="65E76CC4"/>
    <w:rsid w:val="65F14EBD"/>
    <w:rsid w:val="65F71905"/>
    <w:rsid w:val="65F917A1"/>
    <w:rsid w:val="660C3AF8"/>
    <w:rsid w:val="660D2ED6"/>
    <w:rsid w:val="660D7B9C"/>
    <w:rsid w:val="660F50CF"/>
    <w:rsid w:val="66141D57"/>
    <w:rsid w:val="66187ACD"/>
    <w:rsid w:val="6620359F"/>
    <w:rsid w:val="66255B1F"/>
    <w:rsid w:val="662D11E6"/>
    <w:rsid w:val="662E7273"/>
    <w:rsid w:val="66365D84"/>
    <w:rsid w:val="66391F1D"/>
    <w:rsid w:val="663C7C5F"/>
    <w:rsid w:val="663D7E90"/>
    <w:rsid w:val="6647332D"/>
    <w:rsid w:val="66527571"/>
    <w:rsid w:val="66540B05"/>
    <w:rsid w:val="6659436D"/>
    <w:rsid w:val="665D3D8F"/>
    <w:rsid w:val="66602BC7"/>
    <w:rsid w:val="6672542F"/>
    <w:rsid w:val="667A512E"/>
    <w:rsid w:val="667E42FD"/>
    <w:rsid w:val="6685036C"/>
    <w:rsid w:val="66876081"/>
    <w:rsid w:val="668A4527"/>
    <w:rsid w:val="668E78CD"/>
    <w:rsid w:val="66981404"/>
    <w:rsid w:val="669B5028"/>
    <w:rsid w:val="669C06FE"/>
    <w:rsid w:val="669C293B"/>
    <w:rsid w:val="66A24A95"/>
    <w:rsid w:val="66A7076B"/>
    <w:rsid w:val="66AC29D5"/>
    <w:rsid w:val="66AD46B9"/>
    <w:rsid w:val="66AE6350"/>
    <w:rsid w:val="66CD08B8"/>
    <w:rsid w:val="66CE6BDE"/>
    <w:rsid w:val="66D33235"/>
    <w:rsid w:val="66DB485A"/>
    <w:rsid w:val="66DC3E2C"/>
    <w:rsid w:val="66E0352A"/>
    <w:rsid w:val="66ED7FC0"/>
    <w:rsid w:val="66EF6D88"/>
    <w:rsid w:val="66F26570"/>
    <w:rsid w:val="66F52958"/>
    <w:rsid w:val="66F6264B"/>
    <w:rsid w:val="66F756B2"/>
    <w:rsid w:val="66FD119D"/>
    <w:rsid w:val="67030A4B"/>
    <w:rsid w:val="6703521B"/>
    <w:rsid w:val="6705639B"/>
    <w:rsid w:val="670C780B"/>
    <w:rsid w:val="67114C48"/>
    <w:rsid w:val="6712451C"/>
    <w:rsid w:val="671B6383"/>
    <w:rsid w:val="671C6AEB"/>
    <w:rsid w:val="672030DD"/>
    <w:rsid w:val="67204E8B"/>
    <w:rsid w:val="67300A7E"/>
    <w:rsid w:val="673459C4"/>
    <w:rsid w:val="673F45A0"/>
    <w:rsid w:val="674509F6"/>
    <w:rsid w:val="674F0CAD"/>
    <w:rsid w:val="67582877"/>
    <w:rsid w:val="67595090"/>
    <w:rsid w:val="675C40F8"/>
    <w:rsid w:val="676077D1"/>
    <w:rsid w:val="676147DC"/>
    <w:rsid w:val="676254A4"/>
    <w:rsid w:val="67627252"/>
    <w:rsid w:val="6764746E"/>
    <w:rsid w:val="67672ABA"/>
    <w:rsid w:val="67676273"/>
    <w:rsid w:val="676B171D"/>
    <w:rsid w:val="676C5483"/>
    <w:rsid w:val="67746F85"/>
    <w:rsid w:val="6778101E"/>
    <w:rsid w:val="677A0A3F"/>
    <w:rsid w:val="677D22DE"/>
    <w:rsid w:val="677D408C"/>
    <w:rsid w:val="678371C8"/>
    <w:rsid w:val="67896ED4"/>
    <w:rsid w:val="679061BB"/>
    <w:rsid w:val="67916DB0"/>
    <w:rsid w:val="679B09B6"/>
    <w:rsid w:val="679D3CCD"/>
    <w:rsid w:val="67B0620F"/>
    <w:rsid w:val="67B54917"/>
    <w:rsid w:val="67B81568"/>
    <w:rsid w:val="67BD76E1"/>
    <w:rsid w:val="67CD5371"/>
    <w:rsid w:val="67D57A24"/>
    <w:rsid w:val="67E47BAF"/>
    <w:rsid w:val="67E72967"/>
    <w:rsid w:val="67EC1211"/>
    <w:rsid w:val="67ED44F9"/>
    <w:rsid w:val="67F21EBE"/>
    <w:rsid w:val="67F3434E"/>
    <w:rsid w:val="67FC60B7"/>
    <w:rsid w:val="68103152"/>
    <w:rsid w:val="681A18DB"/>
    <w:rsid w:val="681C56E8"/>
    <w:rsid w:val="68232E85"/>
    <w:rsid w:val="68297D70"/>
    <w:rsid w:val="68336E40"/>
    <w:rsid w:val="68403AFD"/>
    <w:rsid w:val="684140AE"/>
    <w:rsid w:val="68541290"/>
    <w:rsid w:val="686113BA"/>
    <w:rsid w:val="68620649"/>
    <w:rsid w:val="68630D3F"/>
    <w:rsid w:val="6865349E"/>
    <w:rsid w:val="68690E30"/>
    <w:rsid w:val="68721DB3"/>
    <w:rsid w:val="68727968"/>
    <w:rsid w:val="687D5A18"/>
    <w:rsid w:val="688731D3"/>
    <w:rsid w:val="68980099"/>
    <w:rsid w:val="689B262C"/>
    <w:rsid w:val="689D3FFD"/>
    <w:rsid w:val="689F3FF4"/>
    <w:rsid w:val="68AE7647"/>
    <w:rsid w:val="68B27FE5"/>
    <w:rsid w:val="68B33CBC"/>
    <w:rsid w:val="68BB130F"/>
    <w:rsid w:val="68BC404D"/>
    <w:rsid w:val="68C05073"/>
    <w:rsid w:val="68CC0D03"/>
    <w:rsid w:val="68D423D1"/>
    <w:rsid w:val="68E52BC5"/>
    <w:rsid w:val="68E71B98"/>
    <w:rsid w:val="68ED3493"/>
    <w:rsid w:val="68F63FD0"/>
    <w:rsid w:val="68F951EB"/>
    <w:rsid w:val="68FA0D09"/>
    <w:rsid w:val="690507DD"/>
    <w:rsid w:val="690518E3"/>
    <w:rsid w:val="69074555"/>
    <w:rsid w:val="69090935"/>
    <w:rsid w:val="6913778D"/>
    <w:rsid w:val="692216E4"/>
    <w:rsid w:val="692349A9"/>
    <w:rsid w:val="6927100D"/>
    <w:rsid w:val="692844CB"/>
    <w:rsid w:val="6935729D"/>
    <w:rsid w:val="693B4526"/>
    <w:rsid w:val="69433CAC"/>
    <w:rsid w:val="69434E61"/>
    <w:rsid w:val="694A2693"/>
    <w:rsid w:val="695420A3"/>
    <w:rsid w:val="69557280"/>
    <w:rsid w:val="69647910"/>
    <w:rsid w:val="696F1FF4"/>
    <w:rsid w:val="697E2410"/>
    <w:rsid w:val="69852A6B"/>
    <w:rsid w:val="698612A5"/>
    <w:rsid w:val="69872CF3"/>
    <w:rsid w:val="698776CE"/>
    <w:rsid w:val="698C2CAC"/>
    <w:rsid w:val="699157A6"/>
    <w:rsid w:val="69A82381"/>
    <w:rsid w:val="69AC2A06"/>
    <w:rsid w:val="69AE43A7"/>
    <w:rsid w:val="69AE7BC5"/>
    <w:rsid w:val="69AF0748"/>
    <w:rsid w:val="69B67D29"/>
    <w:rsid w:val="69D11FEA"/>
    <w:rsid w:val="69D64E44"/>
    <w:rsid w:val="69D81A4D"/>
    <w:rsid w:val="69D95D21"/>
    <w:rsid w:val="69E42DF0"/>
    <w:rsid w:val="69E71C2E"/>
    <w:rsid w:val="69F97731"/>
    <w:rsid w:val="6A0202FD"/>
    <w:rsid w:val="6A0518F8"/>
    <w:rsid w:val="6A107439"/>
    <w:rsid w:val="6A1E49EE"/>
    <w:rsid w:val="6A2627B9"/>
    <w:rsid w:val="6A366774"/>
    <w:rsid w:val="6A4C6CBB"/>
    <w:rsid w:val="6A5E0111"/>
    <w:rsid w:val="6A6F316D"/>
    <w:rsid w:val="6A912DE0"/>
    <w:rsid w:val="6A943F85"/>
    <w:rsid w:val="6A9B5332"/>
    <w:rsid w:val="6A9E2C97"/>
    <w:rsid w:val="6AAC487C"/>
    <w:rsid w:val="6AAD3143"/>
    <w:rsid w:val="6AAF3E38"/>
    <w:rsid w:val="6AB029CA"/>
    <w:rsid w:val="6ABC4ECB"/>
    <w:rsid w:val="6AC2152D"/>
    <w:rsid w:val="6AD26F50"/>
    <w:rsid w:val="6AD466B8"/>
    <w:rsid w:val="6AD54350"/>
    <w:rsid w:val="6AE61B76"/>
    <w:rsid w:val="6AF428B7"/>
    <w:rsid w:val="6AF96F3D"/>
    <w:rsid w:val="6B043F03"/>
    <w:rsid w:val="6B063E17"/>
    <w:rsid w:val="6B080100"/>
    <w:rsid w:val="6B1017A5"/>
    <w:rsid w:val="6B1C57E8"/>
    <w:rsid w:val="6B222A27"/>
    <w:rsid w:val="6B2E35BA"/>
    <w:rsid w:val="6B3233DF"/>
    <w:rsid w:val="6B3A6E3B"/>
    <w:rsid w:val="6B3D34FE"/>
    <w:rsid w:val="6B453112"/>
    <w:rsid w:val="6B4E448C"/>
    <w:rsid w:val="6B557938"/>
    <w:rsid w:val="6B5A3C35"/>
    <w:rsid w:val="6B66741E"/>
    <w:rsid w:val="6B671EB9"/>
    <w:rsid w:val="6B67752D"/>
    <w:rsid w:val="6B6B7873"/>
    <w:rsid w:val="6B713F07"/>
    <w:rsid w:val="6B757D60"/>
    <w:rsid w:val="6B87372B"/>
    <w:rsid w:val="6B8E29C0"/>
    <w:rsid w:val="6B900117"/>
    <w:rsid w:val="6B96396E"/>
    <w:rsid w:val="6BA72B30"/>
    <w:rsid w:val="6BA86101"/>
    <w:rsid w:val="6BB57E47"/>
    <w:rsid w:val="6BB77B3F"/>
    <w:rsid w:val="6BBD714D"/>
    <w:rsid w:val="6BC03782"/>
    <w:rsid w:val="6BC229B5"/>
    <w:rsid w:val="6BCB40EA"/>
    <w:rsid w:val="6BD149A6"/>
    <w:rsid w:val="6BD44EF8"/>
    <w:rsid w:val="6BD57763"/>
    <w:rsid w:val="6BDC2D4F"/>
    <w:rsid w:val="6BDF1392"/>
    <w:rsid w:val="6BE50451"/>
    <w:rsid w:val="6BE7241B"/>
    <w:rsid w:val="6BE749C8"/>
    <w:rsid w:val="6BEB3756"/>
    <w:rsid w:val="6BEF2B0E"/>
    <w:rsid w:val="6BF2489C"/>
    <w:rsid w:val="6C040115"/>
    <w:rsid w:val="6C060AF4"/>
    <w:rsid w:val="6C0D4ACE"/>
    <w:rsid w:val="6C1929E0"/>
    <w:rsid w:val="6C1A634D"/>
    <w:rsid w:val="6C1B20D8"/>
    <w:rsid w:val="6C225202"/>
    <w:rsid w:val="6C292BE1"/>
    <w:rsid w:val="6C346A47"/>
    <w:rsid w:val="6C393583"/>
    <w:rsid w:val="6C3B762A"/>
    <w:rsid w:val="6C4038DA"/>
    <w:rsid w:val="6C430EC6"/>
    <w:rsid w:val="6C450EF0"/>
    <w:rsid w:val="6C460B8D"/>
    <w:rsid w:val="6C4C4B88"/>
    <w:rsid w:val="6C5238F7"/>
    <w:rsid w:val="6C60203D"/>
    <w:rsid w:val="6C604856"/>
    <w:rsid w:val="6C6217A7"/>
    <w:rsid w:val="6C740C4D"/>
    <w:rsid w:val="6C747D90"/>
    <w:rsid w:val="6C7A6DEC"/>
    <w:rsid w:val="6C860A2C"/>
    <w:rsid w:val="6C88775B"/>
    <w:rsid w:val="6C895962"/>
    <w:rsid w:val="6C8C315E"/>
    <w:rsid w:val="6CA02C98"/>
    <w:rsid w:val="6CA127B4"/>
    <w:rsid w:val="6CA27B74"/>
    <w:rsid w:val="6CA34594"/>
    <w:rsid w:val="6CA67BE1"/>
    <w:rsid w:val="6CAE2F39"/>
    <w:rsid w:val="6CAE382B"/>
    <w:rsid w:val="6CB00A5F"/>
    <w:rsid w:val="6CB55D42"/>
    <w:rsid w:val="6CB8671C"/>
    <w:rsid w:val="6CB90EA6"/>
    <w:rsid w:val="6CBA7A7E"/>
    <w:rsid w:val="6CBA7B30"/>
    <w:rsid w:val="6CCB5481"/>
    <w:rsid w:val="6CCE5B95"/>
    <w:rsid w:val="6CD01102"/>
    <w:rsid w:val="6CDB5E4B"/>
    <w:rsid w:val="6CDF604B"/>
    <w:rsid w:val="6CEB0CC5"/>
    <w:rsid w:val="6CF20041"/>
    <w:rsid w:val="6CF43042"/>
    <w:rsid w:val="6CF500CA"/>
    <w:rsid w:val="6CF50548"/>
    <w:rsid w:val="6CFD1C68"/>
    <w:rsid w:val="6D091F16"/>
    <w:rsid w:val="6D0B33F7"/>
    <w:rsid w:val="6D0D4104"/>
    <w:rsid w:val="6D1347EA"/>
    <w:rsid w:val="6D1B2C9B"/>
    <w:rsid w:val="6D210F22"/>
    <w:rsid w:val="6D2471EB"/>
    <w:rsid w:val="6D321474"/>
    <w:rsid w:val="6D3A50DF"/>
    <w:rsid w:val="6D503BE3"/>
    <w:rsid w:val="6D5164B6"/>
    <w:rsid w:val="6D5F318C"/>
    <w:rsid w:val="6D614FFE"/>
    <w:rsid w:val="6D6840E5"/>
    <w:rsid w:val="6D6A21E0"/>
    <w:rsid w:val="6D7427C5"/>
    <w:rsid w:val="6D8223FC"/>
    <w:rsid w:val="6D8E6FF3"/>
    <w:rsid w:val="6D910EB2"/>
    <w:rsid w:val="6D940381"/>
    <w:rsid w:val="6D963072"/>
    <w:rsid w:val="6DA118E1"/>
    <w:rsid w:val="6DA33AB1"/>
    <w:rsid w:val="6DA34120"/>
    <w:rsid w:val="6DA61D89"/>
    <w:rsid w:val="6DAB1855"/>
    <w:rsid w:val="6DB00E73"/>
    <w:rsid w:val="6DCC01D6"/>
    <w:rsid w:val="6DD841D1"/>
    <w:rsid w:val="6DD9273F"/>
    <w:rsid w:val="6DE1112A"/>
    <w:rsid w:val="6DE62234"/>
    <w:rsid w:val="6DEE1DA5"/>
    <w:rsid w:val="6DEE5CE3"/>
    <w:rsid w:val="6DF077AB"/>
    <w:rsid w:val="6DF131D9"/>
    <w:rsid w:val="6DF362F1"/>
    <w:rsid w:val="6DFC0A94"/>
    <w:rsid w:val="6E0A419F"/>
    <w:rsid w:val="6E0E7E73"/>
    <w:rsid w:val="6E163B54"/>
    <w:rsid w:val="6E166FE8"/>
    <w:rsid w:val="6E1F3AB9"/>
    <w:rsid w:val="6E22598D"/>
    <w:rsid w:val="6E273436"/>
    <w:rsid w:val="6E291B51"/>
    <w:rsid w:val="6E2B5B70"/>
    <w:rsid w:val="6E2E2225"/>
    <w:rsid w:val="6E3260E0"/>
    <w:rsid w:val="6E391146"/>
    <w:rsid w:val="6E437D5D"/>
    <w:rsid w:val="6E46026B"/>
    <w:rsid w:val="6E4F57E6"/>
    <w:rsid w:val="6E5B2C4D"/>
    <w:rsid w:val="6E663B0E"/>
    <w:rsid w:val="6E6F1069"/>
    <w:rsid w:val="6E7043F7"/>
    <w:rsid w:val="6E711FBB"/>
    <w:rsid w:val="6E82467D"/>
    <w:rsid w:val="6E8D0A23"/>
    <w:rsid w:val="6E917D94"/>
    <w:rsid w:val="6E95615F"/>
    <w:rsid w:val="6E9879FD"/>
    <w:rsid w:val="6EB4221B"/>
    <w:rsid w:val="6EB97C9A"/>
    <w:rsid w:val="6EBA3EC2"/>
    <w:rsid w:val="6EBF3EC0"/>
    <w:rsid w:val="6EC425A0"/>
    <w:rsid w:val="6ED547AD"/>
    <w:rsid w:val="6ED8429D"/>
    <w:rsid w:val="6ED973FC"/>
    <w:rsid w:val="6EED5F9B"/>
    <w:rsid w:val="6EEF3C2A"/>
    <w:rsid w:val="6EF2535F"/>
    <w:rsid w:val="6F0C365F"/>
    <w:rsid w:val="6F174DC6"/>
    <w:rsid w:val="6F1B7BF4"/>
    <w:rsid w:val="6F1E1894"/>
    <w:rsid w:val="6F23376B"/>
    <w:rsid w:val="6F265009"/>
    <w:rsid w:val="6F2D6397"/>
    <w:rsid w:val="6F341033"/>
    <w:rsid w:val="6F34735B"/>
    <w:rsid w:val="6F484F7F"/>
    <w:rsid w:val="6F4B1788"/>
    <w:rsid w:val="6F4E3947"/>
    <w:rsid w:val="6F4E6A14"/>
    <w:rsid w:val="6F5219D8"/>
    <w:rsid w:val="6F5C0A2B"/>
    <w:rsid w:val="6F6135D9"/>
    <w:rsid w:val="6F693749"/>
    <w:rsid w:val="6F6A3147"/>
    <w:rsid w:val="6F7458D1"/>
    <w:rsid w:val="6F8166E3"/>
    <w:rsid w:val="6F8416CF"/>
    <w:rsid w:val="6F857F81"/>
    <w:rsid w:val="6F8F7052"/>
    <w:rsid w:val="6F95179B"/>
    <w:rsid w:val="6F9D7BE5"/>
    <w:rsid w:val="6F9E7295"/>
    <w:rsid w:val="6F9F2AB4"/>
    <w:rsid w:val="6FAD1286"/>
    <w:rsid w:val="6FAD4CF3"/>
    <w:rsid w:val="6FB645DF"/>
    <w:rsid w:val="6FB77864"/>
    <w:rsid w:val="6FC07FB0"/>
    <w:rsid w:val="6FC17269"/>
    <w:rsid w:val="6FCC75D9"/>
    <w:rsid w:val="6FD269A1"/>
    <w:rsid w:val="6FDD0023"/>
    <w:rsid w:val="6FF173C5"/>
    <w:rsid w:val="6FF62C2D"/>
    <w:rsid w:val="6FFB027B"/>
    <w:rsid w:val="700510C2"/>
    <w:rsid w:val="700D3C59"/>
    <w:rsid w:val="70115BD2"/>
    <w:rsid w:val="7019691C"/>
    <w:rsid w:val="701D3990"/>
    <w:rsid w:val="70236185"/>
    <w:rsid w:val="70311EB7"/>
    <w:rsid w:val="70315562"/>
    <w:rsid w:val="703620CB"/>
    <w:rsid w:val="703823E9"/>
    <w:rsid w:val="703D260A"/>
    <w:rsid w:val="703E5F7E"/>
    <w:rsid w:val="70415E91"/>
    <w:rsid w:val="704240C4"/>
    <w:rsid w:val="7046362A"/>
    <w:rsid w:val="70511328"/>
    <w:rsid w:val="705A19BC"/>
    <w:rsid w:val="705A27F4"/>
    <w:rsid w:val="705C4791"/>
    <w:rsid w:val="7060062E"/>
    <w:rsid w:val="706338B4"/>
    <w:rsid w:val="70666005"/>
    <w:rsid w:val="707E3936"/>
    <w:rsid w:val="70807928"/>
    <w:rsid w:val="70830E9E"/>
    <w:rsid w:val="70875F7B"/>
    <w:rsid w:val="709F1517"/>
    <w:rsid w:val="70A00DEB"/>
    <w:rsid w:val="70A61135"/>
    <w:rsid w:val="70A7675A"/>
    <w:rsid w:val="70B477CF"/>
    <w:rsid w:val="70B623BC"/>
    <w:rsid w:val="70B65F8C"/>
    <w:rsid w:val="70B66341"/>
    <w:rsid w:val="70B81788"/>
    <w:rsid w:val="70BE62B2"/>
    <w:rsid w:val="70C456BC"/>
    <w:rsid w:val="70C6087E"/>
    <w:rsid w:val="70C943F9"/>
    <w:rsid w:val="70CE7706"/>
    <w:rsid w:val="70D32F6E"/>
    <w:rsid w:val="70D56CE6"/>
    <w:rsid w:val="70D7170B"/>
    <w:rsid w:val="70DF3B22"/>
    <w:rsid w:val="70E049BA"/>
    <w:rsid w:val="70E233A7"/>
    <w:rsid w:val="70E92792"/>
    <w:rsid w:val="70EB1D07"/>
    <w:rsid w:val="70ED4030"/>
    <w:rsid w:val="70FF26CB"/>
    <w:rsid w:val="71047056"/>
    <w:rsid w:val="71080E6A"/>
    <w:rsid w:val="711315BD"/>
    <w:rsid w:val="711E3CE1"/>
    <w:rsid w:val="712E4649"/>
    <w:rsid w:val="713438AD"/>
    <w:rsid w:val="713A123F"/>
    <w:rsid w:val="714C1194"/>
    <w:rsid w:val="714C1A59"/>
    <w:rsid w:val="714C59B7"/>
    <w:rsid w:val="71551766"/>
    <w:rsid w:val="71557E27"/>
    <w:rsid w:val="7163703D"/>
    <w:rsid w:val="71667B1B"/>
    <w:rsid w:val="717304A3"/>
    <w:rsid w:val="7175660B"/>
    <w:rsid w:val="717750A4"/>
    <w:rsid w:val="717866CF"/>
    <w:rsid w:val="71856665"/>
    <w:rsid w:val="718A7A50"/>
    <w:rsid w:val="719E4941"/>
    <w:rsid w:val="71A83AF7"/>
    <w:rsid w:val="71A843FB"/>
    <w:rsid w:val="71AD13D4"/>
    <w:rsid w:val="71BB412E"/>
    <w:rsid w:val="71BD3A7A"/>
    <w:rsid w:val="71C56D5B"/>
    <w:rsid w:val="71C64881"/>
    <w:rsid w:val="71C77AE4"/>
    <w:rsid w:val="71D376CA"/>
    <w:rsid w:val="71D47A7F"/>
    <w:rsid w:val="71D85B59"/>
    <w:rsid w:val="71DA06AB"/>
    <w:rsid w:val="71E4203D"/>
    <w:rsid w:val="71E82A49"/>
    <w:rsid w:val="71E926CD"/>
    <w:rsid w:val="71ED62B2"/>
    <w:rsid w:val="71F509A5"/>
    <w:rsid w:val="720348F7"/>
    <w:rsid w:val="72071A82"/>
    <w:rsid w:val="72083B33"/>
    <w:rsid w:val="720B57FE"/>
    <w:rsid w:val="720B62BF"/>
    <w:rsid w:val="720D24B0"/>
    <w:rsid w:val="720D3D20"/>
    <w:rsid w:val="72203F91"/>
    <w:rsid w:val="72216562"/>
    <w:rsid w:val="72277008"/>
    <w:rsid w:val="7229261B"/>
    <w:rsid w:val="722C01C9"/>
    <w:rsid w:val="72304722"/>
    <w:rsid w:val="7241073B"/>
    <w:rsid w:val="7242215A"/>
    <w:rsid w:val="724A3704"/>
    <w:rsid w:val="724E3E15"/>
    <w:rsid w:val="724F5E6C"/>
    <w:rsid w:val="725D1AA0"/>
    <w:rsid w:val="72657495"/>
    <w:rsid w:val="72692740"/>
    <w:rsid w:val="72693B8A"/>
    <w:rsid w:val="726E117A"/>
    <w:rsid w:val="72764326"/>
    <w:rsid w:val="72781F16"/>
    <w:rsid w:val="72793834"/>
    <w:rsid w:val="728032BA"/>
    <w:rsid w:val="728D4FDC"/>
    <w:rsid w:val="72914E8F"/>
    <w:rsid w:val="729A209E"/>
    <w:rsid w:val="729D3834"/>
    <w:rsid w:val="729E390D"/>
    <w:rsid w:val="729F135A"/>
    <w:rsid w:val="72A41241"/>
    <w:rsid w:val="72A535B2"/>
    <w:rsid w:val="72AA78B4"/>
    <w:rsid w:val="72B868C0"/>
    <w:rsid w:val="72BC3359"/>
    <w:rsid w:val="72C40186"/>
    <w:rsid w:val="72C63A44"/>
    <w:rsid w:val="72C730FE"/>
    <w:rsid w:val="72E34342"/>
    <w:rsid w:val="72E613A6"/>
    <w:rsid w:val="72E8337C"/>
    <w:rsid w:val="72E90827"/>
    <w:rsid w:val="72F21DD2"/>
    <w:rsid w:val="72F434FA"/>
    <w:rsid w:val="72FA2A34"/>
    <w:rsid w:val="72FE5E6C"/>
    <w:rsid w:val="730B2421"/>
    <w:rsid w:val="730B2A5D"/>
    <w:rsid w:val="730D1C62"/>
    <w:rsid w:val="731356C2"/>
    <w:rsid w:val="73151916"/>
    <w:rsid w:val="73184198"/>
    <w:rsid w:val="731B4281"/>
    <w:rsid w:val="73262E6D"/>
    <w:rsid w:val="732C6966"/>
    <w:rsid w:val="73373C05"/>
    <w:rsid w:val="73394622"/>
    <w:rsid w:val="733F63CB"/>
    <w:rsid w:val="734168B5"/>
    <w:rsid w:val="73490DFC"/>
    <w:rsid w:val="734A5387"/>
    <w:rsid w:val="73527C7D"/>
    <w:rsid w:val="73555688"/>
    <w:rsid w:val="736C1BDF"/>
    <w:rsid w:val="736C1DA7"/>
    <w:rsid w:val="736E2B3F"/>
    <w:rsid w:val="7370719A"/>
    <w:rsid w:val="737218FE"/>
    <w:rsid w:val="73754FD7"/>
    <w:rsid w:val="737C7606"/>
    <w:rsid w:val="738E4CE0"/>
    <w:rsid w:val="739A5FC5"/>
    <w:rsid w:val="73A26CD8"/>
    <w:rsid w:val="73AA26AC"/>
    <w:rsid w:val="73B34E42"/>
    <w:rsid w:val="73B83040"/>
    <w:rsid w:val="73BA1DA6"/>
    <w:rsid w:val="73BF2DAF"/>
    <w:rsid w:val="73C17A92"/>
    <w:rsid w:val="73C90A44"/>
    <w:rsid w:val="73CA5289"/>
    <w:rsid w:val="73D2575F"/>
    <w:rsid w:val="73D2750D"/>
    <w:rsid w:val="73E14BDD"/>
    <w:rsid w:val="73E35202"/>
    <w:rsid w:val="73E64870"/>
    <w:rsid w:val="73E829D8"/>
    <w:rsid w:val="73EC6716"/>
    <w:rsid w:val="73F2112A"/>
    <w:rsid w:val="73F62B37"/>
    <w:rsid w:val="73F94CA3"/>
    <w:rsid w:val="74094E3D"/>
    <w:rsid w:val="740D2C3B"/>
    <w:rsid w:val="7410198C"/>
    <w:rsid w:val="7416389E"/>
    <w:rsid w:val="741F54A2"/>
    <w:rsid w:val="742331AE"/>
    <w:rsid w:val="7428537F"/>
    <w:rsid w:val="742A10F7"/>
    <w:rsid w:val="742F2BB2"/>
    <w:rsid w:val="743553DE"/>
    <w:rsid w:val="743D0A2B"/>
    <w:rsid w:val="744F3906"/>
    <w:rsid w:val="74551EB3"/>
    <w:rsid w:val="745A0FA0"/>
    <w:rsid w:val="74610709"/>
    <w:rsid w:val="74797F6C"/>
    <w:rsid w:val="74876A28"/>
    <w:rsid w:val="74884175"/>
    <w:rsid w:val="749132B1"/>
    <w:rsid w:val="749B3DA3"/>
    <w:rsid w:val="749D15EC"/>
    <w:rsid w:val="74A5312C"/>
    <w:rsid w:val="74AC6BC6"/>
    <w:rsid w:val="74BD1F6B"/>
    <w:rsid w:val="74D13C69"/>
    <w:rsid w:val="74D271DD"/>
    <w:rsid w:val="74DB29B2"/>
    <w:rsid w:val="74DF3CDB"/>
    <w:rsid w:val="74E04982"/>
    <w:rsid w:val="74E314C0"/>
    <w:rsid w:val="74F160B9"/>
    <w:rsid w:val="74F236DC"/>
    <w:rsid w:val="74FD697A"/>
    <w:rsid w:val="751A5826"/>
    <w:rsid w:val="752129D4"/>
    <w:rsid w:val="752B5127"/>
    <w:rsid w:val="752C6AB2"/>
    <w:rsid w:val="7530273D"/>
    <w:rsid w:val="75322959"/>
    <w:rsid w:val="7534397E"/>
    <w:rsid w:val="753540AD"/>
    <w:rsid w:val="75355AB1"/>
    <w:rsid w:val="75377F70"/>
    <w:rsid w:val="753C7334"/>
    <w:rsid w:val="7540442C"/>
    <w:rsid w:val="75492994"/>
    <w:rsid w:val="75494AE8"/>
    <w:rsid w:val="754D7793"/>
    <w:rsid w:val="75664928"/>
    <w:rsid w:val="756A2C6E"/>
    <w:rsid w:val="756C5695"/>
    <w:rsid w:val="75720FA8"/>
    <w:rsid w:val="75735A2A"/>
    <w:rsid w:val="75774810"/>
    <w:rsid w:val="75826D11"/>
    <w:rsid w:val="75836B45"/>
    <w:rsid w:val="75845947"/>
    <w:rsid w:val="75850468"/>
    <w:rsid w:val="75866BE9"/>
    <w:rsid w:val="758E56B6"/>
    <w:rsid w:val="759B6003"/>
    <w:rsid w:val="759C32BC"/>
    <w:rsid w:val="75A04F3B"/>
    <w:rsid w:val="75A26BC4"/>
    <w:rsid w:val="75AB3D65"/>
    <w:rsid w:val="75AE59C7"/>
    <w:rsid w:val="75B61842"/>
    <w:rsid w:val="75BC78AF"/>
    <w:rsid w:val="75C604F3"/>
    <w:rsid w:val="75C97681"/>
    <w:rsid w:val="75CB7BF0"/>
    <w:rsid w:val="75CD301C"/>
    <w:rsid w:val="75D06B7B"/>
    <w:rsid w:val="75D22390"/>
    <w:rsid w:val="75D62BEE"/>
    <w:rsid w:val="75D74EF8"/>
    <w:rsid w:val="75E20E90"/>
    <w:rsid w:val="75E27AE1"/>
    <w:rsid w:val="75EC7F23"/>
    <w:rsid w:val="75FE283B"/>
    <w:rsid w:val="76066358"/>
    <w:rsid w:val="760719A1"/>
    <w:rsid w:val="760A52CC"/>
    <w:rsid w:val="760C4ED0"/>
    <w:rsid w:val="760D3186"/>
    <w:rsid w:val="76201226"/>
    <w:rsid w:val="7621477C"/>
    <w:rsid w:val="76261C26"/>
    <w:rsid w:val="76261D92"/>
    <w:rsid w:val="762F2954"/>
    <w:rsid w:val="76342701"/>
    <w:rsid w:val="76384F46"/>
    <w:rsid w:val="763E57CA"/>
    <w:rsid w:val="7646764A"/>
    <w:rsid w:val="764D5571"/>
    <w:rsid w:val="764E1B03"/>
    <w:rsid w:val="76572242"/>
    <w:rsid w:val="76636B42"/>
    <w:rsid w:val="766703E1"/>
    <w:rsid w:val="76780840"/>
    <w:rsid w:val="767C19B2"/>
    <w:rsid w:val="767E66C8"/>
    <w:rsid w:val="7683069C"/>
    <w:rsid w:val="76891A32"/>
    <w:rsid w:val="76A27DD7"/>
    <w:rsid w:val="76A96C4B"/>
    <w:rsid w:val="76AD15F9"/>
    <w:rsid w:val="76BE4F30"/>
    <w:rsid w:val="76C70E7F"/>
    <w:rsid w:val="76CD220E"/>
    <w:rsid w:val="76CD451D"/>
    <w:rsid w:val="76D22E2E"/>
    <w:rsid w:val="76DD065E"/>
    <w:rsid w:val="76DF08BF"/>
    <w:rsid w:val="76EE2591"/>
    <w:rsid w:val="76EF7D2C"/>
    <w:rsid w:val="76F0798D"/>
    <w:rsid w:val="76F246E6"/>
    <w:rsid w:val="76F53C3E"/>
    <w:rsid w:val="76F96011"/>
    <w:rsid w:val="770318FD"/>
    <w:rsid w:val="7711659E"/>
    <w:rsid w:val="77146E97"/>
    <w:rsid w:val="771766AF"/>
    <w:rsid w:val="7719763B"/>
    <w:rsid w:val="771D558A"/>
    <w:rsid w:val="772064C9"/>
    <w:rsid w:val="772A140E"/>
    <w:rsid w:val="773E26D2"/>
    <w:rsid w:val="77403575"/>
    <w:rsid w:val="774247D3"/>
    <w:rsid w:val="7748368E"/>
    <w:rsid w:val="774F6700"/>
    <w:rsid w:val="77533F2B"/>
    <w:rsid w:val="77543014"/>
    <w:rsid w:val="775517FF"/>
    <w:rsid w:val="775710CF"/>
    <w:rsid w:val="776C6C6C"/>
    <w:rsid w:val="777860D8"/>
    <w:rsid w:val="77790611"/>
    <w:rsid w:val="778E7BEF"/>
    <w:rsid w:val="7792252C"/>
    <w:rsid w:val="77991C3E"/>
    <w:rsid w:val="779A6594"/>
    <w:rsid w:val="77A83CB3"/>
    <w:rsid w:val="77AE0291"/>
    <w:rsid w:val="77AE7402"/>
    <w:rsid w:val="77B03C86"/>
    <w:rsid w:val="77B238DE"/>
    <w:rsid w:val="77B533CE"/>
    <w:rsid w:val="77B70EF4"/>
    <w:rsid w:val="77BF5BB1"/>
    <w:rsid w:val="77C33D3D"/>
    <w:rsid w:val="77C74EAF"/>
    <w:rsid w:val="77C87BF6"/>
    <w:rsid w:val="77C96E79"/>
    <w:rsid w:val="77DF4943"/>
    <w:rsid w:val="77E837A3"/>
    <w:rsid w:val="77F26063"/>
    <w:rsid w:val="77F4039A"/>
    <w:rsid w:val="780B4A40"/>
    <w:rsid w:val="781B42F8"/>
    <w:rsid w:val="781B72AA"/>
    <w:rsid w:val="781C67C3"/>
    <w:rsid w:val="78315590"/>
    <w:rsid w:val="783C2021"/>
    <w:rsid w:val="783F079D"/>
    <w:rsid w:val="7847671C"/>
    <w:rsid w:val="78533C42"/>
    <w:rsid w:val="78595654"/>
    <w:rsid w:val="785F235F"/>
    <w:rsid w:val="78623A97"/>
    <w:rsid w:val="786A679E"/>
    <w:rsid w:val="787E207D"/>
    <w:rsid w:val="787E7C64"/>
    <w:rsid w:val="78827754"/>
    <w:rsid w:val="78841D97"/>
    <w:rsid w:val="78872FBC"/>
    <w:rsid w:val="78900078"/>
    <w:rsid w:val="78946D0A"/>
    <w:rsid w:val="789A1ACA"/>
    <w:rsid w:val="78A56AB5"/>
    <w:rsid w:val="78C620B9"/>
    <w:rsid w:val="78C966FA"/>
    <w:rsid w:val="78CB1B99"/>
    <w:rsid w:val="78CE2454"/>
    <w:rsid w:val="78D67AA0"/>
    <w:rsid w:val="78DC5A8E"/>
    <w:rsid w:val="78DD498A"/>
    <w:rsid w:val="78E91F32"/>
    <w:rsid w:val="78F12B57"/>
    <w:rsid w:val="78F44474"/>
    <w:rsid w:val="790463BB"/>
    <w:rsid w:val="79093888"/>
    <w:rsid w:val="790A315A"/>
    <w:rsid w:val="790D6D3D"/>
    <w:rsid w:val="790E7239"/>
    <w:rsid w:val="791648AD"/>
    <w:rsid w:val="791F1D70"/>
    <w:rsid w:val="79217712"/>
    <w:rsid w:val="79311193"/>
    <w:rsid w:val="79360258"/>
    <w:rsid w:val="793622EC"/>
    <w:rsid w:val="7937681E"/>
    <w:rsid w:val="793F5645"/>
    <w:rsid w:val="794331C4"/>
    <w:rsid w:val="79440AEE"/>
    <w:rsid w:val="794A1A4C"/>
    <w:rsid w:val="796C31B8"/>
    <w:rsid w:val="797855A3"/>
    <w:rsid w:val="797967FE"/>
    <w:rsid w:val="797F1EE5"/>
    <w:rsid w:val="79872276"/>
    <w:rsid w:val="79890FF4"/>
    <w:rsid w:val="7989257D"/>
    <w:rsid w:val="79907C4E"/>
    <w:rsid w:val="79922D97"/>
    <w:rsid w:val="79927E6B"/>
    <w:rsid w:val="79A454A8"/>
    <w:rsid w:val="79AA26DF"/>
    <w:rsid w:val="79B70EF8"/>
    <w:rsid w:val="79C15542"/>
    <w:rsid w:val="79C75326"/>
    <w:rsid w:val="79CD0EA3"/>
    <w:rsid w:val="79EB497D"/>
    <w:rsid w:val="79F6754E"/>
    <w:rsid w:val="79FB0261"/>
    <w:rsid w:val="79FB2DAF"/>
    <w:rsid w:val="7A087BDF"/>
    <w:rsid w:val="7A0B5527"/>
    <w:rsid w:val="7A0C565C"/>
    <w:rsid w:val="7A1C2352"/>
    <w:rsid w:val="7A1C61A9"/>
    <w:rsid w:val="7A230AC3"/>
    <w:rsid w:val="7A2B7977"/>
    <w:rsid w:val="7A3246F2"/>
    <w:rsid w:val="7A41719B"/>
    <w:rsid w:val="7A484CAA"/>
    <w:rsid w:val="7A4A24F3"/>
    <w:rsid w:val="7A5001CD"/>
    <w:rsid w:val="7A550E69"/>
    <w:rsid w:val="7A5E7D4D"/>
    <w:rsid w:val="7A5F3524"/>
    <w:rsid w:val="7A62317A"/>
    <w:rsid w:val="7A6510DB"/>
    <w:rsid w:val="7A6D1D3E"/>
    <w:rsid w:val="7A755C23"/>
    <w:rsid w:val="7A807CC3"/>
    <w:rsid w:val="7A813A3B"/>
    <w:rsid w:val="7A817172"/>
    <w:rsid w:val="7A885FEA"/>
    <w:rsid w:val="7A890F22"/>
    <w:rsid w:val="7A916DEC"/>
    <w:rsid w:val="7A94551C"/>
    <w:rsid w:val="7A955A03"/>
    <w:rsid w:val="7A9F2CF5"/>
    <w:rsid w:val="7AA23342"/>
    <w:rsid w:val="7AA53BCD"/>
    <w:rsid w:val="7AA60701"/>
    <w:rsid w:val="7AAC0AB8"/>
    <w:rsid w:val="7AAE5C60"/>
    <w:rsid w:val="7ABE4C8F"/>
    <w:rsid w:val="7AC0465B"/>
    <w:rsid w:val="7AC322A6"/>
    <w:rsid w:val="7AC926EB"/>
    <w:rsid w:val="7ACC787D"/>
    <w:rsid w:val="7ACE2AB8"/>
    <w:rsid w:val="7AD128A9"/>
    <w:rsid w:val="7AD2187C"/>
    <w:rsid w:val="7ADC456B"/>
    <w:rsid w:val="7AE45DA6"/>
    <w:rsid w:val="7AE46F51"/>
    <w:rsid w:val="7AEA0DF1"/>
    <w:rsid w:val="7AEF309B"/>
    <w:rsid w:val="7AF67F85"/>
    <w:rsid w:val="7AF95CC7"/>
    <w:rsid w:val="7AFD09AA"/>
    <w:rsid w:val="7B05488D"/>
    <w:rsid w:val="7B095F0A"/>
    <w:rsid w:val="7B0A06CB"/>
    <w:rsid w:val="7B0D17BE"/>
    <w:rsid w:val="7B18614D"/>
    <w:rsid w:val="7B1F0B72"/>
    <w:rsid w:val="7B1F572E"/>
    <w:rsid w:val="7B284E41"/>
    <w:rsid w:val="7B345352"/>
    <w:rsid w:val="7B354232"/>
    <w:rsid w:val="7B430CF1"/>
    <w:rsid w:val="7B4754DF"/>
    <w:rsid w:val="7B4E3BEA"/>
    <w:rsid w:val="7B532E03"/>
    <w:rsid w:val="7B5B603A"/>
    <w:rsid w:val="7B626231"/>
    <w:rsid w:val="7B656EB9"/>
    <w:rsid w:val="7B6F568B"/>
    <w:rsid w:val="7B813614"/>
    <w:rsid w:val="7B8639A2"/>
    <w:rsid w:val="7B8706E0"/>
    <w:rsid w:val="7B931C78"/>
    <w:rsid w:val="7B98728E"/>
    <w:rsid w:val="7B9E4FF6"/>
    <w:rsid w:val="7BA07EF1"/>
    <w:rsid w:val="7BAA2A01"/>
    <w:rsid w:val="7BAC2D3A"/>
    <w:rsid w:val="7BAD0F8C"/>
    <w:rsid w:val="7BAE2C50"/>
    <w:rsid w:val="7BB51BEE"/>
    <w:rsid w:val="7BB526B3"/>
    <w:rsid w:val="7BB75847"/>
    <w:rsid w:val="7BB75966"/>
    <w:rsid w:val="7BC912FA"/>
    <w:rsid w:val="7BD03832"/>
    <w:rsid w:val="7BD10038"/>
    <w:rsid w:val="7BD302C6"/>
    <w:rsid w:val="7BD71211"/>
    <w:rsid w:val="7BE06574"/>
    <w:rsid w:val="7BE218B5"/>
    <w:rsid w:val="7BE50268"/>
    <w:rsid w:val="7BF07FCB"/>
    <w:rsid w:val="7BFF730D"/>
    <w:rsid w:val="7C01327F"/>
    <w:rsid w:val="7C014FB3"/>
    <w:rsid w:val="7C0244F2"/>
    <w:rsid w:val="7C181EB2"/>
    <w:rsid w:val="7C195B55"/>
    <w:rsid w:val="7C262AEC"/>
    <w:rsid w:val="7C2B4424"/>
    <w:rsid w:val="7C2C5002"/>
    <w:rsid w:val="7C304F8E"/>
    <w:rsid w:val="7C336FB7"/>
    <w:rsid w:val="7C39281F"/>
    <w:rsid w:val="7C4371FA"/>
    <w:rsid w:val="7C4C370C"/>
    <w:rsid w:val="7C4F089D"/>
    <w:rsid w:val="7C5238E1"/>
    <w:rsid w:val="7C5D7BDC"/>
    <w:rsid w:val="7C5D7E4F"/>
    <w:rsid w:val="7C605B0C"/>
    <w:rsid w:val="7C630C65"/>
    <w:rsid w:val="7C740D99"/>
    <w:rsid w:val="7C760599"/>
    <w:rsid w:val="7C7C5114"/>
    <w:rsid w:val="7C847352"/>
    <w:rsid w:val="7C88789A"/>
    <w:rsid w:val="7C935AB5"/>
    <w:rsid w:val="7C9D7092"/>
    <w:rsid w:val="7CA87E11"/>
    <w:rsid w:val="7CB4634A"/>
    <w:rsid w:val="7CC62D8B"/>
    <w:rsid w:val="7CCA4662"/>
    <w:rsid w:val="7CCF762A"/>
    <w:rsid w:val="7CD35FC5"/>
    <w:rsid w:val="7CDC4829"/>
    <w:rsid w:val="7CDD2818"/>
    <w:rsid w:val="7CE04A49"/>
    <w:rsid w:val="7CEF1130"/>
    <w:rsid w:val="7CF60710"/>
    <w:rsid w:val="7CFE7BF1"/>
    <w:rsid w:val="7D00333D"/>
    <w:rsid w:val="7D040449"/>
    <w:rsid w:val="7D0A5491"/>
    <w:rsid w:val="7D140B97"/>
    <w:rsid w:val="7D1D2D01"/>
    <w:rsid w:val="7D231188"/>
    <w:rsid w:val="7D357EBC"/>
    <w:rsid w:val="7D407128"/>
    <w:rsid w:val="7D435848"/>
    <w:rsid w:val="7D4A331D"/>
    <w:rsid w:val="7D582BD3"/>
    <w:rsid w:val="7D633A67"/>
    <w:rsid w:val="7D6B6AB1"/>
    <w:rsid w:val="7D6F29AF"/>
    <w:rsid w:val="7D705CBB"/>
    <w:rsid w:val="7D7E3B4B"/>
    <w:rsid w:val="7D80447E"/>
    <w:rsid w:val="7D8103DB"/>
    <w:rsid w:val="7D817656"/>
    <w:rsid w:val="7D845D1C"/>
    <w:rsid w:val="7D8862B7"/>
    <w:rsid w:val="7D8C71F3"/>
    <w:rsid w:val="7D935E67"/>
    <w:rsid w:val="7D956671"/>
    <w:rsid w:val="7D99109C"/>
    <w:rsid w:val="7D9B184A"/>
    <w:rsid w:val="7D9F519D"/>
    <w:rsid w:val="7DA3023D"/>
    <w:rsid w:val="7DA43CC8"/>
    <w:rsid w:val="7DAB6D2C"/>
    <w:rsid w:val="7DAE0FEB"/>
    <w:rsid w:val="7DAF266D"/>
    <w:rsid w:val="7DB032BB"/>
    <w:rsid w:val="7DB61C4E"/>
    <w:rsid w:val="7DB71C83"/>
    <w:rsid w:val="7DB84577"/>
    <w:rsid w:val="7DBF5565"/>
    <w:rsid w:val="7DC9372F"/>
    <w:rsid w:val="7DD303DA"/>
    <w:rsid w:val="7DD9273F"/>
    <w:rsid w:val="7DE20C95"/>
    <w:rsid w:val="7DE40F78"/>
    <w:rsid w:val="7DE871B4"/>
    <w:rsid w:val="7DEA0341"/>
    <w:rsid w:val="7DEB37E9"/>
    <w:rsid w:val="7DF82266"/>
    <w:rsid w:val="7E000F16"/>
    <w:rsid w:val="7E0751A3"/>
    <w:rsid w:val="7E197282"/>
    <w:rsid w:val="7E1A5C35"/>
    <w:rsid w:val="7E1D3A7B"/>
    <w:rsid w:val="7E2766A8"/>
    <w:rsid w:val="7E297621"/>
    <w:rsid w:val="7E2C4707"/>
    <w:rsid w:val="7E35325C"/>
    <w:rsid w:val="7E393919"/>
    <w:rsid w:val="7E395B7B"/>
    <w:rsid w:val="7E397153"/>
    <w:rsid w:val="7E493D4F"/>
    <w:rsid w:val="7E4A6504"/>
    <w:rsid w:val="7E4D4360"/>
    <w:rsid w:val="7E4E1E86"/>
    <w:rsid w:val="7E5E5A0F"/>
    <w:rsid w:val="7E6E2528"/>
    <w:rsid w:val="7E786F03"/>
    <w:rsid w:val="7E795086"/>
    <w:rsid w:val="7E7E09BD"/>
    <w:rsid w:val="7E845D81"/>
    <w:rsid w:val="7E8813E9"/>
    <w:rsid w:val="7E9E696A"/>
    <w:rsid w:val="7EA96C28"/>
    <w:rsid w:val="7EAB45DB"/>
    <w:rsid w:val="7EB97C47"/>
    <w:rsid w:val="7EBF64A4"/>
    <w:rsid w:val="7EC00C27"/>
    <w:rsid w:val="7EC27667"/>
    <w:rsid w:val="7EC62364"/>
    <w:rsid w:val="7ECB606F"/>
    <w:rsid w:val="7ECF0986"/>
    <w:rsid w:val="7EE328E6"/>
    <w:rsid w:val="7EEA3505"/>
    <w:rsid w:val="7EEC6DDC"/>
    <w:rsid w:val="7EF20E16"/>
    <w:rsid w:val="7EF22037"/>
    <w:rsid w:val="7EF649F8"/>
    <w:rsid w:val="7EF71012"/>
    <w:rsid w:val="7EF77AD5"/>
    <w:rsid w:val="7F0C5FC9"/>
    <w:rsid w:val="7F1050B8"/>
    <w:rsid w:val="7F1175B5"/>
    <w:rsid w:val="7F121106"/>
    <w:rsid w:val="7F1B445E"/>
    <w:rsid w:val="7F261F6C"/>
    <w:rsid w:val="7F2F74D9"/>
    <w:rsid w:val="7F4008AF"/>
    <w:rsid w:val="7F4B329E"/>
    <w:rsid w:val="7F4B424A"/>
    <w:rsid w:val="7F691204"/>
    <w:rsid w:val="7F711704"/>
    <w:rsid w:val="7F737DF6"/>
    <w:rsid w:val="7F796BA3"/>
    <w:rsid w:val="7F7A3700"/>
    <w:rsid w:val="7F7E4E2C"/>
    <w:rsid w:val="7F9014F2"/>
    <w:rsid w:val="7F9020BE"/>
    <w:rsid w:val="7F906B71"/>
    <w:rsid w:val="7F911291"/>
    <w:rsid w:val="7FAC5D77"/>
    <w:rsid w:val="7FB623D9"/>
    <w:rsid w:val="7FBF10CB"/>
    <w:rsid w:val="7FC33FFE"/>
    <w:rsid w:val="7FC625E9"/>
    <w:rsid w:val="7FCE57F4"/>
    <w:rsid w:val="7FD5285F"/>
    <w:rsid w:val="7FD64829"/>
    <w:rsid w:val="7FDE0B57"/>
    <w:rsid w:val="7FE02050"/>
    <w:rsid w:val="7FE2578F"/>
    <w:rsid w:val="7FEB2083"/>
    <w:rsid w:val="7FF13411"/>
    <w:rsid w:val="7FF408E5"/>
    <w:rsid w:val="7FF60A27"/>
    <w:rsid w:val="7FF672E6"/>
    <w:rsid w:val="7FFF5F4E"/>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iPriority="99"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autoRedefine/>
    <w:qFormat/>
    <w:uiPriority w:val="0"/>
    <w:pPr>
      <w:keepNext/>
      <w:keepLines/>
      <w:adjustRightInd w:val="0"/>
      <w:snapToGrid w:val="0"/>
      <w:spacing w:before="156" w:line="360" w:lineRule="auto"/>
      <w:outlineLvl w:val="1"/>
    </w:pPr>
    <w:rPr>
      <w:b/>
      <w:sz w:val="24"/>
    </w:rPr>
  </w:style>
  <w:style w:type="paragraph" w:styleId="5">
    <w:name w:val="heading 3"/>
    <w:basedOn w:val="1"/>
    <w:next w:val="1"/>
    <w:autoRedefine/>
    <w:qFormat/>
    <w:uiPriority w:val="0"/>
    <w:pPr>
      <w:keepNext/>
      <w:keepLines/>
      <w:spacing w:line="360" w:lineRule="auto"/>
      <w:ind w:left="852"/>
      <w:outlineLvl w:val="2"/>
    </w:pPr>
    <w:rPr>
      <w:rFonts w:eastAsia="黑体"/>
      <w:b/>
      <w:kern w:val="0"/>
      <w:sz w:val="24"/>
    </w:rPr>
  </w:style>
  <w:style w:type="paragraph" w:styleId="6">
    <w:name w:val="heading 4"/>
    <w:basedOn w:val="1"/>
    <w:next w:val="1"/>
    <w:autoRedefine/>
    <w:qFormat/>
    <w:uiPriority w:val="0"/>
    <w:pPr>
      <w:keepNext/>
      <w:keepLines/>
      <w:spacing w:line="360" w:lineRule="auto"/>
      <w:outlineLvl w:val="3"/>
    </w:pPr>
    <w:rPr>
      <w:b/>
      <w:sz w:val="24"/>
    </w:rPr>
  </w:style>
  <w:style w:type="character" w:default="1" w:styleId="35">
    <w:name w:val="Default Paragraph Font"/>
    <w:autoRedefine/>
    <w:semiHidden/>
    <w:unhideWhenUsed/>
    <w:qFormat/>
    <w:uiPriority w:val="1"/>
  </w:style>
  <w:style w:type="table" w:default="1" w:styleId="33">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pPr>
      <w:spacing w:after="120"/>
    </w:pPr>
  </w:style>
  <w:style w:type="paragraph" w:styleId="7">
    <w:name w:val="List 3"/>
    <w:basedOn w:val="1"/>
    <w:unhideWhenUsed/>
    <w:qFormat/>
    <w:uiPriority w:val="99"/>
    <w:pPr>
      <w:ind w:left="1260" w:hanging="420"/>
    </w:pPr>
  </w:style>
  <w:style w:type="paragraph" w:styleId="8">
    <w:name w:val="table of authorities"/>
    <w:basedOn w:val="1"/>
    <w:next w:val="1"/>
    <w:semiHidden/>
    <w:qFormat/>
    <w:uiPriority w:val="0"/>
    <w:pPr>
      <w:ind w:left="420" w:leftChars="200"/>
    </w:pPr>
  </w:style>
  <w:style w:type="paragraph" w:styleId="9">
    <w:name w:val="index 8"/>
    <w:basedOn w:val="1"/>
    <w:next w:val="1"/>
    <w:qFormat/>
    <w:uiPriority w:val="0"/>
    <w:pPr>
      <w:shd w:val="clear" w:color="auto" w:fill="FFFFFF"/>
    </w:pPr>
  </w:style>
  <w:style w:type="paragraph" w:styleId="10">
    <w:name w:val="Normal Indent"/>
    <w:basedOn w:val="1"/>
    <w:next w:val="11"/>
    <w:autoRedefine/>
    <w:qFormat/>
    <w:uiPriority w:val="0"/>
    <w:pPr>
      <w:ind w:firstLine="420" w:firstLineChars="200"/>
    </w:pPr>
  </w:style>
  <w:style w:type="paragraph" w:styleId="11">
    <w:name w:val="toc 1"/>
    <w:basedOn w:val="1"/>
    <w:next w:val="1"/>
    <w:autoRedefine/>
    <w:qFormat/>
    <w:uiPriority w:val="0"/>
  </w:style>
  <w:style w:type="paragraph" w:styleId="12">
    <w:name w:val="caption"/>
    <w:basedOn w:val="1"/>
    <w:next w:val="1"/>
    <w:autoRedefine/>
    <w:qFormat/>
    <w:uiPriority w:val="0"/>
    <w:rPr>
      <w:rFonts w:ascii="Arial" w:hAnsi="Arial" w:eastAsia="黑体" w:cs="Arial"/>
      <w:sz w:val="20"/>
      <w:szCs w:val="20"/>
    </w:rPr>
  </w:style>
  <w:style w:type="paragraph" w:styleId="13">
    <w:name w:val="toa heading"/>
    <w:basedOn w:val="1"/>
    <w:next w:val="1"/>
    <w:autoRedefine/>
    <w:unhideWhenUsed/>
    <w:qFormat/>
    <w:uiPriority w:val="99"/>
    <w:pPr>
      <w:spacing w:before="120"/>
    </w:pPr>
    <w:rPr>
      <w:rFonts w:ascii="Cambria" w:hAnsi="Cambria"/>
      <w:sz w:val="24"/>
    </w:rPr>
  </w:style>
  <w:style w:type="paragraph" w:styleId="14">
    <w:name w:val="annotation text"/>
    <w:basedOn w:val="1"/>
    <w:link w:val="139"/>
    <w:autoRedefine/>
    <w:qFormat/>
    <w:uiPriority w:val="0"/>
    <w:pPr>
      <w:jc w:val="left"/>
    </w:pPr>
  </w:style>
  <w:style w:type="paragraph" w:styleId="15">
    <w:name w:val="Salutation"/>
    <w:basedOn w:val="1"/>
    <w:next w:val="1"/>
    <w:autoRedefine/>
    <w:qFormat/>
    <w:uiPriority w:val="0"/>
  </w:style>
  <w:style w:type="paragraph" w:styleId="16">
    <w:name w:val="Body Text Indent"/>
    <w:basedOn w:val="1"/>
    <w:next w:val="17"/>
    <w:autoRedefine/>
    <w:qFormat/>
    <w:uiPriority w:val="0"/>
    <w:pPr>
      <w:widowControl/>
      <w:spacing w:after="120"/>
      <w:ind w:left="420" w:leftChars="200"/>
      <w:jc w:val="left"/>
    </w:pPr>
    <w:rPr>
      <w:kern w:val="0"/>
      <w:sz w:val="24"/>
    </w:rPr>
  </w:style>
  <w:style w:type="paragraph" w:styleId="17">
    <w:name w:val="header"/>
    <w:basedOn w:val="1"/>
    <w:link w:val="149"/>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Block Text"/>
    <w:basedOn w:val="1"/>
    <w:autoRedefine/>
    <w:qFormat/>
    <w:uiPriority w:val="0"/>
    <w:pPr>
      <w:spacing w:after="120"/>
      <w:ind w:left="1440" w:leftChars="700" w:right="1440" w:rightChars="700"/>
    </w:pPr>
  </w:style>
  <w:style w:type="paragraph" w:styleId="19">
    <w:name w:val="Plain Text"/>
    <w:basedOn w:val="1"/>
    <w:next w:val="20"/>
    <w:autoRedefine/>
    <w:qFormat/>
    <w:uiPriority w:val="0"/>
    <w:rPr>
      <w:rFonts w:ascii="宋体" w:hAnsi="Courier New"/>
    </w:rPr>
  </w:style>
  <w:style w:type="paragraph" w:customStyle="1" w:styleId="20">
    <w:name w:val="Default"/>
    <w:basedOn w:val="21"/>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1">
    <w:name w:val="纯文本1"/>
    <w:basedOn w:val="1"/>
    <w:autoRedefine/>
    <w:qFormat/>
    <w:uiPriority w:val="0"/>
    <w:pPr>
      <w:adjustRightInd w:val="0"/>
    </w:pPr>
    <w:rPr>
      <w:rFonts w:ascii="宋体" w:hAnsi="Courier New"/>
      <w:szCs w:val="20"/>
    </w:rPr>
  </w:style>
  <w:style w:type="paragraph" w:styleId="22">
    <w:name w:val="Date"/>
    <w:basedOn w:val="1"/>
    <w:next w:val="1"/>
    <w:autoRedefine/>
    <w:qFormat/>
    <w:uiPriority w:val="0"/>
    <w:rPr>
      <w:sz w:val="24"/>
      <w:szCs w:val="20"/>
    </w:rPr>
  </w:style>
  <w:style w:type="paragraph" w:styleId="23">
    <w:name w:val="Body Text Indent 2"/>
    <w:basedOn w:val="1"/>
    <w:autoRedefine/>
    <w:qFormat/>
    <w:uiPriority w:val="0"/>
    <w:pPr>
      <w:spacing w:after="120" w:line="480" w:lineRule="auto"/>
      <w:ind w:left="200" w:leftChars="200"/>
    </w:pPr>
    <w:rPr>
      <w:sz w:val="24"/>
    </w:rPr>
  </w:style>
  <w:style w:type="paragraph" w:styleId="24">
    <w:name w:val="Balloon Text"/>
    <w:basedOn w:val="1"/>
    <w:link w:val="141"/>
    <w:autoRedefine/>
    <w:qFormat/>
    <w:uiPriority w:val="0"/>
    <w:rPr>
      <w:sz w:val="18"/>
      <w:szCs w:val="18"/>
    </w:rPr>
  </w:style>
  <w:style w:type="paragraph" w:styleId="25">
    <w:name w:val="footer"/>
    <w:basedOn w:val="1"/>
    <w:link w:val="150"/>
    <w:autoRedefine/>
    <w:qFormat/>
    <w:uiPriority w:val="99"/>
    <w:pPr>
      <w:tabs>
        <w:tab w:val="center" w:pos="4153"/>
        <w:tab w:val="right" w:pos="8306"/>
      </w:tabs>
      <w:snapToGrid w:val="0"/>
      <w:jc w:val="left"/>
    </w:pPr>
    <w:rPr>
      <w:kern w:val="0"/>
      <w:sz w:val="18"/>
      <w:szCs w:val="20"/>
    </w:rPr>
  </w:style>
  <w:style w:type="paragraph" w:styleId="26">
    <w:name w:val="index heading"/>
    <w:basedOn w:val="1"/>
    <w:next w:val="27"/>
    <w:autoRedefine/>
    <w:qFormat/>
    <w:uiPriority w:val="0"/>
    <w:rPr>
      <w:rFonts w:ascii="Arial" w:hAnsi="Arial"/>
      <w:b/>
    </w:rPr>
  </w:style>
  <w:style w:type="paragraph" w:styleId="27">
    <w:name w:val="index 1"/>
    <w:basedOn w:val="1"/>
    <w:next w:val="1"/>
    <w:autoRedefine/>
    <w:semiHidden/>
    <w:qFormat/>
    <w:uiPriority w:val="0"/>
    <w:pPr>
      <w:adjustRightInd w:val="0"/>
      <w:snapToGrid w:val="0"/>
      <w:ind w:firstLine="823" w:firstLineChars="358"/>
      <w:jc w:val="left"/>
    </w:pPr>
    <w:rPr>
      <w:rFonts w:ascii="宋体" w:hAnsi="宋体"/>
      <w:spacing w:val="10"/>
    </w:rPr>
  </w:style>
  <w:style w:type="paragraph" w:styleId="28">
    <w:name w:val="Body Text Indent 3"/>
    <w:basedOn w:val="1"/>
    <w:autoRedefine/>
    <w:qFormat/>
    <w:uiPriority w:val="0"/>
    <w:pPr>
      <w:spacing w:after="120"/>
      <w:ind w:left="420" w:leftChars="200"/>
    </w:pPr>
    <w:rPr>
      <w:sz w:val="16"/>
      <w:szCs w:val="16"/>
    </w:rPr>
  </w:style>
  <w:style w:type="paragraph" w:styleId="29">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30">
    <w:name w:val="annotation subject"/>
    <w:basedOn w:val="14"/>
    <w:next w:val="14"/>
    <w:link w:val="140"/>
    <w:autoRedefine/>
    <w:qFormat/>
    <w:uiPriority w:val="0"/>
    <w:rPr>
      <w:b/>
      <w:bCs/>
    </w:rPr>
  </w:style>
  <w:style w:type="paragraph" w:styleId="31">
    <w:name w:val="Body Text First Indent"/>
    <w:basedOn w:val="2"/>
    <w:next w:val="1"/>
    <w:autoRedefine/>
    <w:qFormat/>
    <w:uiPriority w:val="0"/>
    <w:pPr>
      <w:ind w:firstLine="420" w:firstLineChars="100"/>
    </w:pPr>
    <w:rPr>
      <w:sz w:val="24"/>
    </w:rPr>
  </w:style>
  <w:style w:type="paragraph" w:styleId="32">
    <w:name w:val="Body Text First Indent 2"/>
    <w:basedOn w:val="1"/>
    <w:next w:val="31"/>
    <w:autoRedefine/>
    <w:qFormat/>
    <w:uiPriority w:val="0"/>
    <w:pPr>
      <w:widowControl w:val="0"/>
      <w:ind w:firstLine="420" w:firstLineChars="200"/>
      <w:jc w:val="both"/>
    </w:pPr>
    <w:rPr>
      <w:kern w:val="2"/>
      <w:sz w:val="21"/>
    </w:rPr>
  </w:style>
  <w:style w:type="table" w:styleId="34">
    <w:name w:val="Table Grid"/>
    <w:basedOn w:val="3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autoRedefine/>
    <w:qFormat/>
    <w:uiPriority w:val="0"/>
    <w:rPr>
      <w:b/>
    </w:rPr>
  </w:style>
  <w:style w:type="character" w:styleId="37">
    <w:name w:val="page number"/>
    <w:basedOn w:val="35"/>
    <w:autoRedefine/>
    <w:qFormat/>
    <w:uiPriority w:val="0"/>
  </w:style>
  <w:style w:type="character" w:styleId="38">
    <w:name w:val="FollowedHyperlink"/>
    <w:basedOn w:val="35"/>
    <w:qFormat/>
    <w:uiPriority w:val="0"/>
    <w:rPr>
      <w:color w:val="800080"/>
      <w:u w:val="none"/>
    </w:rPr>
  </w:style>
  <w:style w:type="character" w:styleId="39">
    <w:name w:val="Emphasis"/>
    <w:autoRedefine/>
    <w:qFormat/>
    <w:uiPriority w:val="20"/>
  </w:style>
  <w:style w:type="character" w:styleId="40">
    <w:name w:val="Hyperlink"/>
    <w:basedOn w:val="35"/>
    <w:autoRedefine/>
    <w:qFormat/>
    <w:uiPriority w:val="0"/>
    <w:rPr>
      <w:color w:val="000000"/>
      <w:u w:val="none"/>
    </w:rPr>
  </w:style>
  <w:style w:type="character" w:styleId="41">
    <w:name w:val="annotation reference"/>
    <w:basedOn w:val="35"/>
    <w:autoRedefine/>
    <w:qFormat/>
    <w:uiPriority w:val="0"/>
    <w:rPr>
      <w:sz w:val="21"/>
    </w:rPr>
  </w:style>
  <w:style w:type="paragraph" w:customStyle="1" w:styleId="42">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43">
    <w:name w:val="正文1"/>
    <w:basedOn w:val="31"/>
    <w:autoRedefine/>
    <w:qFormat/>
    <w:uiPriority w:val="0"/>
    <w:pPr>
      <w:spacing w:line="240" w:lineRule="auto"/>
      <w:ind w:firstLine="0" w:firstLineChars="0"/>
      <w:jc w:val="center"/>
    </w:pPr>
  </w:style>
  <w:style w:type="paragraph" w:customStyle="1" w:styleId="44">
    <w:name w:val="正文LTT"/>
    <w:basedOn w:val="1"/>
    <w:link w:val="46"/>
    <w:autoRedefine/>
    <w:qFormat/>
    <w:uiPriority w:val="0"/>
    <w:pPr>
      <w:spacing w:line="360" w:lineRule="auto"/>
      <w:ind w:firstLine="440" w:firstLineChars="200"/>
    </w:pPr>
    <w:rPr>
      <w:sz w:val="24"/>
    </w:rPr>
  </w:style>
  <w:style w:type="paragraph" w:customStyle="1" w:styleId="45">
    <w:name w:val="表标题LTT"/>
    <w:basedOn w:val="1"/>
    <w:next w:val="44"/>
    <w:autoRedefine/>
    <w:qFormat/>
    <w:uiPriority w:val="0"/>
    <w:pPr>
      <w:spacing w:before="60"/>
      <w:jc w:val="center"/>
    </w:pPr>
    <w:rPr>
      <w:b/>
    </w:rPr>
  </w:style>
  <w:style w:type="character" w:customStyle="1" w:styleId="46">
    <w:name w:val="正文LTT Char"/>
    <w:link w:val="44"/>
    <w:autoRedefine/>
    <w:qFormat/>
    <w:uiPriority w:val="0"/>
    <w:rPr>
      <w:rFonts w:ascii="Times New Roman" w:hAnsi="Times New Roman" w:eastAsia="宋体"/>
      <w:sz w:val="24"/>
    </w:rPr>
  </w:style>
  <w:style w:type="paragraph" w:customStyle="1" w:styleId="47">
    <w:name w:val="样式 标题 1 + 四号 段前: 0 磅 段后: 0 磅 行距: 1.5 倍行距"/>
    <w:basedOn w:val="48"/>
    <w:autoRedefine/>
    <w:qFormat/>
    <w:uiPriority w:val="0"/>
    <w:pPr>
      <w:spacing w:line="360" w:lineRule="auto"/>
      <w:jc w:val="center"/>
    </w:pPr>
  </w:style>
  <w:style w:type="paragraph" w:customStyle="1" w:styleId="48">
    <w:name w:val="1正文"/>
    <w:basedOn w:val="1"/>
    <w:qFormat/>
    <w:uiPriority w:val="0"/>
    <w:pPr>
      <w:spacing w:line="500" w:lineRule="exact"/>
      <w:ind w:firstLine="588" w:firstLineChars="196"/>
    </w:pPr>
    <w:rPr>
      <w:rFonts w:eastAsia="楷体_GB2312"/>
      <w:sz w:val="30"/>
      <w:szCs w:val="30"/>
    </w:rPr>
  </w:style>
  <w:style w:type="paragraph" w:customStyle="1" w:styleId="49">
    <w:name w:val="文本正文"/>
    <w:basedOn w:val="1"/>
    <w:autoRedefine/>
    <w:qFormat/>
    <w:uiPriority w:val="0"/>
    <w:pPr>
      <w:snapToGrid w:val="0"/>
      <w:spacing w:line="360" w:lineRule="auto"/>
      <w:ind w:firstLine="510"/>
      <w:jc w:val="left"/>
    </w:pPr>
    <w:rPr>
      <w:spacing w:val="4"/>
      <w:kern w:val="24"/>
      <w:lang w:val="zh-CN"/>
    </w:rPr>
  </w:style>
  <w:style w:type="paragraph" w:customStyle="1" w:styleId="50">
    <w:name w:val="报告表正文"/>
    <w:basedOn w:val="1"/>
    <w:autoRedefine/>
    <w:qFormat/>
    <w:uiPriority w:val="0"/>
    <w:pPr>
      <w:adjustRightInd w:val="0"/>
      <w:spacing w:line="312" w:lineRule="auto"/>
      <w:ind w:left="113" w:right="113" w:firstLine="482"/>
      <w:jc w:val="left"/>
      <w:textAlignment w:val="baseline"/>
    </w:pPr>
    <w:rPr>
      <w:kern w:val="0"/>
      <w:sz w:val="24"/>
    </w:rPr>
  </w:style>
  <w:style w:type="paragraph" w:customStyle="1" w:styleId="51">
    <w:name w:val="样式 黑色 行距: 最小值 26 磅"/>
    <w:basedOn w:val="1"/>
    <w:autoRedefine/>
    <w:qFormat/>
    <w:uiPriority w:val="0"/>
    <w:pPr>
      <w:ind w:firstLine="200" w:firstLineChars="200"/>
      <w:jc w:val="left"/>
    </w:pPr>
    <w:rPr>
      <w:rFonts w:eastAsia="楷体_GB2312" w:cs="宋体"/>
      <w:color w:val="000000"/>
      <w:spacing w:val="6"/>
      <w:sz w:val="28"/>
      <w:szCs w:val="20"/>
    </w:rPr>
  </w:style>
  <w:style w:type="paragraph" w:customStyle="1" w:styleId="52">
    <w:name w:val="表格"/>
    <w:basedOn w:val="10"/>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53">
    <w:name w:val="图标题"/>
    <w:basedOn w:val="1"/>
    <w:autoRedefine/>
    <w:qFormat/>
    <w:uiPriority w:val="0"/>
    <w:pPr>
      <w:tabs>
        <w:tab w:val="left" w:pos="1035"/>
      </w:tabs>
      <w:spacing w:afterLines="100"/>
      <w:jc w:val="center"/>
    </w:pPr>
    <w:rPr>
      <w:sz w:val="24"/>
    </w:rPr>
  </w:style>
  <w:style w:type="paragraph" w:customStyle="1" w:styleId="54">
    <w:name w:val="表格及表头"/>
    <w:basedOn w:val="1"/>
    <w:next w:val="1"/>
    <w:autoRedefine/>
    <w:qFormat/>
    <w:uiPriority w:val="0"/>
    <w:rPr>
      <w:szCs w:val="21"/>
    </w:rPr>
  </w:style>
  <w:style w:type="paragraph" w:customStyle="1" w:styleId="55">
    <w:name w:val="p17"/>
    <w:basedOn w:val="1"/>
    <w:autoRedefine/>
    <w:qFormat/>
    <w:uiPriority w:val="0"/>
    <w:pPr>
      <w:widowControl/>
      <w:spacing w:after="120"/>
    </w:pPr>
    <w:rPr>
      <w:kern w:val="0"/>
      <w:sz w:val="30"/>
      <w:szCs w:val="30"/>
    </w:rPr>
  </w:style>
  <w:style w:type="paragraph" w:customStyle="1" w:styleId="56">
    <w:name w:val="文本内容"/>
    <w:basedOn w:val="1"/>
    <w:autoRedefine/>
    <w:qFormat/>
    <w:uiPriority w:val="0"/>
    <w:pPr>
      <w:adjustRightInd w:val="0"/>
      <w:snapToGrid w:val="0"/>
      <w:spacing w:line="360" w:lineRule="auto"/>
      <w:ind w:firstLine="546" w:firstLineChars="200"/>
    </w:pPr>
    <w:rPr>
      <w:rFonts w:ascii="Calibri" w:hAnsi="Calibri"/>
      <w:sz w:val="28"/>
    </w:rPr>
  </w:style>
  <w:style w:type="character" w:customStyle="1" w:styleId="57">
    <w:name w:val="ggzbt011"/>
    <w:basedOn w:val="35"/>
    <w:autoRedefine/>
    <w:qFormat/>
    <w:uiPriority w:val="0"/>
  </w:style>
  <w:style w:type="paragraph" w:customStyle="1" w:styleId="58">
    <w:name w:val="中文报告书样式"/>
    <w:basedOn w:val="1"/>
    <w:autoRedefine/>
    <w:qFormat/>
    <w:uiPriority w:val="0"/>
    <w:pPr>
      <w:adjustRightInd w:val="0"/>
      <w:spacing w:line="480" w:lineRule="atLeast"/>
      <w:ind w:firstLine="482"/>
      <w:textAlignment w:val="baseline"/>
    </w:pPr>
    <w:rPr>
      <w:kern w:val="24"/>
      <w:sz w:val="24"/>
      <w:szCs w:val="20"/>
    </w:rPr>
  </w:style>
  <w:style w:type="character" w:customStyle="1" w:styleId="59">
    <w:name w:val="dz1"/>
    <w:autoRedefine/>
    <w:qFormat/>
    <w:uiPriority w:val="0"/>
    <w:rPr>
      <w:rFonts w:hint="default" w:ascii="Geneva" w:hAnsi="Geneva"/>
      <w:sz w:val="20"/>
      <w:szCs w:val="20"/>
    </w:rPr>
  </w:style>
  <w:style w:type="paragraph" w:customStyle="1" w:styleId="60">
    <w:name w:val="制表格"/>
    <w:basedOn w:val="1"/>
    <w:autoRedefine/>
    <w:qFormat/>
    <w:uiPriority w:val="0"/>
    <w:pPr>
      <w:jc w:val="center"/>
    </w:pPr>
    <w:rPr>
      <w:snapToGrid w:val="0"/>
      <w:kern w:val="0"/>
      <w:szCs w:val="28"/>
    </w:rPr>
  </w:style>
  <w:style w:type="paragraph" w:customStyle="1" w:styleId="61">
    <w:name w:val="环科院正文"/>
    <w:basedOn w:val="1"/>
    <w:autoRedefine/>
    <w:qFormat/>
    <w:uiPriority w:val="0"/>
    <w:pPr>
      <w:tabs>
        <w:tab w:val="left" w:pos="5760"/>
      </w:tabs>
      <w:spacing w:line="360" w:lineRule="auto"/>
      <w:ind w:firstLine="480" w:firstLineChars="200"/>
    </w:pPr>
    <w:rPr>
      <w:rFonts w:hAnsi="宋体"/>
      <w:bCs/>
      <w:sz w:val="24"/>
      <w:szCs w:val="20"/>
    </w:rPr>
  </w:style>
  <w:style w:type="paragraph" w:customStyle="1" w:styleId="62">
    <w:name w:val="11"/>
    <w:basedOn w:val="2"/>
    <w:next w:val="18"/>
    <w:qFormat/>
    <w:uiPriority w:val="0"/>
    <w:pPr>
      <w:autoSpaceDE w:val="0"/>
      <w:autoSpaceDN w:val="0"/>
      <w:adjustRightInd w:val="0"/>
      <w:spacing w:after="0" w:line="360" w:lineRule="auto"/>
      <w:ind w:firstLine="1320" w:firstLineChars="550"/>
      <w:textAlignment w:val="baseline"/>
    </w:pPr>
    <w:rPr>
      <w:sz w:val="24"/>
    </w:rPr>
  </w:style>
  <w:style w:type="paragraph" w:customStyle="1" w:styleId="63">
    <w:name w:val="样式 小四 行距: 1.5 倍行距"/>
    <w:autoRedefine/>
    <w:qFormat/>
    <w:uiPriority w:val="0"/>
    <w:pPr>
      <w:adjustRightInd w:val="0"/>
      <w:snapToGrid w:val="0"/>
      <w:spacing w:line="360" w:lineRule="auto"/>
      <w:ind w:firstLine="480" w:firstLineChars="200"/>
    </w:pPr>
    <w:rPr>
      <w:rFonts w:ascii="Times New Roman" w:hAnsi="Times New Roman" w:eastAsia="宋体" w:cs="Times New Roman"/>
      <w:sz w:val="24"/>
      <w:lang w:val="en-US" w:eastAsia="zh-CN" w:bidi="ar-SA"/>
    </w:rPr>
  </w:style>
  <w:style w:type="paragraph" w:customStyle="1" w:styleId="64">
    <w:name w:val="WPSOffice手动目录 1"/>
    <w:autoRedefine/>
    <w:qFormat/>
    <w:uiPriority w:val="0"/>
    <w:rPr>
      <w:rFonts w:ascii="Times New Roman" w:hAnsi="Times New Roman" w:eastAsia="宋体" w:cs="Times New Roman"/>
      <w:lang w:val="en-US" w:eastAsia="zh-CN" w:bidi="ar-SA"/>
    </w:rPr>
  </w:style>
  <w:style w:type="paragraph" w:customStyle="1" w:styleId="65">
    <w:name w:val="表头（书）"/>
    <w:basedOn w:val="1"/>
    <w:next w:val="52"/>
    <w:autoRedefine/>
    <w:qFormat/>
    <w:uiPriority w:val="0"/>
    <w:pPr>
      <w:numPr>
        <w:ilvl w:val="4"/>
        <w:numId w:val="1"/>
      </w:numPr>
      <w:jc w:val="center"/>
    </w:pPr>
    <w:rPr>
      <w:b/>
      <w:bCs/>
    </w:rPr>
  </w:style>
  <w:style w:type="paragraph" w:customStyle="1" w:styleId="66">
    <w:name w:val="无间隔1"/>
    <w:autoRedefine/>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67">
    <w:name w:val="p0"/>
    <w:basedOn w:val="1"/>
    <w:autoRedefine/>
    <w:qFormat/>
    <w:uiPriority w:val="0"/>
    <w:pPr>
      <w:widowControl/>
    </w:pPr>
    <w:rPr>
      <w:rFonts w:eastAsia="Arial Unicode MS"/>
      <w:kern w:val="0"/>
      <w:szCs w:val="21"/>
    </w:rPr>
  </w:style>
  <w:style w:type="paragraph" w:customStyle="1" w:styleId="68">
    <w:name w:val="赵"/>
    <w:basedOn w:val="1"/>
    <w:autoRedefine/>
    <w:qFormat/>
    <w:uiPriority w:val="0"/>
    <w:pPr>
      <w:spacing w:line="360" w:lineRule="auto"/>
      <w:ind w:firstLine="200" w:firstLineChars="200"/>
    </w:pPr>
    <w:rPr>
      <w:color w:val="000000"/>
      <w:kern w:val="0"/>
      <w:sz w:val="24"/>
    </w:rPr>
  </w:style>
  <w:style w:type="paragraph" w:customStyle="1" w:styleId="69">
    <w:name w:val="表题"/>
    <w:autoRedefine/>
    <w:qFormat/>
    <w:uiPriority w:val="0"/>
    <w:pPr>
      <w:adjustRightInd w:val="0"/>
      <w:snapToGrid w:val="0"/>
      <w:spacing w:before="156" w:after="156"/>
      <w:jc w:val="center"/>
    </w:pPr>
    <w:rPr>
      <w:rFonts w:ascii="Times New Roman" w:hAnsi="Times New Roman" w:eastAsia="PMingLiU" w:cs="Times New Roman"/>
      <w:sz w:val="24"/>
      <w:lang w:val="en-US" w:eastAsia="zh-CN" w:bidi="ar-SA"/>
    </w:rPr>
  </w:style>
  <w:style w:type="paragraph" w:customStyle="1" w:styleId="70">
    <w:name w:val="填表5中"/>
    <w:basedOn w:val="1"/>
    <w:next w:val="1"/>
    <w:autoRedefine/>
    <w:qFormat/>
    <w:uiPriority w:val="0"/>
    <w:pPr>
      <w:spacing w:line="300" w:lineRule="exact"/>
      <w:jc w:val="center"/>
    </w:pPr>
    <w:rPr>
      <w:rFonts w:ascii="宋体"/>
      <w:sz w:val="24"/>
      <w:szCs w:val="21"/>
    </w:rPr>
  </w:style>
  <w:style w:type="character" w:customStyle="1" w:styleId="71">
    <w:name w:val="fw2"/>
    <w:basedOn w:val="35"/>
    <w:autoRedefine/>
    <w:qFormat/>
    <w:uiPriority w:val="0"/>
  </w:style>
  <w:style w:type="paragraph" w:customStyle="1" w:styleId="72">
    <w:name w:val="_Style 2"/>
    <w:autoRedefine/>
    <w:qFormat/>
    <w:uiPriority w:val="0"/>
    <w:pPr>
      <w:widowControl w:val="0"/>
      <w:spacing w:line="240" w:lineRule="atLeast"/>
      <w:jc w:val="both"/>
    </w:pPr>
    <w:rPr>
      <w:rFonts w:ascii="Calibri" w:hAnsi="Calibri" w:eastAsia="宋体" w:cs="Times New Roman"/>
      <w:kern w:val="2"/>
      <w:sz w:val="21"/>
      <w:szCs w:val="22"/>
      <w:lang w:val="en-US" w:eastAsia="zh-CN" w:bidi="ar-SA"/>
    </w:rPr>
  </w:style>
  <w:style w:type="paragraph" w:customStyle="1" w:styleId="73">
    <w:name w:val="1文章"/>
    <w:basedOn w:val="1"/>
    <w:autoRedefine/>
    <w:qFormat/>
    <w:uiPriority w:val="0"/>
    <w:pPr>
      <w:spacing w:line="360" w:lineRule="auto"/>
      <w:ind w:firstLine="573"/>
    </w:pPr>
    <w:rPr>
      <w:rFonts w:eastAsia="楷体_GB2312"/>
      <w:sz w:val="28"/>
      <w:szCs w:val="20"/>
    </w:rPr>
  </w:style>
  <w:style w:type="paragraph" w:customStyle="1" w:styleId="74">
    <w:name w:val="正文内容"/>
    <w:autoRedefine/>
    <w:qFormat/>
    <w:uiPriority w:val="0"/>
    <w:pPr>
      <w:widowControl w:val="0"/>
      <w:snapToGrid w:val="0"/>
      <w:spacing w:before="60" w:after="60" w:line="44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75">
    <w:name w:val="列出段落1"/>
    <w:basedOn w:val="1"/>
    <w:autoRedefine/>
    <w:qFormat/>
    <w:uiPriority w:val="0"/>
    <w:pPr>
      <w:ind w:firstLine="420" w:firstLineChars="200"/>
    </w:pPr>
    <w:rPr>
      <w:szCs w:val="22"/>
    </w:rPr>
  </w:style>
  <w:style w:type="paragraph" w:customStyle="1" w:styleId="76">
    <w:name w:val="报告表格"/>
    <w:basedOn w:val="1"/>
    <w:autoRedefine/>
    <w:qFormat/>
    <w:uiPriority w:val="0"/>
    <w:pPr>
      <w:autoSpaceDE w:val="0"/>
      <w:autoSpaceDN w:val="0"/>
      <w:adjustRightInd w:val="0"/>
      <w:spacing w:before="40" w:after="40"/>
      <w:jc w:val="center"/>
    </w:pPr>
    <w:rPr>
      <w:kern w:val="0"/>
    </w:rPr>
  </w:style>
  <w:style w:type="paragraph" w:customStyle="1" w:styleId="77">
    <w:name w:val="正文01"/>
    <w:basedOn w:val="4"/>
    <w:link w:val="78"/>
    <w:autoRedefine/>
    <w:qFormat/>
    <w:uiPriority w:val="0"/>
    <w:pPr>
      <w:keepNext w:val="0"/>
      <w:keepLines w:val="0"/>
      <w:adjustRightInd/>
      <w:snapToGrid/>
      <w:spacing w:before="60" w:line="460" w:lineRule="exact"/>
      <w:ind w:firstLine="200" w:firstLineChars="200"/>
      <w:outlineLvl w:val="9"/>
    </w:pPr>
    <w:rPr>
      <w:b w:val="0"/>
    </w:rPr>
  </w:style>
  <w:style w:type="character" w:customStyle="1" w:styleId="78">
    <w:name w:val="正文01 Char"/>
    <w:link w:val="77"/>
    <w:autoRedefine/>
    <w:qFormat/>
    <w:uiPriority w:val="0"/>
    <w:rPr>
      <w:rFonts w:ascii="Times New Roman" w:hAnsi="Times New Roman"/>
    </w:rPr>
  </w:style>
  <w:style w:type="paragraph" w:customStyle="1" w:styleId="79">
    <w:name w:val="表格 32"/>
    <w:basedOn w:val="1"/>
    <w:autoRedefine/>
    <w:qFormat/>
    <w:uiPriority w:val="0"/>
    <w:pPr>
      <w:autoSpaceDE w:val="0"/>
      <w:autoSpaceDN w:val="0"/>
      <w:adjustRightInd w:val="0"/>
      <w:jc w:val="center"/>
      <w:textAlignment w:val="baseline"/>
    </w:pPr>
    <w:rPr>
      <w:rFonts w:ascii="宋体" w:hAnsi="Impact"/>
      <w:kern w:val="24"/>
    </w:rPr>
  </w:style>
  <w:style w:type="paragraph" w:customStyle="1" w:styleId="80">
    <w:name w:val="reader-word-layer reader-word-s6-8"/>
    <w:basedOn w:val="1"/>
    <w:autoRedefine/>
    <w:qFormat/>
    <w:uiPriority w:val="0"/>
    <w:pPr>
      <w:widowControl/>
      <w:spacing w:before="100" w:beforeAutospacing="1" w:after="100" w:afterAutospacing="1"/>
      <w:jc w:val="left"/>
    </w:pPr>
    <w:rPr>
      <w:rFonts w:cs="宋体"/>
      <w:kern w:val="0"/>
      <w:sz w:val="24"/>
    </w:rPr>
  </w:style>
  <w:style w:type="paragraph" w:customStyle="1" w:styleId="81">
    <w:name w:val="正文样式1"/>
    <w:basedOn w:val="1"/>
    <w:autoRedefine/>
    <w:qFormat/>
    <w:uiPriority w:val="0"/>
    <w:pPr>
      <w:adjustRightInd w:val="0"/>
      <w:spacing w:line="288" w:lineRule="auto"/>
      <w:ind w:firstLine="360" w:firstLineChars="150"/>
      <w:textAlignment w:val="baseline"/>
    </w:pPr>
    <w:rPr>
      <w:kern w:val="0"/>
      <w:sz w:val="24"/>
      <w:szCs w:val="20"/>
    </w:rPr>
  </w:style>
  <w:style w:type="character" w:customStyle="1" w:styleId="82">
    <w:name w:val="正文文本 Char1"/>
    <w:autoRedefine/>
    <w:qFormat/>
    <w:uiPriority w:val="0"/>
    <w:rPr>
      <w:rFonts w:eastAsia="宋体"/>
      <w:kern w:val="2"/>
      <w:sz w:val="28"/>
      <w:szCs w:val="24"/>
      <w:lang w:val="en-US" w:eastAsia="zh-CN" w:bidi="ar-SA"/>
    </w:rPr>
  </w:style>
  <w:style w:type="paragraph" w:customStyle="1" w:styleId="83">
    <w:name w:val="文本22"/>
    <w:basedOn w:val="1"/>
    <w:autoRedefine/>
    <w:qFormat/>
    <w:uiPriority w:val="0"/>
    <w:pPr>
      <w:autoSpaceDE w:val="0"/>
      <w:autoSpaceDN w:val="0"/>
      <w:adjustRightInd w:val="0"/>
      <w:spacing w:line="360" w:lineRule="auto"/>
      <w:ind w:firstLine="480" w:firstLineChars="200"/>
    </w:pPr>
    <w:rPr>
      <w:sz w:val="24"/>
    </w:rPr>
  </w:style>
  <w:style w:type="paragraph" w:customStyle="1" w:styleId="84">
    <w:name w:val="样式 cucd-0 + (西文) Arial (中文) 仿宋_GB2312"/>
    <w:basedOn w:val="1"/>
    <w:autoRedefine/>
    <w:qFormat/>
    <w:uiPriority w:val="0"/>
    <w:pPr>
      <w:widowControl/>
      <w:spacing w:line="360" w:lineRule="auto"/>
      <w:ind w:firstLine="480" w:firstLineChars="200"/>
      <w:jc w:val="left"/>
    </w:pPr>
    <w:rPr>
      <w:rFonts w:ascii="Arial" w:hAnsi="Arial" w:eastAsia="仿宋_GB2312"/>
      <w:sz w:val="28"/>
      <w:szCs w:val="21"/>
    </w:rPr>
  </w:style>
  <w:style w:type="paragraph" w:customStyle="1" w:styleId="85">
    <w:name w:val="缩进2正文"/>
    <w:basedOn w:val="86"/>
    <w:autoRedefine/>
    <w:qFormat/>
    <w:uiPriority w:val="0"/>
    <w:pPr>
      <w:tabs>
        <w:tab w:val="left" w:pos="4860"/>
      </w:tabs>
      <w:ind w:firstLine="560"/>
      <w:jc w:val="both"/>
    </w:pPr>
    <w:rPr>
      <w:sz w:val="28"/>
      <w:szCs w:val="28"/>
    </w:rPr>
  </w:style>
  <w:style w:type="paragraph" w:customStyle="1" w:styleId="86">
    <w:name w:val="报告正文"/>
    <w:basedOn w:val="1"/>
    <w:autoRedefine/>
    <w:qFormat/>
    <w:uiPriority w:val="0"/>
    <w:pPr>
      <w:spacing w:line="360" w:lineRule="auto"/>
      <w:ind w:firstLine="200" w:firstLineChars="200"/>
      <w:jc w:val="left"/>
    </w:pPr>
    <w:rPr>
      <w:sz w:val="24"/>
    </w:rPr>
  </w:style>
  <w:style w:type="paragraph" w:customStyle="1" w:styleId="87">
    <w:name w:val="列出段落11"/>
    <w:basedOn w:val="1"/>
    <w:autoRedefine/>
    <w:qFormat/>
    <w:uiPriority w:val="34"/>
    <w:pPr>
      <w:ind w:firstLine="420" w:firstLineChars="200"/>
    </w:pPr>
    <w:rPr>
      <w:szCs w:val="20"/>
    </w:rPr>
  </w:style>
  <w:style w:type="paragraph" w:customStyle="1" w:styleId="88">
    <w:name w:val="Char"/>
    <w:basedOn w:val="1"/>
    <w:autoRedefine/>
    <w:qFormat/>
    <w:uiPriority w:val="0"/>
    <w:pPr>
      <w:snapToGrid w:val="0"/>
      <w:spacing w:line="360" w:lineRule="auto"/>
      <w:ind w:firstLine="529" w:firstLineChars="200"/>
    </w:pPr>
  </w:style>
  <w:style w:type="paragraph" w:customStyle="1" w:styleId="89">
    <w:name w:val="Table Paragraph"/>
    <w:basedOn w:val="1"/>
    <w:autoRedefine/>
    <w:unhideWhenUsed/>
    <w:qFormat/>
    <w:uiPriority w:val="1"/>
    <w:rPr>
      <w:sz w:val="24"/>
    </w:rPr>
  </w:style>
  <w:style w:type="paragraph" w:customStyle="1" w:styleId="90">
    <w:name w:val="样式1"/>
    <w:basedOn w:val="8"/>
    <w:autoRedefine/>
    <w:qFormat/>
    <w:uiPriority w:val="0"/>
    <w:pPr>
      <w:spacing w:before="160" w:after="170" w:line="372" w:lineRule="auto"/>
    </w:pPr>
    <w:rPr>
      <w:rFonts w:eastAsia="仿宋_GB2312"/>
    </w:rPr>
  </w:style>
  <w:style w:type="paragraph" w:customStyle="1" w:styleId="91">
    <w:name w:val="样式 (西文) Times New Roman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92">
    <w:name w:val="表格小五"/>
    <w:basedOn w:val="1"/>
    <w:autoRedefine/>
    <w:qFormat/>
    <w:uiPriority w:val="0"/>
    <w:pPr>
      <w:adjustRightInd w:val="0"/>
      <w:snapToGrid w:val="0"/>
      <w:spacing w:after="93" w:afterLines="30" w:line="240" w:lineRule="atLeast"/>
      <w:ind w:firstLine="510"/>
      <w:jc w:val="left"/>
    </w:pPr>
    <w:rPr>
      <w:spacing w:val="16"/>
      <w:kern w:val="0"/>
      <w:sz w:val="18"/>
      <w:szCs w:val="20"/>
    </w:rPr>
  </w:style>
  <w:style w:type="paragraph" w:customStyle="1" w:styleId="93">
    <w:name w:val="表格内容"/>
    <w:basedOn w:val="94"/>
    <w:next w:val="1"/>
    <w:autoRedefine/>
    <w:qFormat/>
    <w:uiPriority w:val="0"/>
    <w:pPr>
      <w:adjustRightInd w:val="0"/>
      <w:snapToGrid w:val="0"/>
      <w:jc w:val="center"/>
    </w:pPr>
    <w:rPr>
      <w:rFonts w:eastAsia="Times New Roman"/>
      <w:szCs w:val="21"/>
    </w:rPr>
  </w:style>
  <w:style w:type="paragraph" w:customStyle="1" w:styleId="94">
    <w:name w:val="表格标题"/>
    <w:basedOn w:val="1"/>
    <w:next w:val="1"/>
    <w:autoRedefine/>
    <w:qFormat/>
    <w:uiPriority w:val="0"/>
    <w:pPr>
      <w:spacing w:line="540" w:lineRule="exact"/>
      <w:jc w:val="center"/>
    </w:pPr>
    <w:rPr>
      <w:rFonts w:ascii="宋体" w:hAnsi="宋体"/>
      <w:bCs/>
      <w:sz w:val="24"/>
    </w:rPr>
  </w:style>
  <w:style w:type="paragraph" w:customStyle="1" w:styleId="95">
    <w:name w:val="1正文段落"/>
    <w:basedOn w:val="1"/>
    <w:autoRedefine/>
    <w:unhideWhenUsed/>
    <w:qFormat/>
    <w:uiPriority w:val="0"/>
    <w:pPr>
      <w:spacing w:line="360" w:lineRule="auto"/>
      <w:ind w:firstLine="200" w:firstLineChars="200"/>
    </w:pPr>
    <w:rPr>
      <w:snapToGrid w:val="0"/>
      <w:kern w:val="0"/>
      <w:sz w:val="24"/>
    </w:rPr>
  </w:style>
  <w:style w:type="paragraph" w:customStyle="1" w:styleId="96">
    <w:name w:val="表格文字"/>
    <w:basedOn w:val="90"/>
    <w:next w:val="1"/>
    <w:autoRedefine/>
    <w:qFormat/>
    <w:uiPriority w:val="0"/>
    <w:pPr>
      <w:spacing w:line="320" w:lineRule="exact"/>
      <w:jc w:val="center"/>
    </w:pPr>
    <w:rPr>
      <w:rFonts w:ascii="宋体"/>
      <w:szCs w:val="24"/>
    </w:rPr>
  </w:style>
  <w:style w:type="paragraph" w:customStyle="1" w:styleId="97">
    <w:name w:val="方案正文"/>
    <w:basedOn w:val="1"/>
    <w:autoRedefine/>
    <w:qFormat/>
    <w:uiPriority w:val="0"/>
    <w:rPr>
      <w:kern w:val="0"/>
      <w:sz w:val="24"/>
      <w:szCs w:val="20"/>
    </w:rPr>
  </w:style>
  <w:style w:type="paragraph" w:customStyle="1" w:styleId="98">
    <w:name w:val="1、正文文本"/>
    <w:next w:val="1"/>
    <w:autoRedefine/>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99">
    <w:name w:val="表头"/>
    <w:basedOn w:val="1"/>
    <w:next w:val="1"/>
    <w:autoRedefine/>
    <w:qFormat/>
    <w:uiPriority w:val="0"/>
    <w:pPr>
      <w:spacing w:line="360" w:lineRule="auto"/>
      <w:ind w:firstLine="2169" w:firstLineChars="1029"/>
    </w:pPr>
    <w:rPr>
      <w:rFonts w:ascii="宋体" w:hAnsi="宋体"/>
      <w:b/>
      <w:kern w:val="0"/>
      <w:szCs w:val="21"/>
    </w:rPr>
  </w:style>
  <w:style w:type="character" w:customStyle="1" w:styleId="100">
    <w:name w:val="font01"/>
    <w:basedOn w:val="35"/>
    <w:autoRedefine/>
    <w:qFormat/>
    <w:uiPriority w:val="0"/>
    <w:rPr>
      <w:rFonts w:hint="eastAsia" w:ascii="宋体" w:hAnsi="宋体" w:eastAsia="宋体" w:cs="宋体"/>
      <w:color w:val="000000"/>
      <w:sz w:val="21"/>
      <w:szCs w:val="21"/>
      <w:u w:val="none"/>
    </w:rPr>
  </w:style>
  <w:style w:type="character" w:customStyle="1" w:styleId="101">
    <w:name w:val="font21"/>
    <w:basedOn w:val="35"/>
    <w:autoRedefine/>
    <w:qFormat/>
    <w:uiPriority w:val="0"/>
    <w:rPr>
      <w:rFonts w:hint="default" w:ascii="Times New Roman" w:hAnsi="Times New Roman" w:cs="Times New Roman"/>
      <w:color w:val="000000"/>
      <w:sz w:val="21"/>
      <w:szCs w:val="21"/>
      <w:u w:val="none"/>
    </w:rPr>
  </w:style>
  <w:style w:type="character" w:customStyle="1" w:styleId="102">
    <w:name w:val="font41"/>
    <w:basedOn w:val="35"/>
    <w:autoRedefine/>
    <w:qFormat/>
    <w:uiPriority w:val="0"/>
    <w:rPr>
      <w:rFonts w:hint="default" w:ascii="Times New Roman" w:hAnsi="Times New Roman" w:cs="Times New Roman"/>
      <w:b/>
      <w:bCs/>
      <w:color w:val="000000"/>
      <w:sz w:val="21"/>
      <w:szCs w:val="21"/>
      <w:u w:val="none"/>
    </w:rPr>
  </w:style>
  <w:style w:type="character" w:customStyle="1" w:styleId="103">
    <w:name w:val="font31"/>
    <w:basedOn w:val="35"/>
    <w:autoRedefine/>
    <w:qFormat/>
    <w:uiPriority w:val="0"/>
    <w:rPr>
      <w:rFonts w:hint="default" w:ascii="Times New Roman" w:hAnsi="Times New Roman" w:cs="Times New Roman"/>
      <w:color w:val="000000"/>
      <w:sz w:val="21"/>
      <w:szCs w:val="21"/>
      <w:u w:val="none"/>
    </w:rPr>
  </w:style>
  <w:style w:type="character" w:customStyle="1" w:styleId="104">
    <w:name w:val="font51"/>
    <w:basedOn w:val="35"/>
    <w:autoRedefine/>
    <w:qFormat/>
    <w:uiPriority w:val="0"/>
    <w:rPr>
      <w:rFonts w:hint="default" w:ascii="Times New Roman" w:hAnsi="Times New Roman" w:cs="Times New Roman"/>
      <w:color w:val="000000"/>
      <w:sz w:val="21"/>
      <w:szCs w:val="21"/>
      <w:u w:val="none"/>
      <w:vertAlign w:val="subscript"/>
    </w:rPr>
  </w:style>
  <w:style w:type="character" w:customStyle="1" w:styleId="105">
    <w:name w:val="正文文本_"/>
    <w:link w:val="106"/>
    <w:autoRedefine/>
    <w:qFormat/>
    <w:locked/>
    <w:uiPriority w:val="99"/>
    <w:rPr>
      <w:rFonts w:ascii="MingLiU" w:hAnsi="MingLiU" w:eastAsia="MingLiU"/>
      <w:spacing w:val="10"/>
      <w:kern w:val="0"/>
      <w:szCs w:val="21"/>
    </w:rPr>
  </w:style>
  <w:style w:type="paragraph" w:customStyle="1" w:styleId="106">
    <w:name w:val="正文文本3"/>
    <w:basedOn w:val="1"/>
    <w:link w:val="105"/>
    <w:autoRedefine/>
    <w:qFormat/>
    <w:uiPriority w:val="99"/>
    <w:pPr>
      <w:shd w:val="clear" w:color="auto" w:fill="FFFFFF"/>
      <w:spacing w:before="240" w:line="466" w:lineRule="exact"/>
      <w:ind w:hanging="480"/>
      <w:jc w:val="distribute"/>
    </w:pPr>
    <w:rPr>
      <w:rFonts w:ascii="MingLiU" w:hAnsi="MingLiU" w:eastAsia="MingLiU"/>
      <w:spacing w:val="10"/>
      <w:kern w:val="0"/>
      <w:szCs w:val="21"/>
    </w:rPr>
  </w:style>
  <w:style w:type="paragraph" w:customStyle="1" w:styleId="107">
    <w:name w:val="wlm表格"/>
    <w:basedOn w:val="1"/>
    <w:autoRedefine/>
    <w:qFormat/>
    <w:uiPriority w:val="0"/>
    <w:pPr>
      <w:snapToGrid w:val="0"/>
      <w:jc w:val="center"/>
    </w:pPr>
    <w:rPr>
      <w:snapToGrid w:val="0"/>
      <w:spacing w:val="2"/>
      <w:szCs w:val="21"/>
    </w:rPr>
  </w:style>
  <w:style w:type="paragraph" w:customStyle="1" w:styleId="108">
    <w:name w:val="正文四号"/>
    <w:basedOn w:val="1"/>
    <w:autoRedefine/>
    <w:qFormat/>
    <w:uiPriority w:val="0"/>
    <w:pPr>
      <w:spacing w:line="600" w:lineRule="exact"/>
      <w:ind w:firstLine="200" w:firstLineChars="200"/>
    </w:pPr>
    <w:rPr>
      <w:rFonts w:ascii="Calibri" w:hAnsi="Calibri" w:eastAsia="仿宋_GB2312"/>
      <w:sz w:val="28"/>
      <w:szCs w:val="28"/>
    </w:rPr>
  </w:style>
  <w:style w:type="paragraph" w:customStyle="1" w:styleId="109">
    <w:name w:val="表头、图尾"/>
    <w:basedOn w:val="1"/>
    <w:autoRedefine/>
    <w:qFormat/>
    <w:uiPriority w:val="0"/>
    <w:pPr>
      <w:spacing w:beforeLines="50" w:afterLines="20"/>
      <w:jc w:val="center"/>
      <w:outlineLvl w:val="1"/>
    </w:pPr>
    <w:rPr>
      <w:b/>
    </w:rPr>
  </w:style>
  <w:style w:type="character" w:customStyle="1" w:styleId="110">
    <w:name w:val="NormalCharacter"/>
    <w:autoRedefine/>
    <w:qFormat/>
    <w:uiPriority w:val="0"/>
  </w:style>
  <w:style w:type="paragraph" w:customStyle="1" w:styleId="111">
    <w:name w:val="cucd-0"/>
    <w:autoRedefine/>
    <w:qFormat/>
    <w:uiPriority w:val="0"/>
    <w:pPr>
      <w:spacing w:line="360" w:lineRule="auto"/>
      <w:ind w:firstLine="480" w:firstLineChars="200"/>
    </w:pPr>
    <w:rPr>
      <w:rFonts w:ascii="Times New Roman" w:hAnsi="Times New Roman" w:eastAsia="Times New Roman" w:cs="Times New Roman"/>
      <w:szCs w:val="24"/>
      <w:lang w:val="en-US" w:eastAsia="zh-CN" w:bidi="ar-SA"/>
    </w:rPr>
  </w:style>
  <w:style w:type="character" w:customStyle="1" w:styleId="112">
    <w:name w:val="viewthreadtxt"/>
    <w:basedOn w:val="35"/>
    <w:autoRedefine/>
    <w:qFormat/>
    <w:uiPriority w:val="0"/>
  </w:style>
  <w:style w:type="paragraph" w:customStyle="1" w:styleId="113">
    <w:name w:val="Char Char Char Char"/>
    <w:basedOn w:val="1"/>
    <w:autoRedefine/>
    <w:qFormat/>
    <w:uiPriority w:val="0"/>
    <w:pPr>
      <w:snapToGrid w:val="0"/>
      <w:spacing w:line="360" w:lineRule="auto"/>
      <w:ind w:firstLine="200" w:firstLineChars="200"/>
    </w:pPr>
    <w:rPr>
      <w:szCs w:val="20"/>
    </w:rPr>
  </w:style>
  <w:style w:type="character" w:customStyle="1" w:styleId="114">
    <w:name w:val="font11"/>
    <w:basedOn w:val="35"/>
    <w:autoRedefine/>
    <w:qFormat/>
    <w:uiPriority w:val="0"/>
    <w:rPr>
      <w:rFonts w:hint="eastAsia" w:ascii="宋体" w:hAnsi="宋体" w:eastAsia="宋体" w:cs="宋体"/>
      <w:color w:val="000000"/>
      <w:sz w:val="21"/>
      <w:szCs w:val="21"/>
      <w:u w:val="none"/>
    </w:rPr>
  </w:style>
  <w:style w:type="paragraph" w:customStyle="1" w:styleId="115">
    <w:name w:val="文本"/>
    <w:basedOn w:val="1"/>
    <w:autoRedefine/>
    <w:qFormat/>
    <w:uiPriority w:val="0"/>
    <w:pPr>
      <w:ind w:firstLine="480" w:firstLineChars="200"/>
    </w:pPr>
  </w:style>
  <w:style w:type="character" w:customStyle="1" w:styleId="116">
    <w:name w:val="font61"/>
    <w:basedOn w:val="35"/>
    <w:autoRedefine/>
    <w:qFormat/>
    <w:uiPriority w:val="0"/>
    <w:rPr>
      <w:rFonts w:hint="default" w:ascii="Times New Roman" w:hAnsi="Times New Roman" w:cs="Times New Roman"/>
      <w:color w:val="000000"/>
      <w:sz w:val="21"/>
      <w:szCs w:val="21"/>
      <w:u w:val="none"/>
      <w:vertAlign w:val="subscript"/>
    </w:rPr>
  </w:style>
  <w:style w:type="character" w:customStyle="1" w:styleId="117">
    <w:name w:val="全部 Char Char"/>
    <w:link w:val="118"/>
    <w:autoRedefine/>
    <w:qFormat/>
    <w:uiPriority w:val="0"/>
    <w:rPr>
      <w:rFonts w:ascii="宋体" w:hAnsi="宋体"/>
      <w:color w:val="000000"/>
      <w:sz w:val="24"/>
    </w:rPr>
  </w:style>
  <w:style w:type="paragraph" w:customStyle="1" w:styleId="118">
    <w:name w:val="全部"/>
    <w:basedOn w:val="1"/>
    <w:link w:val="117"/>
    <w:autoRedefine/>
    <w:qFormat/>
    <w:uiPriority w:val="0"/>
    <w:pPr>
      <w:spacing w:before="156" w:beforeLines="50" w:after="156" w:afterLines="50" w:line="360" w:lineRule="auto"/>
      <w:ind w:firstLine="480" w:firstLineChars="200"/>
    </w:pPr>
    <w:rPr>
      <w:rFonts w:ascii="宋体" w:hAnsi="宋体"/>
      <w:color w:val="000000"/>
      <w:sz w:val="24"/>
    </w:rPr>
  </w:style>
  <w:style w:type="character" w:customStyle="1" w:styleId="119">
    <w:name w:val="样式 样式 小四 段前: 7.8 磅 段后: 7.8 磅 行距: 1.5 倍行距 + 首行缩进:  2 字符 Char Char"/>
    <w:link w:val="120"/>
    <w:autoRedefine/>
    <w:qFormat/>
    <w:uiPriority w:val="0"/>
    <w:rPr>
      <w:spacing w:val="20"/>
      <w:sz w:val="24"/>
    </w:rPr>
  </w:style>
  <w:style w:type="paragraph" w:customStyle="1" w:styleId="120">
    <w:name w:val="样式 样式 小四 段前: 7.8 磅 段后: 7.8 磅 行距: 1.5 倍行距 + 首行缩进:  2 字符"/>
    <w:basedOn w:val="1"/>
    <w:link w:val="119"/>
    <w:autoRedefine/>
    <w:qFormat/>
    <w:uiPriority w:val="0"/>
    <w:pPr>
      <w:spacing w:before="156" w:after="156" w:line="360" w:lineRule="auto"/>
      <w:ind w:firstLine="560" w:firstLineChars="200"/>
    </w:pPr>
    <w:rPr>
      <w:spacing w:val="20"/>
      <w:sz w:val="24"/>
    </w:rPr>
  </w:style>
  <w:style w:type="character" w:customStyle="1" w:styleId="121">
    <w:name w:val="fontstyle01"/>
    <w:basedOn w:val="35"/>
    <w:autoRedefine/>
    <w:qFormat/>
    <w:uiPriority w:val="0"/>
    <w:rPr>
      <w:rFonts w:hint="eastAsia" w:ascii="宋体" w:hAnsi="宋体" w:eastAsia="宋体"/>
      <w:color w:val="000000"/>
      <w:sz w:val="24"/>
      <w:szCs w:val="24"/>
    </w:rPr>
  </w:style>
  <w:style w:type="paragraph" w:customStyle="1" w:styleId="122">
    <w:name w:val="表题LTT"/>
    <w:basedOn w:val="1"/>
    <w:next w:val="1"/>
    <w:autoRedefine/>
    <w:qFormat/>
    <w:uiPriority w:val="0"/>
    <w:pPr>
      <w:widowControl/>
      <w:spacing w:before="120"/>
      <w:jc w:val="center"/>
    </w:pPr>
    <w:rPr>
      <w:b/>
      <w:bCs/>
    </w:rPr>
  </w:style>
  <w:style w:type="paragraph" w:customStyle="1" w:styleId="123">
    <w:name w:val="表格文字LTT2磅"/>
    <w:basedOn w:val="1"/>
    <w:link w:val="135"/>
    <w:autoRedefine/>
    <w:qFormat/>
    <w:uiPriority w:val="0"/>
    <w:pPr>
      <w:widowControl/>
      <w:spacing w:before="40" w:after="40"/>
      <w:jc w:val="center"/>
    </w:pPr>
    <w:rPr>
      <w:bCs/>
      <w:szCs w:val="21"/>
    </w:rPr>
  </w:style>
  <w:style w:type="paragraph" w:customStyle="1" w:styleId="124">
    <w:name w:val="表格文字LTT0磅"/>
    <w:basedOn w:val="125"/>
    <w:link w:val="136"/>
    <w:autoRedefine/>
    <w:qFormat/>
    <w:uiPriority w:val="0"/>
    <w:pPr>
      <w:spacing w:line="240" w:lineRule="auto"/>
      <w:ind w:firstLine="0"/>
      <w:jc w:val="center"/>
    </w:pPr>
    <w:rPr>
      <w:rFonts w:ascii="Times New Roman" w:hAnsi="Times New Roman" w:eastAsia="宋体"/>
      <w:sz w:val="21"/>
    </w:rPr>
  </w:style>
  <w:style w:type="paragraph" w:customStyle="1" w:styleId="125">
    <w:name w:val="正 文"/>
    <w:autoRedefine/>
    <w:qFormat/>
    <w:uiPriority w:val="0"/>
    <w:pPr>
      <w:widowControl w:val="0"/>
      <w:spacing w:line="480" w:lineRule="exact"/>
      <w:ind w:firstLine="471"/>
      <w:jc w:val="both"/>
    </w:pPr>
    <w:rPr>
      <w:rFonts w:ascii="Arial" w:hAnsi="Arial" w:eastAsia="Times New Roman" w:cs="Times New Roman"/>
      <w:kern w:val="2"/>
      <w:sz w:val="24"/>
      <w:lang w:val="en-US" w:eastAsia="zh-CN" w:bidi="ar-SA"/>
    </w:rPr>
  </w:style>
  <w:style w:type="character" w:customStyle="1" w:styleId="126">
    <w:name w:val="fontstyle21"/>
    <w:basedOn w:val="35"/>
    <w:autoRedefine/>
    <w:qFormat/>
    <w:uiPriority w:val="0"/>
    <w:rPr>
      <w:rFonts w:ascii="TimesNewRomanPSMT" w:hAnsi="TimesNewRomanPSMT" w:eastAsia="TimesNewRomanPSMT" w:cs="TimesNewRomanPSMT"/>
      <w:color w:val="000000"/>
      <w:sz w:val="22"/>
      <w:szCs w:val="22"/>
    </w:rPr>
  </w:style>
  <w:style w:type="character" w:customStyle="1" w:styleId="127">
    <w:name w:val="fontstyle31"/>
    <w:basedOn w:val="35"/>
    <w:autoRedefine/>
    <w:qFormat/>
    <w:uiPriority w:val="0"/>
    <w:rPr>
      <w:rFonts w:ascii="宋体" w:hAnsi="宋体" w:eastAsia="宋体" w:cs="宋体"/>
      <w:color w:val="000000"/>
      <w:sz w:val="22"/>
      <w:szCs w:val="22"/>
    </w:rPr>
  </w:style>
  <w:style w:type="paragraph" w:customStyle="1" w:styleId="128">
    <w:name w:val="图题LTT"/>
    <w:basedOn w:val="1"/>
    <w:next w:val="1"/>
    <w:autoRedefine/>
    <w:qFormat/>
    <w:uiPriority w:val="0"/>
    <w:pPr>
      <w:spacing w:after="120"/>
      <w:jc w:val="center"/>
    </w:pPr>
    <w:rPr>
      <w:b/>
    </w:rPr>
  </w:style>
  <w:style w:type="paragraph" w:customStyle="1" w:styleId="129">
    <w:name w:val="表格标题LTT"/>
    <w:basedOn w:val="1"/>
    <w:next w:val="44"/>
    <w:autoRedefine/>
    <w:qFormat/>
    <w:uiPriority w:val="0"/>
    <w:pPr>
      <w:spacing w:before="120"/>
      <w:jc w:val="center"/>
    </w:pPr>
    <w:rPr>
      <w:b/>
    </w:rPr>
  </w:style>
  <w:style w:type="paragraph" w:customStyle="1" w:styleId="130">
    <w:name w:val="表格文字2磅"/>
    <w:basedOn w:val="1"/>
    <w:autoRedefine/>
    <w:qFormat/>
    <w:uiPriority w:val="0"/>
    <w:pPr>
      <w:widowControl/>
      <w:spacing w:before="40" w:after="40"/>
      <w:jc w:val="center"/>
    </w:pPr>
    <w:rPr>
      <w:bCs/>
      <w:szCs w:val="21"/>
    </w:rPr>
  </w:style>
  <w:style w:type="paragraph" w:customStyle="1" w:styleId="131">
    <w:name w:val="翔一表格"/>
    <w:basedOn w:val="1"/>
    <w:next w:val="1"/>
    <w:autoRedefine/>
    <w:qFormat/>
    <w:uiPriority w:val="0"/>
    <w:pPr>
      <w:autoSpaceDE w:val="0"/>
      <w:autoSpaceDN w:val="0"/>
      <w:jc w:val="center"/>
      <w:textAlignment w:val="baseline"/>
    </w:pPr>
    <w:rPr>
      <w:kern w:val="0"/>
      <w:szCs w:val="21"/>
    </w:rPr>
  </w:style>
  <w:style w:type="paragraph" w:customStyle="1" w:styleId="132">
    <w:name w:val="表格文字LTT"/>
    <w:basedOn w:val="1"/>
    <w:next w:val="1"/>
    <w:link w:val="137"/>
    <w:qFormat/>
    <w:uiPriority w:val="0"/>
    <w:pPr>
      <w:spacing w:before="40" w:after="40"/>
      <w:jc w:val="center"/>
    </w:pPr>
  </w:style>
  <w:style w:type="character" w:customStyle="1" w:styleId="133">
    <w:name w:val="fontstyle11"/>
    <w:basedOn w:val="35"/>
    <w:autoRedefine/>
    <w:qFormat/>
    <w:uiPriority w:val="0"/>
    <w:rPr>
      <w:rFonts w:ascii="TimesNewRomanPSMT" w:hAnsi="TimesNewRomanPSMT" w:eastAsia="TimesNewRomanPSMT" w:cs="TimesNewRomanPSMT"/>
      <w:color w:val="000000"/>
      <w:sz w:val="24"/>
      <w:szCs w:val="24"/>
    </w:rPr>
  </w:style>
  <w:style w:type="paragraph" w:customStyle="1" w:styleId="134">
    <w:name w:val="正文首行缩进2"/>
    <w:basedOn w:val="2"/>
    <w:autoRedefine/>
    <w:qFormat/>
    <w:uiPriority w:val="99"/>
    <w:pPr>
      <w:spacing w:line="500" w:lineRule="atLeast"/>
      <w:ind w:firstLine="560"/>
    </w:pPr>
  </w:style>
  <w:style w:type="character" w:customStyle="1" w:styleId="135">
    <w:name w:val="表格文字LTT2磅 Char"/>
    <w:link w:val="123"/>
    <w:autoRedefine/>
    <w:qFormat/>
    <w:uiPriority w:val="0"/>
    <w:rPr>
      <w:rFonts w:ascii="Times New Roman" w:hAnsi="Times New Roman" w:eastAsia="宋体"/>
      <w:bCs/>
      <w:szCs w:val="21"/>
    </w:rPr>
  </w:style>
  <w:style w:type="character" w:customStyle="1" w:styleId="136">
    <w:name w:val="表格文字LTT0磅 Char"/>
    <w:link w:val="124"/>
    <w:autoRedefine/>
    <w:qFormat/>
    <w:uiPriority w:val="0"/>
    <w:rPr>
      <w:rFonts w:ascii="Times New Roman" w:hAnsi="Times New Roman" w:eastAsia="宋体"/>
      <w:sz w:val="21"/>
    </w:rPr>
  </w:style>
  <w:style w:type="character" w:customStyle="1" w:styleId="137">
    <w:name w:val="表格文字LTT Char"/>
    <w:link w:val="132"/>
    <w:autoRedefine/>
    <w:qFormat/>
    <w:uiPriority w:val="0"/>
    <w:rPr>
      <w:rFonts w:ascii="Times New Roman" w:hAnsi="Times New Roman" w:eastAsia="宋体"/>
      <w:sz w:val="21"/>
    </w:rPr>
  </w:style>
  <w:style w:type="paragraph" w:customStyle="1" w:styleId="138">
    <w:name w:val="Default1"/>
    <w:next w:val="1"/>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139">
    <w:name w:val="批注文字 Char"/>
    <w:basedOn w:val="35"/>
    <w:link w:val="14"/>
    <w:autoRedefine/>
    <w:qFormat/>
    <w:uiPriority w:val="0"/>
    <w:rPr>
      <w:kern w:val="2"/>
      <w:sz w:val="21"/>
      <w:szCs w:val="24"/>
    </w:rPr>
  </w:style>
  <w:style w:type="character" w:customStyle="1" w:styleId="140">
    <w:name w:val="批注主题 Char"/>
    <w:basedOn w:val="139"/>
    <w:link w:val="30"/>
    <w:autoRedefine/>
    <w:qFormat/>
    <w:uiPriority w:val="0"/>
    <w:rPr>
      <w:b/>
      <w:bCs/>
      <w:kern w:val="2"/>
      <w:sz w:val="21"/>
      <w:szCs w:val="24"/>
    </w:rPr>
  </w:style>
  <w:style w:type="character" w:customStyle="1" w:styleId="141">
    <w:name w:val="批注框文本 Char"/>
    <w:basedOn w:val="35"/>
    <w:link w:val="24"/>
    <w:qFormat/>
    <w:uiPriority w:val="0"/>
    <w:rPr>
      <w:kern w:val="2"/>
      <w:sz w:val="18"/>
      <w:szCs w:val="18"/>
    </w:rPr>
  </w:style>
  <w:style w:type="paragraph" w:customStyle="1" w:styleId="142">
    <w:name w:val="_Style 5"/>
    <w:basedOn w:val="1"/>
    <w:qFormat/>
    <w:uiPriority w:val="0"/>
    <w:pPr>
      <w:spacing w:line="360" w:lineRule="auto"/>
      <w:ind w:firstLine="420" w:firstLineChars="200"/>
    </w:pPr>
    <w:rPr>
      <w:rFonts w:ascii="Calibri" w:hAnsi="Calibri"/>
      <w:kern w:val="0"/>
      <w:sz w:val="24"/>
      <w:szCs w:val="20"/>
    </w:rPr>
  </w:style>
  <w:style w:type="paragraph" w:customStyle="1" w:styleId="143">
    <w:name w:val="1正文-报告表"/>
    <w:basedOn w:val="1"/>
    <w:autoRedefine/>
    <w:qFormat/>
    <w:uiPriority w:val="0"/>
    <w:pPr>
      <w:ind w:firstLine="480" w:firstLineChars="200"/>
    </w:pPr>
    <w:rPr>
      <w:kern w:val="0"/>
      <w:sz w:val="24"/>
    </w:rPr>
  </w:style>
  <w:style w:type="paragraph" w:customStyle="1" w:styleId="144">
    <w:name w:val="0正文"/>
    <w:basedOn w:val="1"/>
    <w:autoRedefine/>
    <w:semiHidden/>
    <w:qFormat/>
    <w:uiPriority w:val="0"/>
    <w:pPr>
      <w:spacing w:line="360" w:lineRule="auto"/>
      <w:ind w:firstLine="720" w:firstLineChars="200"/>
      <w:jc w:val="left"/>
    </w:pPr>
    <w:rPr>
      <w:kern w:val="0"/>
      <w:sz w:val="24"/>
    </w:rPr>
  </w:style>
  <w:style w:type="paragraph" w:customStyle="1" w:styleId="145">
    <w:name w:val="正文（首行缩进两字）m"/>
    <w:basedOn w:val="10"/>
    <w:autoRedefine/>
    <w:qFormat/>
    <w:uiPriority w:val="0"/>
    <w:pPr>
      <w:tabs>
        <w:tab w:val="left" w:pos="1848"/>
        <w:tab w:val="left" w:pos="6061"/>
        <w:tab w:val="left" w:pos="8665"/>
      </w:tabs>
      <w:adjustRightInd w:val="0"/>
      <w:snapToGrid w:val="0"/>
      <w:spacing w:beforeLines="50" w:line="460" w:lineRule="exact"/>
      <w:ind w:firstLine="480"/>
    </w:pPr>
    <w:rPr>
      <w:color w:val="339966"/>
    </w:rPr>
  </w:style>
  <w:style w:type="paragraph" w:customStyle="1" w:styleId="146">
    <w:name w:val="正文环评"/>
    <w:basedOn w:val="1"/>
    <w:autoRedefine/>
    <w:qFormat/>
    <w:uiPriority w:val="0"/>
    <w:pPr>
      <w:spacing w:line="360" w:lineRule="auto"/>
      <w:ind w:firstLine="200" w:firstLineChars="200"/>
    </w:pPr>
    <w:rPr>
      <w:sz w:val="24"/>
      <w:szCs w:val="22"/>
    </w:rPr>
  </w:style>
  <w:style w:type="paragraph" w:customStyle="1" w:styleId="147">
    <w:name w:val="样式 正文缩进正文缩进2正文缩进 Char Char正文缩进 Char Char Char Char正文缩进 Char ..."/>
    <w:basedOn w:val="10"/>
    <w:autoRedefine/>
    <w:qFormat/>
    <w:uiPriority w:val="0"/>
    <w:pPr>
      <w:spacing w:line="360" w:lineRule="auto"/>
      <w:ind w:firstLine="200"/>
    </w:pPr>
    <w:rPr>
      <w:rFonts w:cs="宋体"/>
    </w:rPr>
  </w:style>
  <w:style w:type="paragraph" w:customStyle="1" w:styleId="148">
    <w:name w:val="123456"/>
    <w:basedOn w:val="1"/>
    <w:autoRedefine/>
    <w:qFormat/>
    <w:uiPriority w:val="0"/>
  </w:style>
  <w:style w:type="character" w:customStyle="1" w:styleId="149">
    <w:name w:val="页眉 字符"/>
    <w:basedOn w:val="35"/>
    <w:link w:val="17"/>
    <w:qFormat/>
    <w:uiPriority w:val="0"/>
    <w:rPr>
      <w:rFonts w:hint="default" w:ascii="Calibri" w:hAnsi="Calibri" w:cs="Calibri"/>
    </w:rPr>
  </w:style>
  <w:style w:type="character" w:customStyle="1" w:styleId="150">
    <w:name w:val="页脚 字符"/>
    <w:basedOn w:val="35"/>
    <w:link w:val="25"/>
    <w:qFormat/>
    <w:uiPriority w:val="0"/>
    <w:rPr>
      <w:rFonts w:hint="default" w:ascii="Calibri" w:hAnsi="Calibri" w:cs="Calibri"/>
    </w:rPr>
  </w:style>
  <w:style w:type="paragraph" w:customStyle="1" w:styleId="151">
    <w:name w:val="A表表格"/>
    <w:next w:val="31"/>
    <w:qFormat/>
    <w:uiPriority w:val="0"/>
    <w:pPr>
      <w:spacing w:line="240" w:lineRule="auto"/>
      <w:jc w:val="center"/>
    </w:pPr>
    <w:rPr>
      <w:rFonts w:ascii="Times New Roman" w:hAnsi="Times New Roman" w:eastAsia="宋体" w:cs="Times New Roman"/>
      <w:kern w:val="0"/>
      <w:sz w:val="18"/>
      <w:szCs w:val="24"/>
      <w:lang w:val="en-US" w:eastAsia="zh-CN" w:bidi="ar-SA"/>
      <w14:ligatures w14:val="none"/>
    </w:rPr>
  </w:style>
  <w:style w:type="paragraph" w:customStyle="1" w:styleId="152">
    <w:name w:val="正文001"/>
    <w:basedOn w:val="1"/>
    <w:qFormat/>
    <w:uiPriority w:val="0"/>
    <w:pPr>
      <w:spacing w:line="360" w:lineRule="auto"/>
      <w:ind w:firstLine="482"/>
    </w:pPr>
    <w:rPr>
      <w:sz w:val="24"/>
      <w:szCs w:val="22"/>
    </w:rPr>
  </w:style>
  <w:style w:type="paragraph" w:customStyle="1" w:styleId="153">
    <w:name w:val="lxy-TM表格文字"/>
    <w:basedOn w:val="1"/>
    <w:qFormat/>
    <w:uiPriority w:val="0"/>
    <w:pPr>
      <w:spacing w:line="240" w:lineRule="exact"/>
      <w:jc w:val="center"/>
    </w:pPr>
    <w:rPr>
      <w:sz w:val="18"/>
      <w:szCs w:val="21"/>
    </w:rPr>
  </w:style>
  <w:style w:type="paragraph" w:customStyle="1" w:styleId="154">
    <w:name w:val="！正文 Alt+0"/>
    <w:basedOn w:val="1"/>
    <w:qFormat/>
    <w:uiPriority w:val="0"/>
  </w:style>
  <w:style w:type="paragraph" w:customStyle="1" w:styleId="155">
    <w:name w:val="Normal Indent1"/>
    <w:basedOn w:val="1"/>
    <w:qFormat/>
    <w:uiPriority w:val="0"/>
    <w:pPr>
      <w:ind w:firstLine="420" w:firstLineChars="200"/>
    </w:pPr>
  </w:style>
  <w:style w:type="paragraph" w:customStyle="1" w:styleId="156">
    <w:name w:val="表中文字"/>
    <w:basedOn w:val="1"/>
    <w:qFormat/>
    <w:uiPriority w:val="99"/>
    <w:pPr>
      <w:widowControl w:val="0"/>
      <w:snapToGrid w:val="0"/>
      <w:spacing w:line="240" w:lineRule="auto"/>
      <w:ind w:firstLine="0" w:firstLineChars="0"/>
      <w:jc w:val="center"/>
    </w:pPr>
    <w:rPr>
      <w:color w:val="000000"/>
      <w:kern w:val="2"/>
      <w:sz w:val="21"/>
      <w:szCs w:val="20"/>
    </w:rPr>
  </w:style>
  <w:style w:type="paragraph" w:customStyle="1" w:styleId="157">
    <w:name w:val="正文 New"/>
    <w:autoRedefine/>
    <w:qFormat/>
    <w:uiPriority w:val="99"/>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158">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7.wmf"/><Relationship Id="rId36" Type="http://schemas.openxmlformats.org/officeDocument/2006/relationships/oleObject" Target="embeddings/oleObject4.bin"/><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0.emf"/><Relationship Id="rId17" Type="http://schemas.openxmlformats.org/officeDocument/2006/relationships/oleObject" Target="embeddings/oleObject2.bin"/><Relationship Id="rId16" Type="http://schemas.openxmlformats.org/officeDocument/2006/relationships/image" Target="media/image9.emf"/><Relationship Id="rId15" Type="http://schemas.openxmlformats.org/officeDocument/2006/relationships/oleObject" Target="embeddings/oleObject1.bin"/><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119</Pages>
  <Words>25000</Words>
  <Characters>26145</Characters>
  <Lines>479</Lines>
  <Paragraphs>135</Paragraphs>
  <TotalTime>66</TotalTime>
  <ScaleCrop>false</ScaleCrop>
  <LinksUpToDate>false</LinksUpToDate>
  <CharactersWithSpaces>26192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2021-02-01T08:12:00Z</dcterms:created>
  <dc:creator>gc</dc:creator>
  <cp:lastModifiedBy>DELL</cp:lastModifiedBy>
  <cp:lastPrinted>2025-07-19T08:07:00Z</cp:lastPrinted>
  <dcterms:modified xsi:type="dcterms:W3CDTF">2025-08-12T07:21:35Z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EDB21DBA36914662AF8A3022D70C3578_13</vt:lpwstr>
  </property>
  <property fmtid="{D5CDD505-2E9C-101B-9397-08002B2CF9AE}" pid="4" name="KSOTemplateDocerSaveRecord">
    <vt:lpwstr>eyJoZGlkIjoiYTkzYTA3ZDg3NWNhYmVjODc3YmJjMjQ4MDkyZDc1NmMiLCJ1c2VySWQiOiIyNzA5NjI2ODIifQ==</vt:lpwstr>
  </property>
</Properties>
</file>