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CBB15">
      <w:pPr>
        <w:pStyle w:val="4"/>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22C886A8">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00C9861D">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1288D330">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0E8CE5E1">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4AD8BFF1">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4F601F04">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7C2CF640">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5F680561">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玉溪市生态环境局</w:t>
      </w:r>
    </w:p>
    <w:p w14:paraId="3743C649">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lang w:eastAsia="zh-CN"/>
        </w:rPr>
        <w:t>关于</w:t>
      </w:r>
      <w:r>
        <w:rPr>
          <w:rFonts w:hint="eastAsia" w:ascii="Times New Roman" w:hAnsi="Times New Roman" w:eastAsia="方正小标宋_GBK" w:cs="Times New Roman"/>
          <w:bCs/>
          <w:sz w:val="44"/>
          <w:szCs w:val="44"/>
          <w:lang w:val="zh-CN"/>
        </w:rPr>
        <w:t>云南省玉溪市易门县磷酸铁锂储能电站项目（200MW</w:t>
      </w:r>
      <w:r>
        <w:rPr>
          <w:rFonts w:hint="eastAsia" w:eastAsia="方正小标宋_GBK" w:cs="Times New Roman"/>
          <w:bCs/>
          <w:sz w:val="44"/>
          <w:szCs w:val="44"/>
          <w:lang w:val="en-US" w:eastAsia="zh-CN"/>
        </w:rPr>
        <w:t>/</w:t>
      </w:r>
      <w:r>
        <w:rPr>
          <w:rFonts w:hint="eastAsia" w:ascii="Times New Roman" w:hAnsi="Times New Roman" w:eastAsia="方正小标宋_GBK" w:cs="Times New Roman"/>
          <w:bCs/>
          <w:sz w:val="44"/>
          <w:szCs w:val="44"/>
          <w:lang w:val="zh-CN"/>
        </w:rPr>
        <w:t>400MWh）</w:t>
      </w:r>
      <w:r>
        <w:rPr>
          <w:rFonts w:hint="default" w:ascii="Times New Roman" w:hAnsi="Times New Roman" w:eastAsia="方正小标宋_GBK" w:cs="Times New Roman"/>
          <w:bCs/>
          <w:sz w:val="44"/>
          <w:szCs w:val="44"/>
          <w:lang w:val="zh-CN"/>
        </w:rPr>
        <w:t>环境影响报告</w:t>
      </w:r>
      <w:r>
        <w:rPr>
          <w:rFonts w:hint="default" w:ascii="Times New Roman" w:hAnsi="Times New Roman" w:eastAsia="方正小标宋_GBK" w:cs="Times New Roman"/>
          <w:bCs/>
          <w:sz w:val="44"/>
          <w:szCs w:val="44"/>
          <w:lang w:val="zh-CN" w:eastAsia="zh-CN"/>
        </w:rPr>
        <w:t>表</w:t>
      </w:r>
      <w:r>
        <w:rPr>
          <w:rFonts w:hint="default" w:ascii="Times New Roman" w:hAnsi="Times New Roman" w:eastAsia="方正小标宋_GBK" w:cs="Times New Roman"/>
          <w:bCs/>
          <w:sz w:val="44"/>
          <w:szCs w:val="44"/>
          <w:lang w:val="zh-CN"/>
        </w:rPr>
        <w:t>的</w:t>
      </w:r>
      <w:r>
        <w:rPr>
          <w:rFonts w:hint="default" w:ascii="Times New Roman" w:hAnsi="Times New Roman" w:eastAsia="方正小标宋_GBK" w:cs="Times New Roman"/>
          <w:bCs/>
          <w:sz w:val="44"/>
          <w:szCs w:val="44"/>
        </w:rPr>
        <w:t>批复</w:t>
      </w:r>
    </w:p>
    <w:p w14:paraId="5EB28A23">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sz w:val="32"/>
        </w:rPr>
      </w:pPr>
    </w:p>
    <w:p w14:paraId="504D86E9">
      <w:pPr>
        <w:keepNext w:val="0"/>
        <w:keepLines w:val="0"/>
        <w:pageBreakBefore w:val="0"/>
        <w:widowControl w:val="0"/>
        <w:kinsoku/>
        <w:wordWrap/>
        <w:overflowPunct/>
        <w:topLinePunct/>
        <w:autoSpaceDE/>
        <w:autoSpaceDN/>
        <w:bidi w:val="0"/>
        <w:adjustRightInd/>
        <w:snapToGrid/>
        <w:spacing w:line="590" w:lineRule="exact"/>
        <w:ind w:left="0" w:leftChars="0"/>
        <w:textAlignment w:val="auto"/>
        <w:rPr>
          <w:rFonts w:hint="default" w:ascii="Times New Roman" w:hAnsi="Times New Roman" w:eastAsia="方正仿宋_GBK" w:cs="Times New Roman"/>
          <w:sz w:val="32"/>
          <w:szCs w:val="32"/>
          <w:lang w:eastAsia="zh-CN"/>
        </w:rPr>
      </w:pPr>
      <w:r>
        <w:rPr>
          <w:rFonts w:hint="eastAsia" w:eastAsia="方正仿宋_GBK" w:cs="Times New Roman"/>
          <w:sz w:val="32"/>
          <w:szCs w:val="32"/>
          <w:lang w:eastAsia="zh-CN"/>
        </w:rPr>
        <w:t>易门博创智慧能源有限公司</w:t>
      </w:r>
      <w:r>
        <w:rPr>
          <w:rFonts w:hint="default" w:ascii="Times New Roman" w:hAnsi="Times New Roman" w:eastAsia="方正仿宋_GBK" w:cs="Times New Roman"/>
          <w:sz w:val="32"/>
          <w:szCs w:val="32"/>
          <w:lang w:eastAsia="zh-CN"/>
        </w:rPr>
        <w:t>：</w:t>
      </w:r>
    </w:p>
    <w:p w14:paraId="3D018360">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你</w:t>
      </w:r>
      <w:r>
        <w:rPr>
          <w:rFonts w:hint="eastAsia" w:eastAsia="方正仿宋_GBK" w:cs="Times New Roman"/>
          <w:sz w:val="32"/>
          <w:szCs w:val="32"/>
          <w:lang w:eastAsia="zh-CN"/>
        </w:rPr>
        <w:t>单位</w:t>
      </w:r>
      <w:r>
        <w:rPr>
          <w:rFonts w:hint="default" w:ascii="Times New Roman" w:hAnsi="Times New Roman" w:eastAsia="方正仿宋_GBK" w:cs="Times New Roman"/>
          <w:sz w:val="32"/>
          <w:szCs w:val="32"/>
          <w:lang w:eastAsia="zh-CN"/>
        </w:rPr>
        <w:t>申请报送的委托</w:t>
      </w:r>
      <w:r>
        <w:rPr>
          <w:rFonts w:hint="eastAsia" w:eastAsia="方正仿宋_GBK" w:cs="Times New Roman"/>
          <w:sz w:val="32"/>
          <w:szCs w:val="32"/>
          <w:lang w:val="zh-CN" w:eastAsia="zh-CN"/>
        </w:rPr>
        <w:t>云</w:t>
      </w:r>
      <w:bookmarkStart w:id="0" w:name="_GoBack"/>
      <w:bookmarkEnd w:id="0"/>
      <w:r>
        <w:rPr>
          <w:rFonts w:hint="eastAsia" w:eastAsia="方正仿宋_GBK" w:cs="Times New Roman"/>
          <w:sz w:val="32"/>
          <w:szCs w:val="32"/>
          <w:lang w:val="zh-CN" w:eastAsia="zh-CN"/>
        </w:rPr>
        <w:t>南涔霖环保科技有限公司</w:t>
      </w:r>
      <w:r>
        <w:rPr>
          <w:rFonts w:hint="default" w:eastAsia="方正仿宋_GBK" w:cs="Times New Roman"/>
          <w:sz w:val="32"/>
          <w:szCs w:val="32"/>
          <w:lang w:val="zh-CN" w:eastAsia="zh-CN"/>
        </w:rPr>
        <w:t>编</w:t>
      </w:r>
      <w:r>
        <w:rPr>
          <w:rFonts w:hint="default" w:ascii="Times New Roman" w:hAnsi="Times New Roman" w:eastAsia="方正仿宋_GBK" w:cs="Times New Roman"/>
          <w:sz w:val="32"/>
          <w:szCs w:val="32"/>
          <w:lang w:eastAsia="zh-CN"/>
        </w:rPr>
        <w:t>制的《</w:t>
      </w:r>
      <w:r>
        <w:rPr>
          <w:rFonts w:hint="eastAsia" w:eastAsia="方正仿宋_GBK" w:cs="Times New Roman"/>
          <w:sz w:val="32"/>
          <w:szCs w:val="32"/>
          <w:lang w:val="zh-CN" w:eastAsia="zh-CN"/>
        </w:rPr>
        <w:t>云南省玉溪市易门县磷酸铁锂储能电站项目（200MW</w:t>
      </w:r>
      <w:r>
        <w:rPr>
          <w:rFonts w:hint="eastAsia" w:eastAsia="方正仿宋_GBK" w:cs="Times New Roman"/>
          <w:sz w:val="32"/>
          <w:szCs w:val="32"/>
          <w:lang w:val="en-US" w:eastAsia="zh-CN"/>
        </w:rPr>
        <w:t>/</w:t>
      </w:r>
      <w:r>
        <w:rPr>
          <w:rFonts w:hint="eastAsia" w:eastAsia="方正仿宋_GBK" w:cs="Times New Roman"/>
          <w:sz w:val="32"/>
          <w:szCs w:val="32"/>
          <w:lang w:val="zh-CN" w:eastAsia="zh-CN"/>
        </w:rPr>
        <w:t>400MWh）</w:t>
      </w:r>
      <w:r>
        <w:rPr>
          <w:rFonts w:hint="default" w:ascii="Times New Roman" w:hAnsi="Times New Roman" w:eastAsia="方正仿宋_GBK" w:cs="Times New Roman"/>
          <w:sz w:val="32"/>
          <w:szCs w:val="32"/>
          <w:lang w:val="en-US" w:eastAsia="zh-CN"/>
        </w:rPr>
        <w:t>环境影响报告表</w:t>
      </w:r>
      <w:r>
        <w:rPr>
          <w:rFonts w:hint="default" w:ascii="Times New Roman" w:hAnsi="Times New Roman" w:eastAsia="方正仿宋_GBK" w:cs="Times New Roman"/>
          <w:sz w:val="32"/>
          <w:szCs w:val="32"/>
          <w:lang w:eastAsia="zh-CN"/>
        </w:rPr>
        <w:t>》</w:t>
      </w:r>
      <w:r>
        <w:rPr>
          <w:rFonts w:hint="eastAsia" w:eastAsia="方正仿宋_GBK"/>
          <w:color w:val="auto"/>
          <w:sz w:val="32"/>
          <w:szCs w:val="32"/>
          <w:lang w:eastAsia="zh-CN"/>
        </w:rPr>
        <w:t>（</w:t>
      </w:r>
      <w:r>
        <w:rPr>
          <w:rFonts w:eastAsia="方正仿宋_GBK"/>
          <w:color w:val="auto"/>
          <w:sz w:val="32"/>
          <w:szCs w:val="32"/>
        </w:rPr>
        <w:t>以下简称《报告表》</w:t>
      </w:r>
      <w:r>
        <w:rPr>
          <w:rFonts w:hint="eastAsia" w:eastAsia="方正仿宋_GBK"/>
          <w:color w:val="auto"/>
          <w:sz w:val="32"/>
          <w:szCs w:val="32"/>
          <w:lang w:eastAsia="zh-CN"/>
        </w:rPr>
        <w:t>）</w:t>
      </w:r>
      <w:r>
        <w:rPr>
          <w:rFonts w:hint="default" w:ascii="Times New Roman" w:hAnsi="Times New Roman" w:eastAsia="方正仿宋_GBK" w:cs="Times New Roman"/>
          <w:sz w:val="32"/>
          <w:szCs w:val="32"/>
          <w:lang w:eastAsia="zh-CN"/>
        </w:rPr>
        <w:t>收悉。经研究，批复如下：</w:t>
      </w:r>
    </w:p>
    <w:p w14:paraId="3A2E3B57">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一、基本情况</w:t>
      </w:r>
    </w:p>
    <w:p w14:paraId="47707FA3">
      <w:pPr>
        <w:spacing w:line="600" w:lineRule="exact"/>
        <w:ind w:firstLine="620" w:firstLineChars="194"/>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项目</w:t>
      </w:r>
      <w:r>
        <w:rPr>
          <w:rFonts w:hint="eastAsia" w:eastAsia="方正仿宋_GBK" w:cs="Times New Roman"/>
          <w:sz w:val="32"/>
          <w:szCs w:val="32"/>
          <w:lang w:val="en-US" w:eastAsia="zh-CN"/>
        </w:rPr>
        <w:t>位于</w:t>
      </w:r>
      <w:r>
        <w:rPr>
          <w:rFonts w:hint="eastAsia" w:eastAsia="方正仿宋_GBK" w:cs="Times New Roman"/>
          <w:color w:val="auto"/>
          <w:sz w:val="32"/>
          <w:szCs w:val="32"/>
          <w:lang w:val="en-US" w:eastAsia="zh-CN"/>
        </w:rPr>
        <w:t>云南省玉溪市易门县龙泉街道云南易门产业园区麦子田片区。</w:t>
      </w:r>
      <w:r>
        <w:rPr>
          <w:rFonts w:hint="eastAsia" w:ascii="Times New Roman" w:hAnsi="Times New Roman" w:eastAsia="方正仿宋_GBK" w:cs="Times New Roman"/>
          <w:b w:val="0"/>
          <w:bCs w:val="0"/>
          <w:color w:val="auto"/>
          <w:sz w:val="32"/>
          <w:szCs w:val="32"/>
          <w:lang w:val="en-US" w:eastAsia="zh-CN"/>
        </w:rPr>
        <w:t>项目总占地面积2.44hm</w:t>
      </w:r>
      <w:r>
        <w:rPr>
          <w:rFonts w:hint="eastAsia" w:ascii="Times New Roman" w:hAnsi="Times New Roman" w:eastAsia="方正仿宋_GBK" w:cs="Times New Roman"/>
          <w:b w:val="0"/>
          <w:bCs w:val="0"/>
          <w:color w:val="auto"/>
          <w:sz w:val="32"/>
          <w:szCs w:val="32"/>
          <w:vertAlign w:val="superscript"/>
          <w:lang w:val="en-US" w:eastAsia="zh-CN"/>
        </w:rPr>
        <w:t>2</w:t>
      </w:r>
      <w:r>
        <w:rPr>
          <w:rFonts w:hint="eastAsia" w:ascii="Times New Roman" w:hAnsi="Times New Roman" w:eastAsia="方正仿宋_GBK" w:cs="Times New Roman"/>
          <w:b w:val="0"/>
          <w:bCs w:val="0"/>
          <w:color w:val="auto"/>
          <w:sz w:val="32"/>
          <w:szCs w:val="32"/>
          <w:lang w:val="en-US" w:eastAsia="zh-CN"/>
        </w:rPr>
        <w:t>，其中永久占地2.3hm</w:t>
      </w:r>
      <w:r>
        <w:rPr>
          <w:rFonts w:hint="eastAsia" w:ascii="Times New Roman" w:hAnsi="Times New Roman" w:eastAsia="方正仿宋_GBK" w:cs="Times New Roman"/>
          <w:b w:val="0"/>
          <w:bCs w:val="0"/>
          <w:color w:val="auto"/>
          <w:sz w:val="32"/>
          <w:szCs w:val="32"/>
          <w:vertAlign w:val="superscript"/>
          <w:lang w:val="en-US" w:eastAsia="zh-CN"/>
        </w:rPr>
        <w:t>2</w:t>
      </w:r>
      <w:r>
        <w:rPr>
          <w:rFonts w:hint="eastAsia" w:ascii="Times New Roman" w:hAnsi="Times New Roman" w:eastAsia="方正仿宋_GBK" w:cs="Times New Roman"/>
          <w:b w:val="0"/>
          <w:bCs w:val="0"/>
          <w:color w:val="auto"/>
          <w:sz w:val="32"/>
          <w:szCs w:val="32"/>
          <w:lang w:val="en-US" w:eastAsia="zh-CN"/>
        </w:rPr>
        <w:t>，临时占地0.14hm</w:t>
      </w:r>
      <w:r>
        <w:rPr>
          <w:rFonts w:hint="eastAsia" w:ascii="Times New Roman" w:hAnsi="Times New Roman" w:eastAsia="方正仿宋_GBK" w:cs="Times New Roman"/>
          <w:b w:val="0"/>
          <w:bCs w:val="0"/>
          <w:color w:val="auto"/>
          <w:sz w:val="32"/>
          <w:szCs w:val="32"/>
          <w:vertAlign w:val="superscript"/>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建设容量为200MW/400MWh，磷酸铁锂储能系统由40套5.015MW/10.03MWh储能单元组成。5.015MW/10.03MWh储能单元包含4个储能预制舱，共计48个电池簇。每套储能单元直流系统由电池簇、直流主控配电柜、消防系统、温控系统、本地控制器等设备组成。电池簇经汇流柜汇流后接入储能变流器直流侧，储能变流器交流侧并联接入升压变压器低压侧，升压至35kV。储能系统容量200MW/400MWh分为两套储能单元，每套储能单元交流系统由2台5000kVA0.69/35kV变压器和4套2500kW储能变流器组成。储能电站通过4回35kV集电线路接入升压站35kV母线。站内新建220kV升压站一座，主变容量为200MVA主变压器，新建35kVI段母线、配套新建升压站电气二次系统</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本次评价不包含</w:t>
      </w:r>
      <w:r>
        <w:rPr>
          <w:rFonts w:hint="eastAsia" w:eastAsia="方正仿宋_GBK" w:cs="Times New Roman"/>
          <w:sz w:val="32"/>
          <w:szCs w:val="32"/>
          <w:lang w:val="en-US" w:eastAsia="zh-CN"/>
        </w:rPr>
        <w:t>22</w:t>
      </w:r>
      <w:r>
        <w:rPr>
          <w:rFonts w:hint="eastAsia" w:ascii="Times New Roman" w:hAnsi="Times New Roman" w:eastAsia="方正仿宋_GBK" w:cs="Times New Roman"/>
          <w:sz w:val="32"/>
          <w:szCs w:val="32"/>
          <w:lang w:val="en-US" w:eastAsia="zh-CN"/>
        </w:rPr>
        <w:t>0kV送出线路工程）。</w:t>
      </w:r>
      <w:r>
        <w:rPr>
          <w:rFonts w:eastAsia="方正仿宋_GBK"/>
          <w:color w:val="auto"/>
          <w:sz w:val="32"/>
          <w:szCs w:val="32"/>
        </w:rPr>
        <w:t>立项依据：</w:t>
      </w:r>
      <w:r>
        <w:rPr>
          <w:rFonts w:hint="eastAsia" w:eastAsia="方正仿宋_GBK"/>
          <w:color w:val="auto"/>
          <w:sz w:val="32"/>
          <w:szCs w:val="32"/>
        </w:rPr>
        <w:t>易门县发展和改革局《</w:t>
      </w:r>
      <w:r>
        <w:rPr>
          <w:rFonts w:hint="eastAsia" w:eastAsia="方正仿宋_GBK"/>
          <w:color w:val="auto"/>
          <w:sz w:val="32"/>
          <w:szCs w:val="32"/>
          <w:lang w:val="en-US" w:eastAsia="zh-CN"/>
        </w:rPr>
        <w:t>云南省固定资产投资项目备案证</w:t>
      </w:r>
      <w:r>
        <w:rPr>
          <w:rFonts w:hint="eastAsia" w:eastAsia="方正仿宋_GBK"/>
          <w:color w:val="auto"/>
          <w:sz w:val="32"/>
          <w:szCs w:val="32"/>
        </w:rPr>
        <w:t>》</w:t>
      </w:r>
      <w:r>
        <w:rPr>
          <w:rFonts w:hint="eastAsia" w:eastAsia="方正仿宋_GBK"/>
          <w:color w:val="auto"/>
          <w:sz w:val="32"/>
          <w:szCs w:val="32"/>
          <w:lang w:eastAsia="zh-CN"/>
        </w:rPr>
        <w:t>，</w:t>
      </w:r>
      <w:r>
        <w:rPr>
          <w:rFonts w:hint="eastAsia" w:eastAsia="方正仿宋_GBK"/>
          <w:color w:val="auto"/>
          <w:sz w:val="32"/>
          <w:szCs w:val="32"/>
          <w:lang w:val="en-US" w:eastAsia="zh-CN"/>
        </w:rPr>
        <w:t>项目代码：2502-530425-04-01-683927</w:t>
      </w:r>
      <w:r>
        <w:rPr>
          <w:rFonts w:eastAsia="方正仿宋_GBK"/>
          <w:color w:val="auto"/>
          <w:sz w:val="32"/>
          <w:szCs w:val="32"/>
        </w:rPr>
        <w:t>。</w:t>
      </w:r>
      <w:r>
        <w:rPr>
          <w:rFonts w:eastAsia="方正仿宋_GBK"/>
          <w:color w:val="auto"/>
          <w:sz w:val="32"/>
          <w:szCs w:val="32"/>
          <w:highlight w:val="none"/>
        </w:rPr>
        <w:t>项目</w:t>
      </w:r>
      <w:r>
        <w:rPr>
          <w:rFonts w:hint="eastAsia" w:eastAsia="方正仿宋_GBK"/>
          <w:color w:val="auto"/>
          <w:sz w:val="32"/>
          <w:szCs w:val="32"/>
          <w:highlight w:val="none"/>
        </w:rPr>
        <w:t>总投资</w:t>
      </w:r>
      <w:r>
        <w:rPr>
          <w:rFonts w:hint="eastAsia" w:eastAsia="方正仿宋_GBK"/>
          <w:color w:val="auto"/>
          <w:sz w:val="32"/>
          <w:szCs w:val="32"/>
          <w:highlight w:val="none"/>
          <w:lang w:val="en-US" w:eastAsia="zh-CN"/>
        </w:rPr>
        <w:t>51931.46</w:t>
      </w:r>
      <w:r>
        <w:rPr>
          <w:rFonts w:hint="eastAsia" w:eastAsia="方正仿宋_GBK"/>
          <w:color w:val="auto"/>
          <w:sz w:val="32"/>
          <w:szCs w:val="32"/>
          <w:highlight w:val="none"/>
        </w:rPr>
        <w:t>万元，</w:t>
      </w:r>
      <w:r>
        <w:rPr>
          <w:rFonts w:hint="eastAsia" w:eastAsia="方正仿宋_GBK"/>
          <w:color w:val="auto"/>
          <w:sz w:val="32"/>
          <w:szCs w:val="32"/>
          <w:highlight w:val="none"/>
          <w:lang w:eastAsia="zh-CN"/>
        </w:rPr>
        <w:t>其中</w:t>
      </w:r>
      <w:r>
        <w:rPr>
          <w:rFonts w:hint="eastAsia" w:eastAsia="方正仿宋_GBK"/>
          <w:color w:val="auto"/>
          <w:sz w:val="32"/>
          <w:szCs w:val="32"/>
          <w:highlight w:val="none"/>
        </w:rPr>
        <w:t>环保投资</w:t>
      </w:r>
      <w:r>
        <w:rPr>
          <w:rFonts w:hint="eastAsia" w:eastAsia="方正仿宋_GBK"/>
          <w:color w:val="auto"/>
          <w:sz w:val="32"/>
          <w:szCs w:val="32"/>
          <w:highlight w:val="none"/>
          <w:lang w:val="en-US" w:eastAsia="zh-CN"/>
        </w:rPr>
        <w:t>102.5</w:t>
      </w:r>
      <w:r>
        <w:rPr>
          <w:rFonts w:hint="eastAsia" w:eastAsia="方正仿宋_GBK"/>
          <w:color w:val="auto"/>
          <w:sz w:val="32"/>
          <w:szCs w:val="32"/>
          <w:highlight w:val="none"/>
        </w:rPr>
        <w:t>万元，占总投资的</w:t>
      </w:r>
      <w:r>
        <w:rPr>
          <w:rFonts w:hint="eastAsia" w:eastAsia="方正仿宋_GBK"/>
          <w:color w:val="auto"/>
          <w:sz w:val="32"/>
          <w:szCs w:val="32"/>
          <w:highlight w:val="none"/>
          <w:lang w:val="en-US" w:eastAsia="zh-CN"/>
        </w:rPr>
        <w:t>0.20</w:t>
      </w:r>
      <w:r>
        <w:rPr>
          <w:rFonts w:hint="eastAsia" w:eastAsia="方正仿宋_GBK"/>
          <w:color w:val="auto"/>
          <w:sz w:val="32"/>
          <w:szCs w:val="32"/>
          <w:highlight w:val="none"/>
        </w:rPr>
        <w:t>%。</w:t>
      </w:r>
    </w:p>
    <w:p w14:paraId="56A79746">
      <w:pPr>
        <w:jc w:val="left"/>
        <w:rPr>
          <w:rFonts w:hint="default" w:eastAsia="方正仿宋_GBK" w:cs="Times New Roman"/>
          <w:sz w:val="32"/>
          <w:szCs w:val="32"/>
          <w:lang w:val="en-US" w:eastAsia="zh-CN"/>
        </w:rPr>
      </w:pPr>
      <w:r>
        <w:rPr>
          <w:rFonts w:hint="eastAsia" w:eastAsia="方正仿宋_GBK" w:cs="Times New Roman"/>
          <w:sz w:val="32"/>
          <w:szCs w:val="32"/>
          <w:lang w:val="en-US" w:eastAsia="zh-CN"/>
        </w:rPr>
        <w:t xml:space="preserve">    </w:t>
      </w:r>
      <w:r>
        <w:rPr>
          <w:rFonts w:hint="default" w:eastAsia="方正仿宋_GBK" w:cs="Times New Roman"/>
          <w:sz w:val="32"/>
          <w:szCs w:val="32"/>
          <w:lang w:val="en-US" w:eastAsia="zh-CN"/>
        </w:rPr>
        <w:t>在全面落实《报告表》提出的各项污染防治和生态保护措施后，项目建设和运营的不良环境影响可以得到减缓和控制。</w:t>
      </w:r>
      <w:r>
        <w:rPr>
          <w:rFonts w:hint="eastAsia" w:eastAsia="方正仿宋_GBK" w:cs="Times New Roman"/>
          <w:sz w:val="32"/>
          <w:szCs w:val="32"/>
          <w:lang w:val="en-US" w:eastAsia="zh-CN"/>
        </w:rPr>
        <w:t>我局</w:t>
      </w:r>
      <w:r>
        <w:rPr>
          <w:rFonts w:hint="default" w:eastAsia="方正仿宋_GBK" w:cs="Times New Roman"/>
          <w:sz w:val="32"/>
          <w:szCs w:val="32"/>
          <w:lang w:val="en-US" w:eastAsia="zh-CN"/>
        </w:rPr>
        <w:t>同意项目按照《报告表》中所述工程内容、规模、功能、地点和拟采取的环境保护对策措施建设。</w:t>
      </w:r>
    </w:p>
    <w:p w14:paraId="7BF6FF36">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二、项目</w:t>
      </w:r>
      <w:r>
        <w:rPr>
          <w:rFonts w:hint="eastAsia" w:eastAsia="方正黑体_GBK" w:cs="Times New Roman"/>
          <w:sz w:val="32"/>
          <w:szCs w:val="32"/>
          <w:lang w:eastAsia="zh-CN"/>
        </w:rPr>
        <w:t>设计、</w:t>
      </w:r>
      <w:r>
        <w:rPr>
          <w:rFonts w:hint="default" w:ascii="Times New Roman" w:hAnsi="Times New Roman" w:eastAsia="方正黑体_GBK" w:cs="Times New Roman"/>
          <w:sz w:val="32"/>
          <w:szCs w:val="32"/>
          <w:lang w:eastAsia="zh-CN"/>
        </w:rPr>
        <w:t>建设和运营过程中应重点做好的工作</w:t>
      </w:r>
    </w:p>
    <w:p w14:paraId="107DEED2">
      <w:pPr>
        <w:keepNext w:val="0"/>
        <w:keepLines w:val="0"/>
        <w:pageBreakBefore w:val="0"/>
        <w:widowControl w:val="0"/>
        <w:kinsoku/>
        <w:wordWrap/>
        <w:overflowPunct/>
        <w:topLinePunct w:val="0"/>
        <w:autoSpaceDE/>
        <w:autoSpaceDN/>
        <w:bidi w:val="0"/>
        <w:adjustRightInd/>
        <w:snapToGrid/>
        <w:spacing w:line="600" w:lineRule="exact"/>
        <w:ind w:firstLine="620" w:firstLineChars="194"/>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kern w:val="0"/>
          <w:sz w:val="32"/>
          <w:szCs w:val="32"/>
        </w:rPr>
        <w:t>加强施工期环境管理，认真落实施工期扬尘污染防治措施，</w:t>
      </w:r>
      <w:r>
        <w:rPr>
          <w:rFonts w:hint="eastAsia" w:ascii="方正仿宋_GBK" w:hAnsi="方正仿宋_GBK" w:eastAsia="方正仿宋_GBK" w:cs="方正仿宋_GBK"/>
          <w:color w:val="auto"/>
          <w:sz w:val="32"/>
          <w:szCs w:val="32"/>
        </w:rPr>
        <w:t>减少施工扬尘对周围大气环境的影响。施工场界扬尘满足《大气污染物综合排放标准》</w:t>
      </w:r>
      <w:r>
        <w:rPr>
          <w:rFonts w:eastAsia="方正仿宋_GBK"/>
          <w:color w:val="auto"/>
          <w:sz w:val="32"/>
          <w:szCs w:val="32"/>
        </w:rPr>
        <w:t>（GB16297-1996）</w:t>
      </w:r>
      <w:r>
        <w:rPr>
          <w:rFonts w:hint="eastAsia" w:eastAsia="方正仿宋_GBK"/>
          <w:color w:val="auto"/>
          <w:sz w:val="32"/>
          <w:szCs w:val="32"/>
          <w:lang w:eastAsia="zh-CN"/>
        </w:rPr>
        <w:t>的</w:t>
      </w:r>
      <w:r>
        <w:rPr>
          <w:rFonts w:hint="eastAsia" w:ascii="方正仿宋_GBK" w:hAnsi="方正仿宋_GBK" w:eastAsia="方正仿宋_GBK" w:cs="方正仿宋_GBK"/>
          <w:color w:val="auto"/>
          <w:sz w:val="32"/>
          <w:szCs w:val="32"/>
          <w:lang w:eastAsia="zh-CN"/>
        </w:rPr>
        <w:t>要求</w:t>
      </w:r>
      <w:r>
        <w:rPr>
          <w:rFonts w:hint="eastAsia" w:ascii="方正仿宋_GBK" w:hAnsi="方正仿宋_GBK" w:eastAsia="方正仿宋_GBK" w:cs="方正仿宋_GBK"/>
          <w:color w:val="auto"/>
          <w:sz w:val="32"/>
          <w:szCs w:val="32"/>
        </w:rPr>
        <w:t>。</w:t>
      </w:r>
    </w:p>
    <w:p w14:paraId="69EF445F">
      <w:pPr>
        <w:keepNext w:val="0"/>
        <w:keepLines w:val="0"/>
        <w:pageBreakBefore w:val="0"/>
        <w:widowControl w:val="0"/>
        <w:kinsoku/>
        <w:wordWrap/>
        <w:overflowPunct/>
        <w:topLinePunct w:val="0"/>
        <w:autoSpaceDE/>
        <w:autoSpaceDN/>
        <w:bidi w:val="0"/>
        <w:adjustRightInd/>
        <w:snapToGrid/>
        <w:spacing w:line="600" w:lineRule="exact"/>
        <w:ind w:firstLine="620" w:firstLineChars="194"/>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（二）认真落实施工噪声防治措施，防止噪声扰民。施工期</w:t>
      </w:r>
      <w:r>
        <w:rPr>
          <w:rFonts w:hint="default" w:ascii="Times New Roman" w:hAnsi="Times New Roman" w:eastAsia="方正仿宋_GBK" w:cs="Times New Roman"/>
          <w:color w:val="auto"/>
          <w:sz w:val="32"/>
          <w:szCs w:val="32"/>
          <w:lang w:val="en-US" w:eastAsia="zh-CN"/>
        </w:rPr>
        <w:t>使用低噪声设备，夜间不施工，</w:t>
      </w:r>
      <w:r>
        <w:rPr>
          <w:rFonts w:hint="default" w:ascii="Times New Roman" w:hAnsi="Times New Roman" w:eastAsia="方正仿宋_GBK" w:cs="Times New Roman"/>
          <w:color w:val="auto"/>
          <w:sz w:val="32"/>
          <w:szCs w:val="32"/>
        </w:rPr>
        <w:t>对施工机械、车辆设备加强管护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确保施工厂界噪声达到《建筑施工场界环境噪声排放标准》（GB12523-2011）排放限值</w:t>
      </w:r>
      <w:r>
        <w:rPr>
          <w:rFonts w:hint="default" w:ascii="Times New Roman" w:hAnsi="Times New Roman" w:eastAsia="方正仿宋_GBK" w:cs="Times New Roman"/>
          <w:color w:val="auto"/>
          <w:sz w:val="32"/>
          <w:szCs w:val="32"/>
        </w:rPr>
        <w:t>。</w:t>
      </w:r>
    </w:p>
    <w:p w14:paraId="32B3B243">
      <w:pPr>
        <w:adjustRightInd w:val="0"/>
        <w:snapToGrid w:val="0"/>
        <w:spacing w:line="600" w:lineRule="exact"/>
        <w:ind w:firstLine="620" w:firstLineChars="194"/>
        <w:rPr>
          <w:rFonts w:hint="eastAsia" w:ascii="仿宋" w:hAnsi="仿宋" w:eastAsia="仿宋" w:cs="仿宋"/>
          <w:sz w:val="32"/>
          <w:szCs w:val="32"/>
        </w:rPr>
      </w:pPr>
      <w:r>
        <w:rPr>
          <w:rFonts w:hint="eastAsia" w:ascii="方正仿宋_GBK" w:hAnsi="方正仿宋_GBK" w:eastAsia="方正仿宋_GBK" w:cs="方正仿宋_GBK"/>
          <w:color w:val="auto"/>
          <w:sz w:val="32"/>
          <w:szCs w:val="32"/>
        </w:rPr>
        <w:t>（三）</w:t>
      </w:r>
      <w:r>
        <w:rPr>
          <w:rFonts w:hint="eastAsia" w:ascii="仿宋" w:hAnsi="仿宋" w:eastAsia="仿宋" w:cs="仿宋"/>
          <w:sz w:val="32"/>
          <w:szCs w:val="32"/>
        </w:rPr>
        <w:t>必须严格按</w:t>
      </w:r>
      <w:r>
        <w:rPr>
          <w:rFonts w:ascii="仿宋" w:hAnsi="仿宋" w:eastAsia="仿宋" w:cs="仿宋"/>
          <w:sz w:val="32"/>
          <w:szCs w:val="32"/>
        </w:rPr>
        <w:t>《</w:t>
      </w:r>
      <w:r>
        <w:rPr>
          <w:rFonts w:hint="eastAsia" w:ascii="仿宋" w:hAnsi="仿宋" w:eastAsia="仿宋" w:cs="仿宋"/>
          <w:sz w:val="32"/>
          <w:szCs w:val="32"/>
        </w:rPr>
        <w:t>电磁环境控制限值</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GB</w:t>
      </w:r>
      <w:r>
        <w:rPr>
          <w:rFonts w:hint="eastAsia" w:ascii="仿宋" w:hAnsi="仿宋" w:eastAsia="仿宋" w:cs="仿宋"/>
          <w:sz w:val="32"/>
          <w:szCs w:val="32"/>
        </w:rPr>
        <w:t xml:space="preserve"> </w:t>
      </w:r>
      <w:r>
        <w:rPr>
          <w:rFonts w:ascii="仿宋" w:hAnsi="仿宋" w:eastAsia="仿宋" w:cs="仿宋"/>
          <w:sz w:val="32"/>
          <w:szCs w:val="32"/>
        </w:rPr>
        <w:t>8702-2014</w:t>
      </w:r>
      <w:r>
        <w:rPr>
          <w:rFonts w:hint="eastAsia" w:ascii="仿宋" w:hAnsi="仿宋" w:eastAsia="仿宋" w:cs="仿宋"/>
          <w:sz w:val="32"/>
          <w:szCs w:val="32"/>
        </w:rPr>
        <w:t>）、</w:t>
      </w:r>
      <w:r>
        <w:rPr>
          <w:rFonts w:hint="eastAsia" w:ascii="仿宋" w:hAnsi="仿宋" w:eastAsia="仿宋"/>
          <w:sz w:val="32"/>
          <w:szCs w:val="32"/>
        </w:rPr>
        <w:t>《</w:t>
      </w:r>
      <w:r>
        <w:rPr>
          <w:rFonts w:ascii="仿宋" w:hAnsi="仿宋" w:eastAsia="仿宋"/>
          <w:sz w:val="32"/>
          <w:szCs w:val="32"/>
        </w:rPr>
        <w:t>输变电建设项目环境保护技术要求</w:t>
      </w:r>
      <w:r>
        <w:rPr>
          <w:rFonts w:hint="eastAsia" w:ascii="仿宋" w:hAnsi="仿宋" w:eastAsia="仿宋"/>
          <w:sz w:val="32"/>
          <w:szCs w:val="32"/>
        </w:rPr>
        <w:t>》（H</w:t>
      </w:r>
      <w:r>
        <w:rPr>
          <w:rFonts w:ascii="仿宋" w:hAnsi="仿宋" w:eastAsia="仿宋"/>
          <w:sz w:val="32"/>
          <w:szCs w:val="32"/>
        </w:rPr>
        <w:t>J1113-2020</w:t>
      </w:r>
      <w:r>
        <w:rPr>
          <w:rFonts w:hint="eastAsia" w:ascii="仿宋" w:hAnsi="仿宋" w:eastAsia="仿宋"/>
          <w:sz w:val="32"/>
          <w:szCs w:val="32"/>
        </w:rPr>
        <w:t>）等</w:t>
      </w:r>
      <w:r>
        <w:rPr>
          <w:rFonts w:ascii="仿宋" w:hAnsi="仿宋" w:eastAsia="仿宋"/>
          <w:sz w:val="32"/>
          <w:szCs w:val="32"/>
        </w:rPr>
        <w:t>相关规定设计</w:t>
      </w:r>
      <w:r>
        <w:rPr>
          <w:rFonts w:hint="eastAsia" w:ascii="仿宋" w:hAnsi="仿宋" w:eastAsia="仿宋"/>
          <w:sz w:val="32"/>
          <w:szCs w:val="32"/>
        </w:rPr>
        <w:t>、</w:t>
      </w:r>
      <w:r>
        <w:rPr>
          <w:rFonts w:ascii="仿宋" w:hAnsi="仿宋" w:eastAsia="仿宋"/>
          <w:sz w:val="32"/>
          <w:szCs w:val="32"/>
        </w:rPr>
        <w:t>建设</w:t>
      </w:r>
      <w:r>
        <w:rPr>
          <w:rFonts w:hint="eastAsia" w:ascii="仿宋" w:hAnsi="仿宋" w:eastAsia="仿宋"/>
          <w:sz w:val="32"/>
          <w:szCs w:val="32"/>
        </w:rPr>
        <w:t>、运营。</w:t>
      </w:r>
      <w:r>
        <w:rPr>
          <w:rFonts w:hint="eastAsia" w:ascii="仿宋" w:hAnsi="仿宋" w:eastAsia="仿宋" w:cs="仿宋"/>
          <w:sz w:val="32"/>
          <w:szCs w:val="32"/>
        </w:rPr>
        <w:t>认真</w:t>
      </w:r>
      <w:r>
        <w:rPr>
          <w:rFonts w:hint="eastAsia" w:ascii="仿宋" w:hAnsi="仿宋" w:eastAsia="仿宋" w:cs="仿宋"/>
          <w:sz w:val="32"/>
          <w:szCs w:val="32"/>
          <w:shd w:val="clear" w:color="auto" w:fill="FFFFFF"/>
        </w:rPr>
        <w:t>落实《报告表》提出的环境保护措施，确保项目运行后储能站边界及周边保护目标电磁环境满足《电磁环境控制限值》（GB8702-2014）中电场强度4kV/m、磁感应强度100μT的公众曝露控制限值的要求</w:t>
      </w:r>
      <w:r>
        <w:rPr>
          <w:rFonts w:hint="eastAsia" w:ascii="仿宋" w:hAnsi="仿宋" w:eastAsia="仿宋"/>
          <w:sz w:val="32"/>
          <w:szCs w:val="32"/>
        </w:rPr>
        <w:t>。</w:t>
      </w:r>
    </w:p>
    <w:p w14:paraId="56F9CCB7">
      <w:pPr>
        <w:spacing w:line="600" w:lineRule="exact"/>
        <w:ind w:firstLine="620" w:firstLineChars="194"/>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color w:val="auto"/>
          <w:sz w:val="32"/>
          <w:szCs w:val="32"/>
          <w:lang w:val="en-US" w:eastAsia="zh-CN"/>
        </w:rPr>
        <w:t>施工废水收集沉淀后回用于洒水降尘，不外排；生活污水收集后用作洒水降尘，不外排。</w:t>
      </w:r>
    </w:p>
    <w:p w14:paraId="7D8123E9">
      <w:pPr>
        <w:spacing w:line="600" w:lineRule="exact"/>
        <w:ind w:firstLine="620" w:firstLineChars="194"/>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严格落实运营期项目废气污染防治措施。</w:t>
      </w:r>
      <w:r>
        <w:rPr>
          <w:rFonts w:hint="eastAsia" w:ascii="Times New Roman" w:hAnsi="Times New Roman" w:eastAsia="方正仿宋_GBK" w:cs="Times New Roman"/>
          <w:color w:val="auto"/>
          <w:sz w:val="32"/>
          <w:szCs w:val="32"/>
          <w:lang w:val="en-US" w:eastAsia="zh-CN"/>
        </w:rPr>
        <w:t>厨</w:t>
      </w:r>
      <w:r>
        <w:rPr>
          <w:rFonts w:hint="default" w:ascii="Times New Roman" w:hAnsi="Times New Roman" w:eastAsia="方正仿宋_GBK" w:cs="Times New Roman"/>
          <w:color w:val="auto"/>
          <w:sz w:val="32"/>
          <w:szCs w:val="32"/>
          <w:lang w:val="en-US" w:eastAsia="zh-CN"/>
        </w:rPr>
        <w:t>房油烟废气经油烟净化器处理后引至屋顶排放</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确保</w:t>
      </w:r>
      <w:r>
        <w:rPr>
          <w:rFonts w:hint="eastAsia" w:ascii="Times New Roman" w:hAnsi="Times New Roman" w:eastAsia="方正仿宋_GBK" w:cs="Times New Roman"/>
          <w:color w:val="auto"/>
          <w:sz w:val="32"/>
          <w:szCs w:val="32"/>
          <w:lang w:val="en-US" w:eastAsia="zh-CN"/>
        </w:rPr>
        <w:t>油烟排放满足《饮食业油烟排放标准（试行）》（GB18483-2001）中小型规模标准要求</w:t>
      </w:r>
      <w:r>
        <w:rPr>
          <w:rFonts w:hint="default" w:ascii="Times New Roman" w:hAnsi="Times New Roman" w:eastAsia="方正仿宋_GBK" w:cs="Times New Roman"/>
          <w:color w:val="auto"/>
          <w:sz w:val="32"/>
          <w:szCs w:val="32"/>
          <w:lang w:val="en-US" w:eastAsia="zh-CN"/>
        </w:rPr>
        <w:t>。</w:t>
      </w:r>
    </w:p>
    <w:p w14:paraId="1E044307">
      <w:pPr>
        <w:spacing w:line="600" w:lineRule="exact"/>
        <w:ind w:firstLine="620" w:firstLineChars="194"/>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规范厂区雨污分流建设。雨水经收集后排至附近雨水沟；食堂含油污水经隔油池处理后与生活污水一起经化粪池处理后再经站内地埋式生活污水处理站处理达到《城市污水再生利用城市杂用水水质》（GB/T 18920-2020）中表1城市杂用水水质标准中城市绿化用水水质标准后用于站内绿化。</w:t>
      </w:r>
    </w:p>
    <w:p w14:paraId="4C32139A">
      <w:pPr>
        <w:spacing w:line="600" w:lineRule="exact"/>
        <w:ind w:firstLine="620" w:firstLineChars="194"/>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尽量选用低噪声设备，产噪设备设置减震基础，同时加强管理，保证厂界噪声达到《工业企业厂界环境噪声排放标准》（GB12348-2008）</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类标准。</w:t>
      </w:r>
    </w:p>
    <w:p w14:paraId="355E40C5">
      <w:pPr>
        <w:keepNext w:val="0"/>
        <w:keepLines w:val="0"/>
        <w:pageBreakBefore w:val="0"/>
        <w:widowControl w:val="0"/>
        <w:kinsoku/>
        <w:wordWrap/>
        <w:overflowPunct/>
        <w:topLinePunct w:val="0"/>
        <w:bidi w:val="0"/>
        <w:adjustRightInd/>
        <w:snapToGrid/>
        <w:spacing w:line="600" w:lineRule="exact"/>
        <w:ind w:firstLine="620" w:firstLineChars="194"/>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八）严格落实运营期固体废物污染防治措施。生活垃圾由垃圾桶收集后委托当地环卫部门定期清运处置；生活污水处理站污泥收集后用作植物肥料；废旧磷酸铁锂电池定期交由电池厂家回收或者交由有资质单位处置；废铅酸蓄电池、变压器油</w:t>
      </w:r>
      <w:r>
        <w:rPr>
          <w:rFonts w:hint="eastAsia" w:ascii="Times New Roman" w:hAnsi="Times New Roman" w:eastAsia="方正仿宋_GBK" w:cs="Times New Roman"/>
          <w:color w:val="auto"/>
          <w:kern w:val="24"/>
          <w:sz w:val="32"/>
          <w:szCs w:val="32"/>
          <w:lang w:eastAsia="zh-CN"/>
        </w:rPr>
        <w:t>存放于危废暂存间，交由有资质的回收单位处理。</w:t>
      </w:r>
    </w:p>
    <w:p w14:paraId="326F5B37">
      <w:pPr>
        <w:pBdr>
          <w:top w:val="none" w:color="auto" w:sz="0" w:space="1"/>
          <w:left w:val="none" w:color="auto" w:sz="0" w:space="4"/>
          <w:bottom w:val="none" w:color="auto" w:sz="0" w:space="1"/>
          <w:right w:val="none" w:color="auto" w:sz="0" w:space="4"/>
        </w:pBdr>
        <w:spacing w:line="600" w:lineRule="exact"/>
        <w:ind w:firstLine="613" w:firstLineChars="194"/>
        <w:rPr>
          <w:rFonts w:hint="eastAsia" w:eastAsia="方正仿宋_GBK"/>
          <w:color w:val="auto"/>
          <w:spacing w:val="-2"/>
          <w:kern w:val="0"/>
          <w:sz w:val="32"/>
          <w:szCs w:val="32"/>
          <w:lang w:eastAsia="zh-CN"/>
        </w:rPr>
      </w:pPr>
      <w:r>
        <w:rPr>
          <w:rFonts w:hint="eastAsia" w:eastAsia="方正仿宋_GBK"/>
          <w:color w:val="auto"/>
          <w:spacing w:val="-2"/>
          <w:kern w:val="0"/>
          <w:sz w:val="32"/>
          <w:szCs w:val="32"/>
          <w:lang w:eastAsia="zh-CN"/>
        </w:rPr>
        <w:t>（</w:t>
      </w:r>
      <w:r>
        <w:rPr>
          <w:rFonts w:hint="eastAsia" w:eastAsia="方正仿宋_GBK"/>
          <w:color w:val="auto"/>
          <w:spacing w:val="-2"/>
          <w:kern w:val="0"/>
          <w:sz w:val="32"/>
          <w:szCs w:val="32"/>
          <w:lang w:val="en-US" w:eastAsia="zh-CN"/>
        </w:rPr>
        <w:t>九</w:t>
      </w:r>
      <w:r>
        <w:rPr>
          <w:rFonts w:hint="eastAsia" w:eastAsia="方正仿宋_GBK"/>
          <w:color w:val="auto"/>
          <w:spacing w:val="-2"/>
          <w:kern w:val="0"/>
          <w:sz w:val="32"/>
          <w:szCs w:val="32"/>
          <w:lang w:eastAsia="zh-CN"/>
        </w:rPr>
        <w:t>）严格按照矿界范围开采，禁止越界开采。采取边开采、边恢复措施；严禁超范围和移位使用林地，杜绝非法采伐、破坏植被行为，严防森林火灾；做好场区周边护林防火标识牌及安全警示。</w:t>
      </w:r>
    </w:p>
    <w:p w14:paraId="7BA4B906">
      <w:pPr>
        <w:keepNext w:val="0"/>
        <w:keepLines w:val="0"/>
        <w:pageBreakBefore w:val="0"/>
        <w:widowControl w:val="0"/>
        <w:kinsoku/>
        <w:wordWrap/>
        <w:overflowPunct/>
        <w:topLinePunct/>
        <w:autoSpaceDE/>
        <w:autoSpaceDN/>
        <w:bidi w:val="0"/>
        <w:adjustRightInd/>
        <w:snapToGrid/>
        <w:spacing w:line="590" w:lineRule="exact"/>
        <w:ind w:left="0" w:leftChars="0" w:firstLine="613" w:firstLineChars="194"/>
        <w:textAlignment w:val="auto"/>
        <w:rPr>
          <w:rFonts w:hint="default" w:ascii="Times New Roman" w:hAnsi="Times New Roman" w:eastAsia="方正仿宋_GBK" w:cs="Times New Roman"/>
          <w:color w:val="auto"/>
          <w:spacing w:val="-2"/>
          <w:kern w:val="0"/>
          <w:sz w:val="32"/>
          <w:szCs w:val="32"/>
          <w:lang w:val="en-US" w:eastAsia="zh-CN" w:bidi="ar-SA"/>
        </w:rPr>
      </w:pPr>
      <w:r>
        <w:rPr>
          <w:rFonts w:hint="default" w:ascii="Times New Roman" w:hAnsi="Times New Roman" w:eastAsia="方正仿宋_GBK" w:cs="Times New Roman"/>
          <w:color w:val="auto"/>
          <w:spacing w:val="-2"/>
          <w:kern w:val="0"/>
          <w:sz w:val="32"/>
          <w:szCs w:val="32"/>
          <w:lang w:val="en-US" w:eastAsia="zh-CN" w:bidi="ar-SA"/>
        </w:rPr>
        <w:t>（</w:t>
      </w:r>
      <w:r>
        <w:rPr>
          <w:rFonts w:hint="eastAsia" w:ascii="Times New Roman" w:hAnsi="Times New Roman" w:eastAsia="方正仿宋_GBK" w:cs="Times New Roman"/>
          <w:color w:val="auto"/>
          <w:spacing w:val="-2"/>
          <w:kern w:val="0"/>
          <w:sz w:val="32"/>
          <w:szCs w:val="32"/>
          <w:lang w:val="en-US" w:eastAsia="zh-CN" w:bidi="ar-SA"/>
        </w:rPr>
        <w:t>十</w:t>
      </w:r>
      <w:r>
        <w:rPr>
          <w:rFonts w:hint="default" w:ascii="Times New Roman" w:hAnsi="Times New Roman" w:eastAsia="方正仿宋_GBK" w:cs="Times New Roman"/>
          <w:color w:val="auto"/>
          <w:spacing w:val="-2"/>
          <w:kern w:val="0"/>
          <w:sz w:val="32"/>
          <w:szCs w:val="32"/>
          <w:lang w:val="en-US" w:eastAsia="zh-CN" w:bidi="ar-SA"/>
        </w:rPr>
        <w:t>）严格落实各项环境风险防范措施，树立环境风险意识，强化环境风险责任，按要求制定突发环境事件应急预案，杜绝环境安全事故、环境污染事故的发生。</w:t>
      </w:r>
    </w:p>
    <w:p w14:paraId="6B132054">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三、其他相关要求</w:t>
      </w:r>
    </w:p>
    <w:p w14:paraId="05289424">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（一）该项目《报告表》经批准后，若发生重大变动，须另行开展环境影响评价并重新报批。</w:t>
      </w:r>
    </w:p>
    <w:p w14:paraId="62FCEA1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严格执行环境保护设施与主体工程同时设计、同时施工、同时投入使用的环境保护“三同时”制度；项目建成投入试运行后，及时报告并按规定自行组织开展竣工环保验收，经验收合格后方可正式投入运营。</w:t>
      </w:r>
    </w:p>
    <w:p w14:paraId="42A18F38">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（三）玉溪市生态环境保护综合行政执法支队、玉溪市生态环境局</w:t>
      </w:r>
      <w:r>
        <w:rPr>
          <w:rFonts w:hint="eastAsia" w:eastAsia="方正仿宋_GBK" w:cs="Times New Roman"/>
          <w:sz w:val="32"/>
          <w:szCs w:val="32"/>
          <w:lang w:eastAsia="zh-CN"/>
        </w:rPr>
        <w:t>易门分局</w:t>
      </w:r>
      <w:r>
        <w:rPr>
          <w:rFonts w:hint="default" w:ascii="Times New Roman" w:hAnsi="Times New Roman" w:eastAsia="方正仿宋_GBK" w:cs="Times New Roman"/>
          <w:sz w:val="32"/>
          <w:szCs w:val="32"/>
          <w:lang w:eastAsia="zh-CN"/>
        </w:rPr>
        <w:t>要切实承担事中事后监管责任，履行属地监管职责，按照相关法律法规及《关于进一步完善建设项目环境保护“三同时”及竣工环境保护自主验收监管工作机制的意见》（环执法〔</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eastAsia="zh-CN"/>
        </w:rPr>
        <w:t>号）要求，加强对该项目环境保护“三同时”及自主验收的监管</w:t>
      </w:r>
      <w:r>
        <w:rPr>
          <w:rFonts w:hint="eastAsia" w:eastAsia="方正仿宋_GBK" w:cs="Times New Roman"/>
          <w:sz w:val="32"/>
          <w:szCs w:val="32"/>
          <w:lang w:eastAsia="zh-CN"/>
        </w:rPr>
        <w:t>。</w:t>
      </w:r>
    </w:p>
    <w:p w14:paraId="17CD244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3BC50CDB">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0EA5DB0E">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4F08C137">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14:paraId="09AD5B7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日</w:t>
      </w:r>
    </w:p>
    <w:p w14:paraId="389E8B5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52D0559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6AB562B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37D1146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60E1FDB5">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0B706848">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596C8465">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5D5F6FE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5AD1820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25E3869B">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7C403BB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653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42670" cy="2641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4267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1D593">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82.1pt;mso-position-horizontal:outside;mso-position-horizontal-relative:margin;z-index:251659264;mso-width-relative:page;mso-height-relative:page;" filled="f" stroked="f" coordsize="21600,21600" o:gfxdata="UEsDBAoAAAAAAIdO4kAAAAAAAAAAAAAAAAAEAAAAZHJzL1BLAwQUAAAACACHTuJAPORD+tQAAAAE&#10;AQAADwAAAGRycy9kb3ducmV2LnhtbE2PS0/DMBCE70j8B2uRuFE7VRWhNE4PPG48C0jl5sRLEhGv&#10;I3uTln+Py6VcVhrNaObbcnNwg5gxxN6ThmyhQCA13vbUanh/u7+6BhHZkDWDJ9TwgxE21flZaQrr&#10;9/SK85ZbkUooFkZDxzwWUsamQ2fiwo9IyfvywRlOMrTSBrNP5W6QS6Vy6UxPaaEzI9502HxvJ6dh&#10;2MXwUCv+nG/bR355ltPHXfak9eVFptYgGA98CsMRP6FDlZhqP5GNYtCQHuG/e/Ty1RJErWGV5SCr&#10;Uv6Hr34BUEsDBBQAAAAIAIdO4kD1XsynNwIAAGIEAAAOAAAAZHJzL2Uyb0RvYy54bWytVE2O0zAU&#10;3iNxB8t7mrQdCqqajspURUgjZqSCWLuO01iy/YztNikHgBuwYsOec/UcPDtJBw0sZsHG/eL3+31+&#10;r4vrVityFM5LMAUdj3JKhOFQSrMv6McPmxevKfGBmZIpMKKgJ+Hp9fL5s0Vj52ICNahSOIJJjJ83&#10;tqB1CHaeZZ7XQjM/AisMGitwmgX8dPusdKzB7FplkzyfZQ240jrgwnu8XXdG2md0T0kIVSW5WAM/&#10;aGFCl9UJxQJS8rW0ni5Tt1UleLirKi8CUQVFpiGdWATxLp7ZcsHme8dsLXnfAntKC484aSYNFr2k&#10;WrPAyMHJv1JpyR14qMKIg846IkkRZDHOH2mzrZkViQtK7e1FdP//0vL3x3tHZFnQKSWGaXzw8/dv&#10;5x+/zj+/kmmUp7F+jl5bi36hfQMtDs1w7/Eysm4rp+Mv8iFoR3FPF3FFGwiPQfnVZPYKTRxtk9nV&#10;eJbUzx6irfPhrQBNIiiow8dLmrLjrQ/YCboOLrGYgY1UKj2gMqQp6Gz6Mk8BFwtGKIOBkUPXa0Sh&#10;3bU9sR2UJ+TloBsMb/lGYvFb5sM9czgJ2C/uSrjDo1KARaBHlNTgvvzrPvrjA6GVkgYnq6D+84E5&#10;QYl6Z/DpMGUYgBvAbgDmoG8Ah3WMW2h5ghjgghpg5UB/whVaxSpoYoZjrYKGAd6Ebr5xBblYrZLT&#10;wTq5r7sAHDzLwq3ZWh7LdFKuDgEqmVSOEnW69Mrh6CXx+zWJs/3nd/J6+G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85EP61AAAAAQBAAAPAAAAAAAAAAEAIAAAACIAAABkcnMvZG93bnJldi54&#10;bWxQSwECFAAUAAAACACHTuJA9V7MpzcCAABiBAAADgAAAAAAAAABACAAAAAjAQAAZHJzL2Uyb0Rv&#10;Yy54bWxQSwUGAAAAAAYABgBZAQAAzAUAAAAA&#10;">
              <v:fill on="f" focussize="0,0"/>
              <v:stroke on="f" weight="0.5pt"/>
              <v:imagedata o:title=""/>
              <o:lock v:ext="edit" aspectratio="f"/>
              <v:textbox inset="0mm,0mm,0mm,0mm">
                <w:txbxContent>
                  <w:p w14:paraId="67A1D593">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CB33">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YjcyM2E0ZTg3YjgyZjQyYTg2ZTRkMGM4ZDdhMWUifQ=="/>
  </w:docVars>
  <w:rsids>
    <w:rsidRoot w:val="2AAF282F"/>
    <w:rsid w:val="00251335"/>
    <w:rsid w:val="002C7551"/>
    <w:rsid w:val="002E39CB"/>
    <w:rsid w:val="00354601"/>
    <w:rsid w:val="00621CDB"/>
    <w:rsid w:val="007216D3"/>
    <w:rsid w:val="009E4FAC"/>
    <w:rsid w:val="00DE2824"/>
    <w:rsid w:val="00E32A7B"/>
    <w:rsid w:val="00E779F3"/>
    <w:rsid w:val="00F138BA"/>
    <w:rsid w:val="017B43B2"/>
    <w:rsid w:val="01901A10"/>
    <w:rsid w:val="022E6AD9"/>
    <w:rsid w:val="02C92423"/>
    <w:rsid w:val="02D359C2"/>
    <w:rsid w:val="03405326"/>
    <w:rsid w:val="03DF7990"/>
    <w:rsid w:val="047A7F12"/>
    <w:rsid w:val="05436FA8"/>
    <w:rsid w:val="066A0886"/>
    <w:rsid w:val="06D849E3"/>
    <w:rsid w:val="075F1CAC"/>
    <w:rsid w:val="07CE7264"/>
    <w:rsid w:val="09294E4C"/>
    <w:rsid w:val="0A5D4D3F"/>
    <w:rsid w:val="0A955323"/>
    <w:rsid w:val="0B2C6D5D"/>
    <w:rsid w:val="0C11428E"/>
    <w:rsid w:val="0CD1482E"/>
    <w:rsid w:val="0D625FF1"/>
    <w:rsid w:val="0DF93715"/>
    <w:rsid w:val="0EE81C04"/>
    <w:rsid w:val="10085FCB"/>
    <w:rsid w:val="10600A97"/>
    <w:rsid w:val="11851A07"/>
    <w:rsid w:val="11DC6270"/>
    <w:rsid w:val="12080F2A"/>
    <w:rsid w:val="126224F8"/>
    <w:rsid w:val="13DD3E12"/>
    <w:rsid w:val="14325F56"/>
    <w:rsid w:val="143A6D20"/>
    <w:rsid w:val="147C6156"/>
    <w:rsid w:val="147D33EC"/>
    <w:rsid w:val="14A7237E"/>
    <w:rsid w:val="14F53A51"/>
    <w:rsid w:val="150771D6"/>
    <w:rsid w:val="15906E34"/>
    <w:rsid w:val="15B44512"/>
    <w:rsid w:val="175B5421"/>
    <w:rsid w:val="17773ABF"/>
    <w:rsid w:val="17951DDA"/>
    <w:rsid w:val="17D20987"/>
    <w:rsid w:val="187622AE"/>
    <w:rsid w:val="18C74774"/>
    <w:rsid w:val="18CE063C"/>
    <w:rsid w:val="19234F44"/>
    <w:rsid w:val="1A3C7BBE"/>
    <w:rsid w:val="1A5F6E8E"/>
    <w:rsid w:val="1A8C320C"/>
    <w:rsid w:val="1AF06846"/>
    <w:rsid w:val="1B5961B8"/>
    <w:rsid w:val="1BB55796"/>
    <w:rsid w:val="1D22560D"/>
    <w:rsid w:val="1D36222A"/>
    <w:rsid w:val="1EA25257"/>
    <w:rsid w:val="1EE0592A"/>
    <w:rsid w:val="208965AF"/>
    <w:rsid w:val="20AA77ED"/>
    <w:rsid w:val="22070E99"/>
    <w:rsid w:val="221338AA"/>
    <w:rsid w:val="22B47180"/>
    <w:rsid w:val="24404051"/>
    <w:rsid w:val="252B1D4D"/>
    <w:rsid w:val="254949A5"/>
    <w:rsid w:val="259A3B4A"/>
    <w:rsid w:val="25B310C3"/>
    <w:rsid w:val="25B61F3B"/>
    <w:rsid w:val="266470F6"/>
    <w:rsid w:val="26E52AD8"/>
    <w:rsid w:val="26F33055"/>
    <w:rsid w:val="270A1F02"/>
    <w:rsid w:val="272844C9"/>
    <w:rsid w:val="273C53CB"/>
    <w:rsid w:val="2750082C"/>
    <w:rsid w:val="27D902BE"/>
    <w:rsid w:val="27E028FD"/>
    <w:rsid w:val="285716F9"/>
    <w:rsid w:val="286E622A"/>
    <w:rsid w:val="2AAF282F"/>
    <w:rsid w:val="2B5D1FBE"/>
    <w:rsid w:val="2BA80578"/>
    <w:rsid w:val="2C4B3AF0"/>
    <w:rsid w:val="2CE31097"/>
    <w:rsid w:val="2D9B5CF7"/>
    <w:rsid w:val="2E8D30CF"/>
    <w:rsid w:val="2FAE1C18"/>
    <w:rsid w:val="301F335D"/>
    <w:rsid w:val="30AB341D"/>
    <w:rsid w:val="30BA0CF3"/>
    <w:rsid w:val="30E34D34"/>
    <w:rsid w:val="31A812D2"/>
    <w:rsid w:val="32810117"/>
    <w:rsid w:val="33364881"/>
    <w:rsid w:val="334A0CFF"/>
    <w:rsid w:val="35692B73"/>
    <w:rsid w:val="370D5223"/>
    <w:rsid w:val="376E2D82"/>
    <w:rsid w:val="38403B90"/>
    <w:rsid w:val="38AC02C2"/>
    <w:rsid w:val="38B41D0D"/>
    <w:rsid w:val="3BA00084"/>
    <w:rsid w:val="3C7F4DE2"/>
    <w:rsid w:val="3C7F7E1B"/>
    <w:rsid w:val="3EF1250A"/>
    <w:rsid w:val="3F155B26"/>
    <w:rsid w:val="410858E9"/>
    <w:rsid w:val="41332E43"/>
    <w:rsid w:val="416A0536"/>
    <w:rsid w:val="41D86F7B"/>
    <w:rsid w:val="423A11FD"/>
    <w:rsid w:val="429513FF"/>
    <w:rsid w:val="42A177C8"/>
    <w:rsid w:val="432D68FF"/>
    <w:rsid w:val="436F1C50"/>
    <w:rsid w:val="43E27842"/>
    <w:rsid w:val="43F3462F"/>
    <w:rsid w:val="449823AC"/>
    <w:rsid w:val="44A14CE2"/>
    <w:rsid w:val="44C339FF"/>
    <w:rsid w:val="4580253E"/>
    <w:rsid w:val="4586478D"/>
    <w:rsid w:val="45A5300C"/>
    <w:rsid w:val="45B72F61"/>
    <w:rsid w:val="46D524F5"/>
    <w:rsid w:val="473D3C1B"/>
    <w:rsid w:val="481B4AAA"/>
    <w:rsid w:val="488E05B4"/>
    <w:rsid w:val="48E376BD"/>
    <w:rsid w:val="49600971"/>
    <w:rsid w:val="498875C7"/>
    <w:rsid w:val="4A51456E"/>
    <w:rsid w:val="4AEF13B7"/>
    <w:rsid w:val="4B0E06C8"/>
    <w:rsid w:val="4C2226B4"/>
    <w:rsid w:val="4CF01C24"/>
    <w:rsid w:val="4CFC6926"/>
    <w:rsid w:val="4DD53083"/>
    <w:rsid w:val="4EBA33D0"/>
    <w:rsid w:val="4ECA26AB"/>
    <w:rsid w:val="4FBF2EF4"/>
    <w:rsid w:val="4FC24B2F"/>
    <w:rsid w:val="501F6C42"/>
    <w:rsid w:val="51C9023B"/>
    <w:rsid w:val="51FE1BA6"/>
    <w:rsid w:val="524D5852"/>
    <w:rsid w:val="52601BDC"/>
    <w:rsid w:val="526D5DB8"/>
    <w:rsid w:val="52D2446B"/>
    <w:rsid w:val="534A1F20"/>
    <w:rsid w:val="54B95797"/>
    <w:rsid w:val="54ED6695"/>
    <w:rsid w:val="54FD6EDC"/>
    <w:rsid w:val="55090B63"/>
    <w:rsid w:val="55C5056F"/>
    <w:rsid w:val="56490678"/>
    <w:rsid w:val="56685559"/>
    <w:rsid w:val="56BD2497"/>
    <w:rsid w:val="56C8798F"/>
    <w:rsid w:val="570502E5"/>
    <w:rsid w:val="57BF3583"/>
    <w:rsid w:val="583667C1"/>
    <w:rsid w:val="583C72D7"/>
    <w:rsid w:val="591816AF"/>
    <w:rsid w:val="5A4822A0"/>
    <w:rsid w:val="5A7D0E49"/>
    <w:rsid w:val="5B530E0D"/>
    <w:rsid w:val="5BBB79D4"/>
    <w:rsid w:val="5BEC4998"/>
    <w:rsid w:val="5C590380"/>
    <w:rsid w:val="5CFE5258"/>
    <w:rsid w:val="5D0964B2"/>
    <w:rsid w:val="5E04242A"/>
    <w:rsid w:val="5E9B6186"/>
    <w:rsid w:val="5EB95888"/>
    <w:rsid w:val="5EE571AE"/>
    <w:rsid w:val="5F402FCF"/>
    <w:rsid w:val="5F4A3E48"/>
    <w:rsid w:val="5FA40E41"/>
    <w:rsid w:val="6158114D"/>
    <w:rsid w:val="61682A0D"/>
    <w:rsid w:val="62197AC8"/>
    <w:rsid w:val="629C6B78"/>
    <w:rsid w:val="63161C90"/>
    <w:rsid w:val="644E7BB0"/>
    <w:rsid w:val="65BD6006"/>
    <w:rsid w:val="65C33A84"/>
    <w:rsid w:val="65D43D57"/>
    <w:rsid w:val="65EF6265"/>
    <w:rsid w:val="661C059B"/>
    <w:rsid w:val="664C74D8"/>
    <w:rsid w:val="66C51CC3"/>
    <w:rsid w:val="670F1B12"/>
    <w:rsid w:val="6783156C"/>
    <w:rsid w:val="67E051FD"/>
    <w:rsid w:val="67E67E6E"/>
    <w:rsid w:val="67F40045"/>
    <w:rsid w:val="69624277"/>
    <w:rsid w:val="69BB5472"/>
    <w:rsid w:val="6A065065"/>
    <w:rsid w:val="6A970CFF"/>
    <w:rsid w:val="6B24315D"/>
    <w:rsid w:val="6B8F627B"/>
    <w:rsid w:val="6C196406"/>
    <w:rsid w:val="6CC816B1"/>
    <w:rsid w:val="6D9A715C"/>
    <w:rsid w:val="6DC4470E"/>
    <w:rsid w:val="6F4C5C4D"/>
    <w:rsid w:val="702C48A1"/>
    <w:rsid w:val="70967830"/>
    <w:rsid w:val="709D12FB"/>
    <w:rsid w:val="71280BD2"/>
    <w:rsid w:val="71D81D61"/>
    <w:rsid w:val="737547B1"/>
    <w:rsid w:val="7417602D"/>
    <w:rsid w:val="74667AB9"/>
    <w:rsid w:val="75A07590"/>
    <w:rsid w:val="76862181"/>
    <w:rsid w:val="76EB5318"/>
    <w:rsid w:val="78031BEB"/>
    <w:rsid w:val="783F1C54"/>
    <w:rsid w:val="789718A7"/>
    <w:rsid w:val="79732DC7"/>
    <w:rsid w:val="7A1F67B7"/>
    <w:rsid w:val="7A2E13A1"/>
    <w:rsid w:val="7A8E3EE0"/>
    <w:rsid w:val="7AA60FD4"/>
    <w:rsid w:val="7ADA625F"/>
    <w:rsid w:val="7B7E0F63"/>
    <w:rsid w:val="7BD56DC6"/>
    <w:rsid w:val="7C9E2CE2"/>
    <w:rsid w:val="7CCE20D6"/>
    <w:rsid w:val="7D2257CD"/>
    <w:rsid w:val="7D304BE5"/>
    <w:rsid w:val="7E5B1083"/>
    <w:rsid w:val="7E8004BE"/>
    <w:rsid w:val="7FBA0DBB"/>
    <w:rsid w:val="7FCB2CDB"/>
    <w:rsid w:val="7FE49F59"/>
    <w:rsid w:val="9FF3C456"/>
    <w:rsid w:val="ADFF37CF"/>
    <w:rsid w:val="BBA5F45B"/>
    <w:rsid w:val="F77383FA"/>
    <w:rsid w:val="FFFF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pPr>
    <w:rPr>
      <w:sz w:val="28"/>
      <w:szCs w:val="28"/>
    </w:rPr>
  </w:style>
  <w:style w:type="paragraph" w:styleId="5">
    <w:name w:val="Body Text"/>
    <w:basedOn w:val="1"/>
    <w:next w:val="6"/>
    <w:autoRedefine/>
    <w:qFormat/>
    <w:uiPriority w:val="0"/>
    <w:pPr>
      <w:spacing w:after="120"/>
    </w:pPr>
  </w:style>
  <w:style w:type="paragraph" w:customStyle="1" w:styleId="6">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7">
    <w:name w:val="Plain Text"/>
    <w:basedOn w:val="1"/>
    <w:next w:val="1"/>
    <w:autoRedefine/>
    <w:qFormat/>
    <w:uiPriority w:val="0"/>
    <w:rPr>
      <w:rFonts w:ascii="宋体" w:hAnsi="Courier New"/>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next w:val="1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1"/>
    <w:autoRedefine/>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styleId="12">
    <w:name w:val="toc 2"/>
    <w:basedOn w:val="1"/>
    <w:next w:val="1"/>
    <w:autoRedefine/>
    <w:qFormat/>
    <w:uiPriority w:val="39"/>
    <w:pPr>
      <w:ind w:left="420" w:leftChars="200"/>
    </w:pPr>
    <w:rPr>
      <w:szCs w:val="24"/>
    </w:rPr>
  </w:style>
  <w:style w:type="paragraph" w:styleId="13">
    <w:name w:val="Body Text First Indent"/>
    <w:basedOn w:val="5"/>
    <w:next w:val="1"/>
    <w:autoRedefine/>
    <w:qFormat/>
    <w:uiPriority w:val="0"/>
    <w:pPr>
      <w:widowControl/>
      <w:ind w:firstLine="420" w:firstLineChars="100"/>
      <w:jc w:val="left"/>
    </w:pPr>
    <w:rPr>
      <w:rFonts w:ascii="Calibri" w:hAnsi="Calibri" w:cs="宋体"/>
      <w:kern w:val="0"/>
    </w:rPr>
  </w:style>
  <w:style w:type="paragraph" w:styleId="14">
    <w:name w:val="Body Text First Indent 2"/>
    <w:basedOn w:val="1"/>
    <w:next w:val="13"/>
    <w:autoRedefine/>
    <w:qFormat/>
    <w:uiPriority w:val="0"/>
    <w:pPr>
      <w:ind w:firstLine="420" w:firstLineChars="200"/>
    </w:pPr>
  </w:style>
  <w:style w:type="character" w:styleId="17">
    <w:name w:val="page number"/>
    <w:basedOn w:val="16"/>
    <w:autoRedefine/>
    <w:qFormat/>
    <w:uiPriority w:val="0"/>
  </w:style>
  <w:style w:type="paragraph" w:customStyle="1" w:styleId="18">
    <w:name w:val="样式 样式 左 首行缩进:  2 字符 + 首行缩进:  2 字符"/>
    <w:basedOn w:val="1"/>
    <w:autoRedefine/>
    <w:qFormat/>
    <w:uiPriority w:val="0"/>
    <w:pPr>
      <w:adjustRightInd w:val="0"/>
      <w:snapToGrid w:val="0"/>
      <w:ind w:left="1134" w:firstLine="480"/>
      <w:jc w:val="left"/>
    </w:pPr>
    <w:rPr>
      <w:rFonts w:cs="宋体"/>
      <w:color w:val="000000"/>
      <w:szCs w:val="20"/>
    </w:rPr>
  </w:style>
  <w:style w:type="paragraph" w:customStyle="1" w:styleId="19">
    <w:name w:val="纯文本1"/>
    <w:basedOn w:val="1"/>
    <w:autoRedefine/>
    <w:qFormat/>
    <w:uiPriority w:val="0"/>
    <w:rPr>
      <w:rFonts w:ascii="宋体" w:hAnsi="Courier New"/>
    </w:rPr>
  </w:style>
  <w:style w:type="paragraph" w:customStyle="1" w:styleId="20">
    <w:name w:val="Plain Text1"/>
    <w:basedOn w:val="1"/>
    <w:autoRedefine/>
    <w:qFormat/>
    <w:uiPriority w:val="0"/>
    <w:rPr>
      <w:rFonts w:ascii="宋体" w:hAnsi="Courier New"/>
    </w:rPr>
  </w:style>
  <w:style w:type="paragraph" w:customStyle="1" w:styleId="21">
    <w:name w:val="Normal Indent1"/>
    <w:basedOn w:val="1"/>
    <w:autoRedefine/>
    <w:qFormat/>
    <w:uiPriority w:val="0"/>
    <w:pPr>
      <w:ind w:firstLine="420"/>
    </w:pPr>
  </w:style>
  <w:style w:type="paragraph" w:customStyle="1" w:styleId="22">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5</Pages>
  <Words>1835</Words>
  <Characters>2110</Characters>
  <Lines>17</Lines>
  <Paragraphs>4</Paragraphs>
  <TotalTime>25</TotalTime>
  <ScaleCrop>false</ScaleCrop>
  <LinksUpToDate>false</LinksUpToDate>
  <CharactersWithSpaces>2147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2020-08-05T22:42:00Z</dcterms:created>
  <dc:creator>马腾</dc:creator>
  <cp:lastModifiedBy>Administrator</cp:lastModifiedBy>
  <cp:lastPrinted>2025-04-16T02:56:00Z</cp:lastPrinted>
  <dcterms:modified xsi:type="dcterms:W3CDTF">2025-06-04T01:53:00Z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F2717023F39C420E98216C416EEC2B17</vt:lpwstr>
  </property>
  <property fmtid="{D5CDD505-2E9C-101B-9397-08002B2CF9AE}" pid="4" name="KSOTemplateDocerSaveRecord">
    <vt:lpwstr>eyJoZGlkIjoiZWI4YjcyM2E0ZTg3YjgyZjQyYTg2ZTRkMGM4ZDdhMWUifQ==</vt:lpwstr>
  </property>
</Properties>
</file>