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玉溪市教育科学研究所</w:t>
      </w:r>
    </w:p>
    <w:p>
      <w:pPr>
        <w:jc w:val="center"/>
        <w:rPr>
          <w:rFonts w:ascii="黑体" w:hAnsi="黑体" w:eastAsia="黑体"/>
          <w:sz w:val="36"/>
          <w:szCs w:val="36"/>
        </w:rPr>
      </w:pPr>
      <w:r>
        <w:rPr>
          <w:rFonts w:hint="eastAsia" w:ascii="黑体" w:hAnsi="黑体" w:eastAsia="黑体"/>
          <w:sz w:val="36"/>
          <w:szCs w:val="36"/>
        </w:rPr>
        <w:t>2020年度部门决算</w:t>
      </w:r>
    </w:p>
    <w:p>
      <w:pPr>
        <w:jc w:val="center"/>
        <w:rPr>
          <w:rFonts w:ascii="黑体" w:hAnsi="黑体" w:eastAsia="黑体"/>
          <w:sz w:val="36"/>
          <w:szCs w:val="36"/>
        </w:rPr>
      </w:pPr>
      <w:r>
        <w:rPr>
          <w:rFonts w:hint="eastAsia" w:ascii="黑体" w:hAnsi="黑体" w:eastAsia="黑体"/>
          <w:sz w:val="36"/>
          <w:szCs w:val="36"/>
        </w:rPr>
        <w:t>目录</w:t>
      </w:r>
    </w:p>
    <w:p>
      <w:pPr>
        <w:jc w:val="left"/>
        <w:rPr>
          <w:rFonts w:ascii="黑体" w:hAnsi="黑体" w:eastAsia="黑体"/>
          <w:sz w:val="30"/>
          <w:szCs w:val="30"/>
        </w:rPr>
      </w:pPr>
      <w:r>
        <w:rPr>
          <w:rFonts w:hint="eastAsia" w:ascii="黑体" w:hAnsi="黑体" w:eastAsia="黑体"/>
          <w:sz w:val="30"/>
          <w:szCs w:val="30"/>
        </w:rPr>
        <w:t>第一部分 单位概况</w:t>
      </w:r>
    </w:p>
    <w:p>
      <w:pPr>
        <w:spacing w:line="240" w:lineRule="atLeast"/>
        <w:jc w:val="left"/>
        <w:rPr>
          <w:rFonts w:ascii="楷体" w:hAnsi="楷体" w:eastAsia="楷体"/>
          <w:sz w:val="30"/>
          <w:szCs w:val="30"/>
        </w:rPr>
      </w:pPr>
      <w:r>
        <w:rPr>
          <w:rFonts w:hint="eastAsia" w:ascii="楷体" w:hAnsi="楷体" w:eastAsia="楷体"/>
          <w:sz w:val="30"/>
          <w:szCs w:val="30"/>
        </w:rPr>
        <w:t>一、主要职能</w:t>
      </w:r>
    </w:p>
    <w:p>
      <w:pPr>
        <w:spacing w:line="240" w:lineRule="atLeast"/>
        <w:jc w:val="left"/>
        <w:rPr>
          <w:rFonts w:ascii="楷体" w:hAnsi="楷体" w:eastAsia="楷体"/>
          <w:sz w:val="30"/>
          <w:szCs w:val="30"/>
        </w:rPr>
      </w:pPr>
      <w:r>
        <w:rPr>
          <w:rFonts w:hint="eastAsia" w:ascii="楷体" w:hAnsi="楷体" w:eastAsia="楷体"/>
          <w:sz w:val="30"/>
          <w:szCs w:val="30"/>
        </w:rPr>
        <w:t>二、部门基本情况</w:t>
      </w:r>
    </w:p>
    <w:p>
      <w:pPr>
        <w:jc w:val="left"/>
        <w:rPr>
          <w:rFonts w:ascii="黑体" w:hAnsi="黑体" w:eastAsia="黑体"/>
          <w:sz w:val="30"/>
          <w:szCs w:val="30"/>
        </w:rPr>
      </w:pPr>
      <w:r>
        <w:rPr>
          <w:rFonts w:hint="eastAsia" w:ascii="黑体" w:hAnsi="黑体" w:eastAsia="黑体"/>
          <w:sz w:val="30"/>
          <w:szCs w:val="30"/>
        </w:rPr>
        <w:t>第二部分  2020年度部门决算表</w:t>
      </w:r>
    </w:p>
    <w:p>
      <w:pPr>
        <w:jc w:val="left"/>
        <w:rPr>
          <w:rFonts w:ascii="楷体" w:hAnsi="楷体" w:eastAsia="楷体"/>
          <w:sz w:val="30"/>
          <w:szCs w:val="30"/>
        </w:rPr>
      </w:pPr>
      <w:r>
        <w:rPr>
          <w:rFonts w:hint="eastAsia" w:ascii="楷体" w:hAnsi="楷体" w:eastAsia="楷体"/>
          <w:sz w:val="30"/>
          <w:szCs w:val="30"/>
        </w:rPr>
        <w:t>一、收入支出决算总表</w:t>
      </w:r>
    </w:p>
    <w:p>
      <w:pPr>
        <w:jc w:val="left"/>
        <w:rPr>
          <w:rFonts w:ascii="楷体" w:hAnsi="楷体" w:eastAsia="楷体"/>
          <w:sz w:val="30"/>
          <w:szCs w:val="30"/>
        </w:rPr>
      </w:pPr>
      <w:r>
        <w:rPr>
          <w:rFonts w:hint="eastAsia" w:ascii="楷体" w:hAnsi="楷体" w:eastAsia="楷体"/>
          <w:sz w:val="30"/>
          <w:szCs w:val="30"/>
        </w:rPr>
        <w:t>二、收入决算表</w:t>
      </w:r>
    </w:p>
    <w:p>
      <w:pPr>
        <w:jc w:val="left"/>
        <w:rPr>
          <w:rFonts w:ascii="楷体" w:hAnsi="楷体" w:eastAsia="楷体"/>
          <w:sz w:val="30"/>
          <w:szCs w:val="30"/>
        </w:rPr>
      </w:pPr>
      <w:r>
        <w:rPr>
          <w:rFonts w:hint="eastAsia" w:ascii="楷体" w:hAnsi="楷体" w:eastAsia="楷体"/>
          <w:sz w:val="30"/>
          <w:szCs w:val="30"/>
        </w:rPr>
        <w:t>三、支出决算表</w:t>
      </w:r>
    </w:p>
    <w:p>
      <w:pPr>
        <w:jc w:val="left"/>
        <w:rPr>
          <w:rFonts w:ascii="楷体" w:hAnsi="楷体" w:eastAsia="楷体"/>
          <w:sz w:val="30"/>
          <w:szCs w:val="30"/>
        </w:rPr>
      </w:pPr>
      <w:r>
        <w:rPr>
          <w:rFonts w:hint="eastAsia" w:ascii="楷体" w:hAnsi="楷体" w:eastAsia="楷体"/>
          <w:sz w:val="30"/>
          <w:szCs w:val="30"/>
        </w:rPr>
        <w:t>四、财政拨款收入支出决算总表</w:t>
      </w:r>
    </w:p>
    <w:p>
      <w:pPr>
        <w:jc w:val="left"/>
        <w:rPr>
          <w:rFonts w:ascii="楷体" w:hAnsi="楷体" w:eastAsia="楷体"/>
          <w:sz w:val="30"/>
          <w:szCs w:val="30"/>
        </w:rPr>
      </w:pPr>
      <w:r>
        <w:rPr>
          <w:rFonts w:hint="eastAsia" w:ascii="楷体" w:hAnsi="楷体" w:eastAsia="楷体"/>
          <w:sz w:val="30"/>
          <w:szCs w:val="30"/>
        </w:rPr>
        <w:t>五、一般公共预算财政拨款收入支出决算表</w:t>
      </w:r>
    </w:p>
    <w:p>
      <w:pPr>
        <w:jc w:val="left"/>
        <w:rPr>
          <w:rFonts w:ascii="楷体" w:hAnsi="楷体" w:eastAsia="楷体"/>
          <w:sz w:val="30"/>
          <w:szCs w:val="30"/>
        </w:rPr>
      </w:pPr>
      <w:r>
        <w:rPr>
          <w:rFonts w:hint="eastAsia" w:ascii="楷体" w:hAnsi="楷体" w:eastAsia="楷体"/>
          <w:sz w:val="30"/>
          <w:szCs w:val="30"/>
        </w:rPr>
        <w:t>六、一般公共预算财政拨款基本支出决算表</w:t>
      </w:r>
    </w:p>
    <w:p>
      <w:pPr>
        <w:jc w:val="left"/>
        <w:rPr>
          <w:rFonts w:ascii="楷体" w:hAnsi="楷体" w:eastAsia="楷体"/>
          <w:sz w:val="30"/>
          <w:szCs w:val="30"/>
        </w:rPr>
      </w:pPr>
      <w:r>
        <w:rPr>
          <w:rFonts w:hint="eastAsia" w:ascii="楷体" w:hAnsi="楷体" w:eastAsia="楷体"/>
          <w:sz w:val="30"/>
          <w:szCs w:val="30"/>
        </w:rPr>
        <w:t>七、政府性基金预算财政拨款收入支出决算表</w:t>
      </w:r>
    </w:p>
    <w:p>
      <w:pPr>
        <w:jc w:val="left"/>
        <w:rPr>
          <w:rFonts w:ascii="楷体" w:hAnsi="楷体" w:eastAsia="楷体"/>
          <w:sz w:val="30"/>
          <w:szCs w:val="30"/>
        </w:rPr>
      </w:pPr>
      <w:r>
        <w:rPr>
          <w:rFonts w:hint="eastAsia" w:ascii="楷体" w:hAnsi="楷体" w:eastAsia="楷体"/>
          <w:sz w:val="30"/>
          <w:szCs w:val="30"/>
        </w:rPr>
        <w:t>八、项目支出绩效自评表</w:t>
      </w:r>
    </w:p>
    <w:p>
      <w:pPr>
        <w:jc w:val="left"/>
        <w:rPr>
          <w:rFonts w:ascii="楷体" w:hAnsi="楷体" w:eastAsia="楷体"/>
          <w:sz w:val="30"/>
          <w:szCs w:val="30"/>
        </w:rPr>
      </w:pPr>
      <w:r>
        <w:rPr>
          <w:rFonts w:hint="eastAsia" w:ascii="楷体" w:hAnsi="楷体" w:eastAsia="楷体"/>
          <w:sz w:val="30"/>
          <w:szCs w:val="30"/>
        </w:rPr>
        <w:t>九、“三公”经费、行政参公单位机关运行经费情况表</w:t>
      </w:r>
    </w:p>
    <w:p>
      <w:pPr>
        <w:jc w:val="left"/>
        <w:rPr>
          <w:rFonts w:ascii="黑体" w:hAnsi="黑体" w:eastAsia="黑体"/>
          <w:sz w:val="30"/>
          <w:szCs w:val="30"/>
        </w:rPr>
      </w:pPr>
      <w:r>
        <w:rPr>
          <w:rFonts w:hint="eastAsia" w:ascii="黑体" w:hAnsi="黑体" w:eastAsia="黑体"/>
          <w:sz w:val="30"/>
          <w:szCs w:val="30"/>
        </w:rPr>
        <w:t>第三部分  2020年度部门决算情况说明</w:t>
      </w:r>
    </w:p>
    <w:p>
      <w:pPr>
        <w:jc w:val="left"/>
        <w:rPr>
          <w:rFonts w:ascii="楷体" w:hAnsi="楷体" w:eastAsia="楷体"/>
          <w:sz w:val="30"/>
          <w:szCs w:val="30"/>
        </w:rPr>
      </w:pPr>
      <w:r>
        <w:rPr>
          <w:rFonts w:hint="eastAsia" w:ascii="楷体" w:hAnsi="楷体" w:eastAsia="楷体"/>
          <w:sz w:val="30"/>
          <w:szCs w:val="30"/>
        </w:rPr>
        <w:t>一、收入决算情况说明</w:t>
      </w:r>
    </w:p>
    <w:p>
      <w:pPr>
        <w:jc w:val="left"/>
        <w:rPr>
          <w:rFonts w:ascii="楷体" w:hAnsi="楷体" w:eastAsia="楷体"/>
          <w:sz w:val="30"/>
          <w:szCs w:val="30"/>
        </w:rPr>
      </w:pPr>
      <w:r>
        <w:rPr>
          <w:rFonts w:hint="eastAsia" w:ascii="楷体" w:hAnsi="楷体" w:eastAsia="楷体"/>
          <w:sz w:val="30"/>
          <w:szCs w:val="30"/>
        </w:rPr>
        <w:t>二、支出决算情况说明</w:t>
      </w:r>
    </w:p>
    <w:p>
      <w:pPr>
        <w:jc w:val="left"/>
        <w:rPr>
          <w:rFonts w:ascii="楷体" w:hAnsi="楷体" w:eastAsia="楷体"/>
          <w:sz w:val="30"/>
          <w:szCs w:val="30"/>
        </w:rPr>
      </w:pPr>
      <w:r>
        <w:rPr>
          <w:rFonts w:hint="eastAsia" w:ascii="楷体" w:hAnsi="楷体" w:eastAsia="楷体"/>
          <w:sz w:val="30"/>
          <w:szCs w:val="30"/>
        </w:rPr>
        <w:t>三、一般公共预算财政拨款支出决算情况说明</w:t>
      </w:r>
    </w:p>
    <w:p>
      <w:pPr>
        <w:widowControl/>
        <w:snapToGrid w:val="0"/>
        <w:spacing w:before="100" w:after="100" w:line="360" w:lineRule="auto"/>
        <w:jc w:val="left"/>
        <w:rPr>
          <w:rFonts w:ascii="楷体" w:hAnsi="楷体" w:eastAsia="楷体"/>
          <w:sz w:val="30"/>
          <w:szCs w:val="30"/>
        </w:rPr>
      </w:pPr>
      <w:r>
        <w:rPr>
          <w:rFonts w:hint="eastAsia" w:ascii="楷体" w:hAnsi="楷体" w:eastAsia="楷体"/>
          <w:sz w:val="30"/>
          <w:szCs w:val="30"/>
        </w:rPr>
        <w:t>四、一般公共预算财政拨款“三公”经费支出决算情况说明</w:t>
      </w:r>
    </w:p>
    <w:p>
      <w:pPr>
        <w:widowControl/>
        <w:snapToGrid w:val="0"/>
        <w:spacing w:before="100" w:after="100" w:line="360" w:lineRule="auto"/>
        <w:jc w:val="left"/>
        <w:rPr>
          <w:rFonts w:ascii="黑体" w:hAnsi="黑体" w:eastAsia="黑体"/>
          <w:sz w:val="30"/>
          <w:szCs w:val="30"/>
        </w:rPr>
      </w:pPr>
      <w:r>
        <w:rPr>
          <w:rFonts w:hint="eastAsia" w:ascii="黑体" w:hAnsi="黑体" w:eastAsia="黑体"/>
          <w:sz w:val="30"/>
          <w:szCs w:val="30"/>
        </w:rPr>
        <w:t>第四部分</w:t>
      </w:r>
      <w:r>
        <w:rPr>
          <w:rFonts w:hint="eastAsia" w:ascii="楷体" w:hAnsi="楷体" w:eastAsia="楷体"/>
          <w:sz w:val="30"/>
          <w:szCs w:val="30"/>
        </w:rPr>
        <w:t xml:space="preserve">  </w:t>
      </w:r>
      <w:r>
        <w:rPr>
          <w:rFonts w:hint="eastAsia" w:ascii="黑体" w:hAnsi="黑体" w:eastAsia="黑体"/>
          <w:sz w:val="30"/>
          <w:szCs w:val="30"/>
        </w:rPr>
        <w:t>其他重要事项及相关口径情况说明</w:t>
      </w:r>
    </w:p>
    <w:p>
      <w:pPr>
        <w:jc w:val="left"/>
        <w:rPr>
          <w:rFonts w:ascii="楷体" w:hAnsi="楷体" w:eastAsia="楷体"/>
          <w:sz w:val="30"/>
          <w:szCs w:val="30"/>
        </w:rPr>
      </w:pPr>
      <w:r>
        <w:rPr>
          <w:rFonts w:hint="eastAsia" w:ascii="楷体" w:hAnsi="楷体" w:eastAsia="楷体"/>
          <w:sz w:val="30"/>
          <w:szCs w:val="30"/>
        </w:rPr>
        <w:t>一、单位运行经费支出情况</w:t>
      </w:r>
    </w:p>
    <w:p>
      <w:pPr>
        <w:jc w:val="left"/>
        <w:rPr>
          <w:rFonts w:ascii="楷体" w:hAnsi="楷体" w:eastAsia="楷体"/>
          <w:sz w:val="30"/>
          <w:szCs w:val="30"/>
        </w:rPr>
      </w:pPr>
      <w:r>
        <w:rPr>
          <w:rFonts w:hint="eastAsia" w:ascii="楷体" w:hAnsi="楷体" w:eastAsia="楷体"/>
          <w:sz w:val="30"/>
          <w:szCs w:val="30"/>
        </w:rPr>
        <w:t>二、国有资产占用情况</w:t>
      </w:r>
    </w:p>
    <w:p>
      <w:pPr>
        <w:jc w:val="left"/>
        <w:rPr>
          <w:rFonts w:ascii="楷体" w:hAnsi="楷体" w:eastAsia="楷体"/>
          <w:sz w:val="30"/>
          <w:szCs w:val="30"/>
        </w:rPr>
      </w:pPr>
      <w:r>
        <w:rPr>
          <w:rFonts w:hint="eastAsia" w:ascii="楷体" w:hAnsi="楷体" w:eastAsia="楷体"/>
          <w:sz w:val="30"/>
          <w:szCs w:val="30"/>
        </w:rPr>
        <w:t>三、政府采购支出情况</w:t>
      </w:r>
    </w:p>
    <w:p>
      <w:pPr>
        <w:jc w:val="left"/>
        <w:rPr>
          <w:rFonts w:ascii="楷体" w:hAnsi="楷体" w:eastAsia="楷体"/>
          <w:sz w:val="30"/>
          <w:szCs w:val="30"/>
        </w:rPr>
      </w:pPr>
      <w:r>
        <w:rPr>
          <w:rFonts w:hint="eastAsia" w:ascii="楷体" w:hAnsi="楷体" w:eastAsia="楷体"/>
          <w:sz w:val="30"/>
          <w:szCs w:val="30"/>
        </w:rPr>
        <w:t>四、项目绩效自评情况</w:t>
      </w:r>
    </w:p>
    <w:p>
      <w:pPr>
        <w:jc w:val="left"/>
        <w:rPr>
          <w:rFonts w:ascii="楷体" w:hAnsi="楷体" w:eastAsia="楷体"/>
          <w:sz w:val="30"/>
          <w:szCs w:val="30"/>
        </w:rPr>
      </w:pPr>
      <w:r>
        <w:rPr>
          <w:rFonts w:hint="eastAsia" w:ascii="楷体" w:hAnsi="楷体" w:eastAsia="楷体"/>
          <w:sz w:val="30"/>
          <w:szCs w:val="30"/>
        </w:rPr>
        <w:t>（一）项目支出概况</w:t>
      </w:r>
    </w:p>
    <w:p>
      <w:pPr>
        <w:jc w:val="left"/>
        <w:rPr>
          <w:rFonts w:ascii="楷体" w:hAnsi="楷体" w:eastAsia="楷体"/>
          <w:sz w:val="30"/>
          <w:szCs w:val="30"/>
        </w:rPr>
      </w:pPr>
      <w:r>
        <w:rPr>
          <w:rFonts w:hint="eastAsia" w:ascii="楷体" w:hAnsi="楷体" w:eastAsia="楷体"/>
          <w:sz w:val="30"/>
          <w:szCs w:val="30"/>
        </w:rPr>
        <w:t>（二）项目支出绩效自评</w:t>
      </w:r>
    </w:p>
    <w:p>
      <w:pPr>
        <w:jc w:val="left"/>
        <w:rPr>
          <w:rFonts w:ascii="楷体" w:hAnsi="楷体" w:eastAsia="楷体"/>
          <w:sz w:val="30"/>
          <w:szCs w:val="30"/>
        </w:rPr>
      </w:pPr>
      <w:r>
        <w:rPr>
          <w:rFonts w:hint="eastAsia" w:ascii="楷体" w:hAnsi="楷体" w:eastAsia="楷体"/>
          <w:sz w:val="30"/>
          <w:szCs w:val="30"/>
        </w:rPr>
        <w:t>（三）项目绩效目标管理</w:t>
      </w:r>
    </w:p>
    <w:p>
      <w:pPr>
        <w:jc w:val="left"/>
        <w:rPr>
          <w:rFonts w:ascii="楷体" w:hAnsi="楷体" w:eastAsia="楷体"/>
          <w:sz w:val="30"/>
          <w:szCs w:val="30"/>
        </w:rPr>
      </w:pPr>
      <w:r>
        <w:rPr>
          <w:rFonts w:hint="eastAsia" w:ascii="楷体" w:hAnsi="楷体" w:eastAsia="楷体"/>
          <w:sz w:val="30"/>
          <w:szCs w:val="30"/>
        </w:rPr>
        <w:t>五、其他重要事项情况说明</w:t>
      </w:r>
    </w:p>
    <w:p>
      <w:pPr>
        <w:widowControl/>
        <w:snapToGrid w:val="0"/>
        <w:spacing w:before="100" w:after="100" w:line="360" w:lineRule="auto"/>
        <w:jc w:val="left"/>
        <w:rPr>
          <w:rFonts w:ascii="黑体" w:hAnsi="黑体" w:eastAsia="黑体"/>
          <w:sz w:val="30"/>
          <w:szCs w:val="30"/>
        </w:rPr>
      </w:pPr>
      <w:r>
        <w:rPr>
          <w:rFonts w:hint="eastAsia" w:ascii="黑体" w:hAnsi="黑体" w:eastAsia="黑体"/>
          <w:sz w:val="30"/>
          <w:szCs w:val="30"/>
        </w:rPr>
        <w:t>第五部分  名词解释</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第一部分  单位概况</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一、主要职能</w:t>
      </w:r>
    </w:p>
    <w:p>
      <w:pPr>
        <w:spacing w:line="600" w:lineRule="exact"/>
        <w:ind w:firstLine="600" w:firstLineChars="200"/>
        <w:rPr>
          <w:rFonts w:ascii="楷体" w:hAnsi="楷体" w:eastAsia="楷体"/>
          <w:sz w:val="30"/>
          <w:szCs w:val="30"/>
        </w:rPr>
      </w:pPr>
      <w:r>
        <w:rPr>
          <w:rFonts w:hint="eastAsia" w:ascii="楷体" w:hAnsi="楷体" w:eastAsia="楷体"/>
          <w:bCs/>
          <w:sz w:val="30"/>
          <w:szCs w:val="30"/>
        </w:rPr>
        <w:t>（一）主要职能</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从事基础教育、职业教育和成人教育的教学研究及教学业务管理工作；指导开展教育教学研究、教学改革和教育科研工作，进行教育教学评价；吸收、引进外地先进教改成果；总结、推广市内教育教学经验和教育科研成果；负责全市教育科研规划和教育科研课题的申报、立项、管理、评审；开展教育理论、教育政策法规和全市教育改革发展的研究，为教育行政部门提供教育宏观决策依据；为学校改革发展及教师能力提高提供业务指导及信息服务。同时，还行使玉溪市教育局授权的师资培训，中小学教材和教辅资料管理、社会语言文字规范、《玉溪教育》编辑、教育学会的日常事务工作及管理等职能。</w:t>
      </w:r>
    </w:p>
    <w:p>
      <w:pPr>
        <w:pStyle w:val="2"/>
        <w:adjustRightInd w:val="0"/>
        <w:snapToGrid w:val="0"/>
        <w:spacing w:before="93" w:line="600" w:lineRule="exact"/>
        <w:ind w:firstLine="630" w:firstLineChars="210"/>
        <w:rPr>
          <w:rFonts w:ascii="楷体" w:hAnsi="楷体" w:eastAsia="楷体"/>
          <w:bCs/>
          <w:szCs w:val="30"/>
        </w:rPr>
      </w:pPr>
      <w:r>
        <w:rPr>
          <w:rFonts w:hint="eastAsia" w:ascii="楷体" w:hAnsi="楷体" w:eastAsia="楷体"/>
          <w:bCs/>
          <w:szCs w:val="30"/>
        </w:rPr>
        <w:t>（二）2020年度重点工作任务介绍</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1.加强党风廉政建设，明确领导班子、党员、干部党风廉政建设岗位职责，切实履行好“一岗双责”工作要求。坚持领导干部述职述廉制度和重大事项报告制度，认真落实《中国共产党纪律处分条例》《中国共产党廉洁自律准则》等法律法规，结合实情开展“不忘初心</w:t>
      </w:r>
      <w:r>
        <w:rPr>
          <w:rFonts w:hint="eastAsia" w:ascii="仿宋_GB2312" w:eastAsia="仿宋_GB2312"/>
          <w:sz w:val="30"/>
          <w:szCs w:val="30"/>
          <w:lang w:eastAsia="zh-CN"/>
        </w:rPr>
        <w:t>、</w:t>
      </w:r>
      <w:r>
        <w:rPr>
          <w:rFonts w:hint="eastAsia" w:ascii="仿宋_GB2312" w:eastAsia="仿宋_GB2312"/>
          <w:sz w:val="30"/>
          <w:szCs w:val="30"/>
        </w:rPr>
        <w:t>牢记使命”主题教育。</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2.完善内部管理制度，推进工作作风建设。 坚持“三重一大”集体决策制，巩固市委巡察整改工作成果，积极响应省市扶贫攻坚号召，建立和完善教育科研工作保障机制，切实转变工作作风，抓好重点工作、重点项目的落实。组织召开支部党员民主生活会，积极开展批评与自我批评，贯彻落实《党内政治生活若干准则》和《</w:t>
      </w:r>
      <w:r>
        <w:rPr>
          <w:rFonts w:hint="eastAsia" w:ascii="仿宋_GB2312" w:eastAsia="仿宋_GB2312"/>
          <w:sz w:val="30"/>
          <w:szCs w:val="30"/>
          <w:lang w:eastAsia="zh-CN"/>
        </w:rPr>
        <w:t>中国共产党党内监督条例</w:t>
      </w:r>
      <w:r>
        <w:rPr>
          <w:rFonts w:hint="eastAsia" w:ascii="仿宋_GB2312" w:eastAsia="仿宋_GB2312"/>
          <w:sz w:val="30"/>
          <w:szCs w:val="30"/>
        </w:rPr>
        <w:t>》。开展谈心谈话活动，坚持“三个必谈”。</w:t>
      </w:r>
    </w:p>
    <w:p>
      <w:pPr>
        <w:widowControl/>
        <w:tabs>
          <w:tab w:val="left" w:pos="6300"/>
        </w:tabs>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3.加强政治理论学习，增强服务意识，紧密联系上下级教育、教研部门和学校，提高工作效能。开展“不忘初心</w:t>
      </w:r>
      <w:r>
        <w:rPr>
          <w:rFonts w:hint="eastAsia" w:ascii="仿宋_GB2312" w:eastAsia="仿宋_GB2312"/>
          <w:sz w:val="30"/>
          <w:szCs w:val="30"/>
          <w:lang w:eastAsia="zh-CN"/>
        </w:rPr>
        <w:t>、</w:t>
      </w:r>
      <w:r>
        <w:rPr>
          <w:rFonts w:hint="eastAsia" w:ascii="仿宋_GB2312" w:eastAsia="仿宋_GB2312"/>
          <w:sz w:val="30"/>
          <w:szCs w:val="30"/>
        </w:rPr>
        <w:t>牢记使命”主题教育，组织党员干部和职工集中、自主学习《习近平关于“不忘初心、牢记使命”重要论述选编》《中国共产党党内重要法规汇编》《习近平新时代中国特色社会主义思想学习纲要》等。</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4.深化新课程改革，提高教育教学质量。结合新课程改革要求，加强对小学、初中、高中新课程方案和标准的研究，深入基层学校进行教学调研指导，总结推广教研经验成果。围绕全市教育的提质增效，以学科教研、课题研究、备考指导、教学改革为重点，加强对市直、县区各学段学校的调研指导，研究探索教</w:t>
      </w:r>
      <w:bookmarkStart w:id="0" w:name="_GoBack"/>
      <w:bookmarkEnd w:id="0"/>
      <w:r>
        <w:rPr>
          <w:rFonts w:hint="eastAsia" w:ascii="仿宋_GB2312" w:eastAsia="仿宋_GB2312"/>
          <w:sz w:val="30"/>
          <w:szCs w:val="30"/>
        </w:rPr>
        <w:t>育教学中的重点、难点问题，提出解决问题的意见建议，提高课堂教学效率和效益。围绕质量提升主题，参与市政府、市人大等部门的教育调研督查、特色学校创建、普通高中质量提升研究，为教育行政部门提供决策依据。</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5.组织全市高中毕业生参加省市和昆玉一体化统一检测，做好质量分析、意见反馈工作；以市直普通高中为重点，加强对全市高中学校的教学常规调研指导。组织全市学科教师参加省市举办的高考研讨会。</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6.加强高考和初中学业水平考试研究。研究《高考考试大纲》、《高考考试说明》、《初中学业水平考试说明》，收集相关考试信息，认真进行高考、初中学业水平考试质量分析反馈，提高复习备考指导的精准性。</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7.加强普通高中教育教学研究指导力度，发挥“玉溪市普通高中质量提升研究指导中心”和各类名师、名校长工作室（坊）资源优势，深入研究高中新高考方案，探索应对新高考的课堂教学模式和策略。发挥玉溪市普通高中质量提升研究指导中心引领作用，以研促训、助力高考，促进普通高中学校内涵发展。</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8.开展玉溪市关于加强和改进中小学思政课建设的研讨，交流《深化中小学思想政治理论课改革创新实施意见》落实情况，推进中小学思政课建设。</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9.组织推进玉溪市初级中学教学质量监控评价工作，促进玉溪初级中学教学质量与管理监测综合评价体系建设。</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10.加强中等职业院校教育教学和“三校生”高考备考研究指导，积极组织师生参加国家、省、市各类教育教学技能大赛，总结推广学校特色经验。</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11.组织教师、学生参加国家、省举办的各类教学竞赛，举办“玉溪市中小学（幼儿园）教师教学技能竞赛”等竞赛活动，搭建学习交流平台，提高教师的教学技能和专业化发展水平。</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12.立足教学实际，开展课题研究。积极组织省、市规划课题的立项申报，规范省、市级教育课题的申报评审、立项研究、过程指导和结题验收、推荐评奖等管理。以中小学“春华杯”德育主题班会为抓手，探索德育工作新途径。</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13.组织推荐学校、教师、学生参加各级各类教学论文、课件设计、成果评选、作品展示等活动，多途径地为师生展示经验成果创造条件。</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14.配合做好“国培、省培”计划项目工作。按省厅下达的指标任务，遴选教师参加2020年“国培、省培”项目培训，提高教师专业水平和综合素质。整合名师、名校长工作室（坊）资源，多渠道进行师资队伍业务技能培训。以“请进来，走出去”的方式，开展玉溪市中小学（幼儿）校长、校级后备干部、教研员、学科骨干教师、山区教师等项目的业务培训。</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 xml:space="preserve">15.按照教育部、省教育厅的要求，结合教材出版单位对地州市的教师培训任务，开展中小学道德与法治、语文、历史三科统编教材的骨干和全员教师培训；开展全市新高考教师专业技能、新修订版教材教师培训，促进教师对新教材、新理念的掌握和领悟，保障教育教学质量稳中有升。 </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16.健全名师工作室管理制度，规范经费收支管理。发挥名师工作室的引领辐射作用，推动学科教研、课题研究、备考指导、教师培训、教学改革等工作，认真做好27个市级名师工作室的年度考核评价。</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17.依托互联网，构建新型教研方式。构建互联网平台下市县区教研员、普通高中教研指导中心和名师工作室为核心的市、县区、学校纵向互动的三级教研网络，区域内外、学校之间、师生之间横向联动的点面教研网络，进一步推动教研经验成果交流。</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18.配合国家、省教育部门和省教育学会，组织推荐教师参加各类教学竞赛、研讨会、成果评选活动。积极配合省教育厅、省教科院做好数据库和教学资源库的建设工作。</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19.配合省、市相关部门和学校做好教育对外交流与合作项目及涉外具体事务办理工作，按各级主管部门的要求及时统计上报数据和材料。</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20.按省语委工作部署，落实推进语言文字工作。贯彻落实《国家中长期语言文字事业改革和发展规划纲要（2012-2020年）》，加强对语言文字规范化达标、普及普通话示范村创建工作的指导验收，组织实施“推普周”宣传、中华经典系列活动，玉溪市建成11个普通话测试点，完成普通话培训测2957人和推普攻坚相关的普通话县域调查、语言扶贫APP以及“直过民族”和人口较少民族推广普通话及素质提升等相关项目工作。围绕中华经典诵读系列活动，营造书香校园氛围。举办全市师生征文评比、演讲、朗诵等竞赛活动，引领广大师生品读经典美文，与经典为友、与名著为伴，激励师生的工作学习热情。参与市教育体育系统创建“最佳楹联城市”“中华诗词之市” 相关工作，推进学校创建“楹联教育基地”和“诗教先进单位”工作。</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21.规范教材、教辅材料征订管理。严格执行国家、省中小学教科书和教辅资料管理规定，按照云南省相关管理办法和指导意见，加强对中小学教科书和教辅材料的选用征订、发放验收管理与检查工作。</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22.完成《玉溪教育》2期的编辑出版，宣传教育教改经验，报道教育教研重大活动，发挥杂志的教育宣传阵地作用。</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23.围绕市教育体育局的中心工作，积极配合完成上级部门交办的重大、紧急、临时性的项目工作任务。</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二、单位基本情况</w:t>
      </w:r>
    </w:p>
    <w:p>
      <w:pPr>
        <w:spacing w:line="600" w:lineRule="exact"/>
        <w:ind w:firstLine="600" w:firstLineChars="200"/>
        <w:rPr>
          <w:rFonts w:ascii="楷体" w:hAnsi="楷体" w:eastAsia="楷体"/>
          <w:sz w:val="30"/>
          <w:szCs w:val="30"/>
        </w:rPr>
      </w:pPr>
      <w:r>
        <w:rPr>
          <w:rFonts w:hint="eastAsia" w:ascii="楷体" w:hAnsi="楷体" w:eastAsia="楷体"/>
          <w:sz w:val="30"/>
          <w:szCs w:val="30"/>
        </w:rPr>
        <w:t>（一）决算单位构成</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纳入2020年度部门决算编报的单位共1个。其中：事业单位1个。即 玉溪市教育科学研究所。</w:t>
      </w:r>
    </w:p>
    <w:p>
      <w:pPr>
        <w:ind w:firstLine="600" w:firstLineChars="200"/>
        <w:rPr>
          <w:rFonts w:ascii="楷体" w:hAnsi="楷体" w:eastAsia="楷体"/>
          <w:sz w:val="30"/>
          <w:szCs w:val="30"/>
        </w:rPr>
      </w:pPr>
      <w:r>
        <w:rPr>
          <w:rFonts w:hint="eastAsia" w:ascii="楷体" w:hAnsi="楷体" w:eastAsia="楷体"/>
          <w:sz w:val="30"/>
          <w:szCs w:val="30"/>
        </w:rPr>
        <w:t xml:space="preserve">（二）单位人员和车辆的编制及实有情况 </w:t>
      </w:r>
    </w:p>
    <w:p>
      <w:pPr>
        <w:spacing w:line="600" w:lineRule="exact"/>
        <w:ind w:firstLine="600" w:firstLineChars="200"/>
        <w:rPr>
          <w:rFonts w:ascii="仿宋_GB2312" w:hAnsi="宋体" w:eastAsia="仿宋_GB2312" w:cs="Arial"/>
          <w:kern w:val="0"/>
          <w:sz w:val="30"/>
          <w:szCs w:val="30"/>
        </w:rPr>
      </w:pPr>
      <w:r>
        <w:rPr>
          <w:rFonts w:hint="eastAsia" w:ascii="仿宋_GB2312" w:eastAsia="仿宋_GB2312"/>
          <w:sz w:val="30"/>
          <w:szCs w:val="30"/>
        </w:rPr>
        <w:t>我单位2020年末核定事业编制为30</w:t>
      </w:r>
      <w:r>
        <w:rPr>
          <w:rFonts w:hint="eastAsia" w:ascii="仿宋_GB2312" w:hAnsi="宋体" w:eastAsia="仿宋_GB2312" w:cs="Arial"/>
          <w:kern w:val="0"/>
          <w:sz w:val="30"/>
          <w:szCs w:val="30"/>
        </w:rPr>
        <w:t>人，实有在职事业编制人员</w:t>
      </w:r>
      <w:r>
        <w:rPr>
          <w:rFonts w:hint="eastAsia" w:ascii="仿宋_GB2312" w:eastAsia="仿宋_GB2312"/>
          <w:sz w:val="30"/>
          <w:szCs w:val="30"/>
        </w:rPr>
        <w:t>26</w:t>
      </w:r>
      <w:r>
        <w:rPr>
          <w:rFonts w:hint="eastAsia" w:ascii="仿宋_GB2312" w:hAnsi="宋体" w:eastAsia="仿宋_GB2312" w:cs="Arial"/>
          <w:kern w:val="0"/>
          <w:sz w:val="30"/>
          <w:szCs w:val="30"/>
        </w:rPr>
        <w:t>人、退休人员28人、无离休人员。</w:t>
      </w:r>
    </w:p>
    <w:p>
      <w:pPr>
        <w:spacing w:line="60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核定车辆编制</w:t>
      </w:r>
      <w:r>
        <w:rPr>
          <w:rFonts w:hint="eastAsia" w:ascii="仿宋_GB2312" w:eastAsia="仿宋_GB2312"/>
          <w:sz w:val="30"/>
          <w:szCs w:val="30"/>
        </w:rPr>
        <w:t>1</w:t>
      </w:r>
      <w:r>
        <w:rPr>
          <w:rFonts w:hint="eastAsia" w:ascii="仿宋_GB2312" w:hAnsi="宋体" w:eastAsia="仿宋_GB2312" w:cs="Arial"/>
          <w:kern w:val="0"/>
          <w:sz w:val="30"/>
          <w:szCs w:val="30"/>
        </w:rPr>
        <w:t>辆，在编实有车辆1辆。</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第二部分  2020年度部门决算表</w:t>
      </w:r>
    </w:p>
    <w:p>
      <w:pPr>
        <w:spacing w:line="600" w:lineRule="exact"/>
        <w:ind w:firstLine="600" w:firstLineChars="200"/>
        <w:jc w:val="center"/>
        <w:rPr>
          <w:rFonts w:ascii="仿宋_GB2312" w:eastAsia="仿宋_GB2312"/>
          <w:sz w:val="30"/>
          <w:szCs w:val="30"/>
        </w:rPr>
      </w:pPr>
      <w:r>
        <w:rPr>
          <w:rFonts w:hint="eastAsia" w:ascii="仿宋_GB2312" w:eastAsia="仿宋_GB2312"/>
          <w:sz w:val="30"/>
          <w:szCs w:val="30"/>
        </w:rPr>
        <w:t>（详见附件）</w:t>
      </w:r>
    </w:p>
    <w:p>
      <w:pPr>
        <w:spacing w:line="600" w:lineRule="exact"/>
        <w:ind w:firstLine="600" w:firstLineChars="200"/>
        <w:jc w:val="center"/>
        <w:rPr>
          <w:rFonts w:ascii="仿宋_GB2312" w:eastAsia="仿宋_GB2312"/>
          <w:sz w:val="30"/>
          <w:szCs w:val="30"/>
        </w:rPr>
      </w:pPr>
    </w:p>
    <w:p>
      <w:pPr>
        <w:spacing w:line="600" w:lineRule="exact"/>
        <w:ind w:firstLine="600" w:firstLineChars="200"/>
        <w:jc w:val="center"/>
        <w:rPr>
          <w:rFonts w:ascii="仿宋_GB2312" w:eastAsia="仿宋_GB2312"/>
          <w:sz w:val="30"/>
          <w:szCs w:val="30"/>
        </w:rPr>
      </w:pPr>
    </w:p>
    <w:p>
      <w:pPr>
        <w:jc w:val="center"/>
        <w:rPr>
          <w:rFonts w:ascii="黑体" w:hAnsi="黑体" w:eastAsia="黑体"/>
          <w:sz w:val="32"/>
          <w:szCs w:val="32"/>
        </w:rPr>
      </w:pPr>
      <w:r>
        <w:rPr>
          <w:rFonts w:hint="eastAsia" w:ascii="黑体" w:hAnsi="黑体" w:eastAsia="黑体"/>
          <w:sz w:val="32"/>
          <w:szCs w:val="32"/>
        </w:rPr>
        <w:t>第三部分  2020年度部门决算情况说明</w:t>
      </w:r>
    </w:p>
    <w:p>
      <w:pPr>
        <w:ind w:firstLine="600" w:firstLineChars="200"/>
        <w:jc w:val="left"/>
        <w:rPr>
          <w:rFonts w:ascii="黑体" w:hAnsi="黑体" w:eastAsia="黑体"/>
          <w:sz w:val="30"/>
          <w:szCs w:val="30"/>
        </w:rPr>
      </w:pPr>
      <w:r>
        <w:rPr>
          <w:rFonts w:hint="eastAsia" w:ascii="黑体" w:hAnsi="黑体" w:eastAsia="黑体"/>
          <w:sz w:val="30"/>
          <w:szCs w:val="30"/>
        </w:rPr>
        <w:t>一、收入决算情况说明</w:t>
      </w:r>
    </w:p>
    <w:p>
      <w:pPr>
        <w:widowControl/>
        <w:snapToGrid w:val="0"/>
        <w:spacing w:before="100" w:after="100" w:line="600" w:lineRule="exact"/>
        <w:ind w:firstLine="538"/>
        <w:jc w:val="left"/>
        <w:rPr>
          <w:rFonts w:ascii="仿宋_GB2312" w:eastAsia="仿宋_GB2312"/>
          <w:sz w:val="30"/>
          <w:szCs w:val="30"/>
        </w:rPr>
      </w:pPr>
      <w:r>
        <w:rPr>
          <w:rFonts w:hint="eastAsia" w:ascii="仿宋_GB2312" w:eastAsia="仿宋_GB2312"/>
          <w:sz w:val="30"/>
          <w:szCs w:val="30"/>
        </w:rPr>
        <w:t>我单位2020年收入767.88万元，全部收入都是财政拨款收入，无其他收入。</w:t>
      </w:r>
    </w:p>
    <w:p>
      <w:pPr>
        <w:ind w:firstLine="600" w:firstLineChars="200"/>
        <w:jc w:val="left"/>
        <w:rPr>
          <w:rFonts w:ascii="黑体" w:hAnsi="黑体" w:eastAsia="黑体"/>
          <w:sz w:val="30"/>
          <w:szCs w:val="30"/>
        </w:rPr>
      </w:pPr>
      <w:r>
        <w:rPr>
          <w:rFonts w:hint="eastAsia" w:ascii="黑体" w:hAnsi="黑体" w:eastAsia="黑体"/>
          <w:sz w:val="30"/>
          <w:szCs w:val="30"/>
        </w:rPr>
        <w:t>二、支出决算情况说明</w:t>
      </w:r>
    </w:p>
    <w:p>
      <w:pPr>
        <w:widowControl/>
        <w:snapToGrid w:val="0"/>
        <w:spacing w:before="100" w:after="100" w:line="600" w:lineRule="exact"/>
        <w:ind w:firstLine="538"/>
        <w:jc w:val="left"/>
        <w:rPr>
          <w:rFonts w:ascii="仿宋_GB2312" w:eastAsia="仿宋_GB2312"/>
          <w:sz w:val="30"/>
          <w:szCs w:val="30"/>
        </w:rPr>
      </w:pPr>
      <w:r>
        <w:rPr>
          <w:rFonts w:hint="eastAsia" w:ascii="仿宋_GB2312" w:eastAsia="仿宋_GB2312"/>
          <w:sz w:val="30"/>
          <w:szCs w:val="30"/>
        </w:rPr>
        <w:t>全年实际支出767.88万元，全部支出都是财政拨款支出767.88万元，无其他支出。其中基本支出707.61万元，占总支出92%；项目支出60.27万元，占总支出8%。</w:t>
      </w:r>
    </w:p>
    <w:p>
      <w:pPr>
        <w:widowControl/>
        <w:snapToGrid w:val="0"/>
        <w:spacing w:before="100" w:after="100" w:line="600" w:lineRule="exact"/>
        <w:ind w:firstLine="538"/>
        <w:jc w:val="left"/>
        <w:rPr>
          <w:rFonts w:ascii="仿宋_GB2312" w:eastAsia="仿宋_GB2312"/>
          <w:sz w:val="30"/>
          <w:szCs w:val="30"/>
        </w:rPr>
      </w:pPr>
      <w:r>
        <w:rPr>
          <w:rFonts w:hint="eastAsia" w:ascii="仿宋_GB2312" w:eastAsia="仿宋_GB2312"/>
          <w:sz w:val="30"/>
          <w:szCs w:val="30"/>
        </w:rPr>
        <w:t>与上年对比：2019年支出970.26万元，2020年支出767.88万元，减少支出202.38万元，减少20.85%，主要原因是项目减少，项目经费支出相应减少。</w:t>
      </w:r>
    </w:p>
    <w:p>
      <w:pPr>
        <w:widowControl/>
        <w:snapToGrid w:val="0"/>
        <w:spacing w:before="100" w:after="100" w:line="600" w:lineRule="exact"/>
        <w:ind w:firstLine="600" w:firstLineChars="200"/>
        <w:jc w:val="left"/>
        <w:rPr>
          <w:rFonts w:ascii="楷体" w:hAnsi="楷体" w:eastAsia="楷体"/>
          <w:sz w:val="30"/>
          <w:szCs w:val="30"/>
        </w:rPr>
      </w:pPr>
      <w:r>
        <w:rPr>
          <w:rFonts w:hint="eastAsia" w:ascii="楷体" w:hAnsi="楷体" w:eastAsia="楷体"/>
          <w:sz w:val="30"/>
          <w:szCs w:val="30"/>
        </w:rPr>
        <w:t>（一）基本支出情况</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2020年度用于保障单位正常运转的日常支出707.60万元（人员经费支出623.25万元，公用经费84.36万元）。与上年对比基本支出略有减少,主要原因是业务经费减少。基本工资、津贴补贴等人员经费支出623.25万元，占基本支出的88.08％；办公费、印刷费、水电费、办公设备购置等日常公用经费支出84.36万元，占基本支出的11.92％。</w:t>
      </w:r>
    </w:p>
    <w:p>
      <w:pPr>
        <w:widowControl/>
        <w:snapToGrid w:val="0"/>
        <w:spacing w:before="100" w:after="100" w:line="600" w:lineRule="exact"/>
        <w:ind w:firstLine="600" w:firstLineChars="200"/>
        <w:jc w:val="left"/>
        <w:rPr>
          <w:rFonts w:ascii="楷体" w:hAnsi="楷体" w:eastAsia="楷体"/>
          <w:sz w:val="30"/>
          <w:szCs w:val="30"/>
        </w:rPr>
      </w:pPr>
      <w:r>
        <w:rPr>
          <w:rFonts w:hint="eastAsia" w:ascii="楷体" w:hAnsi="楷体" w:eastAsia="楷体"/>
          <w:sz w:val="30"/>
          <w:szCs w:val="30"/>
        </w:rPr>
        <w:t>（二）项目支出情况</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2020年度用于保障单位为完成特定的事业发展目标，用于专项业务工作的经费支出60.27万元。与上年对比项目减少,主要原因项目减少后资金量也减少。2020年具体项目开支及开展工作情况：2020年共有2个项目，支出金额为60.27万元：1、高中质量提升研究指导中心专项50万元。收入50万元，支出50万元：高考培训、研讨（专家讲课费、疫情防控期间线上培训讲课费）11.2万元，统测试题命制和质量分析8.7万元，根据市级规定和玉溪市机关培训管理办法组织教师培训30.10万元。指导中心为提升玉溪市高考成绩做了大量的工作，收集了解高考信息及高校招生信息。组织玉溪市高三统测命题、质量分析，高考研讨会，高考试卷分析，开展教师集中培训，组织中心老师到学校调研和视导。通过专题讲座和示范课等形式，真正发挥指导中心的示范辐射和引领作用，有效提升玉溪市高中教师队伍整体教育教学水平。2、学业水平考试阅卷经费余款102776.53元。收入102776.53元，支出102776.53元，全部用于玉溪市学业水平考试阅卷设备采购（6台扫描仪和1台服务器），采购金额29.9万元，根据2020年7月20日市教育体育局党组会议研究决定：市教科所支付102776.53元，市招办和教育体育局支付196223.47元。阅卷设备固定资产由市教科所管理使用并入固定资产账，市教育体育局不做固定资产入账核算。新设备的运用，极大的提高了阅卷速度，按期完成了上级部门要求的阅卷任务。</w:t>
      </w:r>
    </w:p>
    <w:p>
      <w:pPr>
        <w:widowControl/>
        <w:snapToGrid w:val="0"/>
        <w:spacing w:before="100" w:after="100" w:line="600" w:lineRule="exact"/>
        <w:ind w:firstLine="600" w:firstLineChars="200"/>
        <w:jc w:val="left"/>
        <w:rPr>
          <w:rFonts w:ascii="黑体" w:hAnsi="黑体" w:eastAsia="黑体"/>
          <w:sz w:val="30"/>
          <w:szCs w:val="30"/>
        </w:rPr>
      </w:pPr>
      <w:r>
        <w:rPr>
          <w:rFonts w:hint="eastAsia" w:ascii="黑体" w:hAnsi="黑体" w:eastAsia="黑体"/>
          <w:sz w:val="30"/>
          <w:szCs w:val="30"/>
        </w:rPr>
        <w:t>三、一般公共预算财政拨款支出决算情况说明</w:t>
      </w:r>
    </w:p>
    <w:p>
      <w:pPr>
        <w:widowControl/>
        <w:snapToGrid w:val="0"/>
        <w:spacing w:before="100" w:after="100" w:line="600" w:lineRule="exact"/>
        <w:ind w:firstLine="600" w:firstLineChars="200"/>
        <w:jc w:val="left"/>
        <w:rPr>
          <w:rFonts w:ascii="楷体" w:hAnsi="楷体" w:eastAsia="楷体"/>
          <w:sz w:val="30"/>
          <w:szCs w:val="30"/>
        </w:rPr>
      </w:pPr>
      <w:r>
        <w:rPr>
          <w:rFonts w:hint="eastAsia" w:ascii="楷体" w:hAnsi="楷体" w:eastAsia="楷体"/>
          <w:sz w:val="30"/>
          <w:szCs w:val="30"/>
        </w:rPr>
        <w:t>（一）一般公共预算财政拨款支出决算总体情况</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2020年度一般公共预算财政拨款支出767.88万元,占本年支出合计的100%。与上年对比：2019年支出884.52万元,2020年支出767.88万元，减少支出116.64万元，主要原因项目从6个减少到2个，项目资金也同时减少。</w:t>
      </w:r>
    </w:p>
    <w:p>
      <w:pPr>
        <w:widowControl/>
        <w:snapToGrid w:val="0"/>
        <w:spacing w:before="100" w:after="100" w:line="600" w:lineRule="exact"/>
        <w:ind w:firstLine="600" w:firstLineChars="200"/>
        <w:jc w:val="left"/>
        <w:rPr>
          <w:rFonts w:ascii="楷体" w:hAnsi="楷体" w:eastAsia="楷体"/>
          <w:sz w:val="30"/>
          <w:szCs w:val="30"/>
        </w:rPr>
      </w:pPr>
      <w:r>
        <w:rPr>
          <w:rFonts w:hint="eastAsia" w:ascii="楷体" w:hAnsi="楷体" w:eastAsia="楷体"/>
          <w:sz w:val="30"/>
          <w:szCs w:val="30"/>
        </w:rPr>
        <w:t>（二）一般公共预算财政拨款支出决算具体情况</w:t>
      </w:r>
      <w:r>
        <w:rPr>
          <w:rFonts w:hint="eastAsia" w:ascii="楷体" w:hAnsi="楷体" w:eastAsia="楷体"/>
          <w:sz w:val="30"/>
          <w:szCs w:val="30"/>
        </w:rPr>
        <w:tab/>
      </w:r>
      <w:r>
        <w:rPr>
          <w:rFonts w:hint="eastAsia" w:ascii="楷体" w:hAnsi="楷体" w:eastAsia="楷体"/>
          <w:sz w:val="30"/>
          <w:szCs w:val="30"/>
        </w:rPr>
        <w:tab/>
      </w:r>
      <w:r>
        <w:rPr>
          <w:rFonts w:hint="eastAsia" w:ascii="楷体" w:hAnsi="楷体" w:eastAsia="楷体"/>
          <w:sz w:val="30"/>
          <w:szCs w:val="30"/>
        </w:rPr>
        <w:tab/>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1.一般公共服务（类）支出767.88万元，占一般公共预算财政拨款总支出的100%。主要用于人员经费支出623.25万元，公用经费84.36万元，2个项目支出60.27万元；</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2.外交（类）支出0万元；</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3.国防（类）支出0万元；</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4.公共安全（类）支出</w:t>
      </w:r>
      <w:r>
        <w:rPr>
          <w:rFonts w:hint="eastAsia" w:ascii="仿宋_GB2312" w:eastAsia="仿宋_GB2312"/>
          <w:sz w:val="30"/>
          <w:szCs w:val="30"/>
        </w:rPr>
        <w:t>0</w:t>
      </w:r>
      <w:r>
        <w:rPr>
          <w:rFonts w:hint="eastAsia" w:ascii="仿宋_GB2312" w:hAnsi="宋体" w:eastAsia="仿宋_GB2312" w:cs="Arial"/>
          <w:kern w:val="0"/>
          <w:sz w:val="30"/>
          <w:szCs w:val="30"/>
        </w:rPr>
        <w:t>万元；</w:t>
      </w:r>
    </w:p>
    <w:p>
      <w:pPr>
        <w:widowControl/>
        <w:snapToGrid w:val="0"/>
        <w:spacing w:before="100" w:after="100" w:line="360" w:lineRule="auto"/>
        <w:ind w:firstLine="600" w:firstLineChars="200"/>
        <w:jc w:val="left"/>
        <w:rPr>
          <w:rFonts w:ascii="黑体" w:hAnsi="黑体" w:eastAsia="黑体"/>
          <w:sz w:val="30"/>
          <w:szCs w:val="30"/>
        </w:rPr>
      </w:pPr>
      <w:r>
        <w:rPr>
          <w:rFonts w:hint="eastAsia" w:ascii="黑体" w:hAnsi="黑体" w:eastAsia="黑体"/>
          <w:sz w:val="30"/>
          <w:szCs w:val="30"/>
        </w:rPr>
        <w:t>四、一般公共预算财政拨款“三公”经费支出决算情况说明</w:t>
      </w:r>
    </w:p>
    <w:p>
      <w:pPr>
        <w:widowControl/>
        <w:snapToGrid w:val="0"/>
        <w:spacing w:before="100" w:after="100" w:line="360" w:lineRule="auto"/>
        <w:ind w:firstLine="600" w:firstLineChars="200"/>
        <w:jc w:val="left"/>
        <w:rPr>
          <w:rFonts w:ascii="楷体" w:hAnsi="楷体" w:eastAsia="楷体"/>
          <w:sz w:val="30"/>
          <w:szCs w:val="30"/>
        </w:rPr>
      </w:pPr>
      <w:r>
        <w:rPr>
          <w:rFonts w:hint="eastAsia" w:ascii="楷体" w:hAnsi="楷体" w:eastAsia="楷体"/>
          <w:sz w:val="30"/>
          <w:szCs w:val="30"/>
        </w:rPr>
        <w:t>(一)</w:t>
      </w:r>
      <w:r>
        <w:rPr>
          <w:rFonts w:hint="eastAsia" w:ascii="黑体" w:hAnsi="黑体" w:eastAsia="黑体"/>
          <w:sz w:val="30"/>
          <w:szCs w:val="30"/>
        </w:rPr>
        <w:t xml:space="preserve"> </w:t>
      </w:r>
      <w:r>
        <w:rPr>
          <w:rFonts w:hint="eastAsia" w:ascii="楷体" w:hAnsi="楷体" w:eastAsia="楷体"/>
          <w:sz w:val="30"/>
          <w:szCs w:val="30"/>
        </w:rPr>
        <w:t>一般公共预算财政拨款“三公”经费支出决算总体情况</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我单位2020年度一般公共预算财政拨款“三公”经费支出预算为33104元，支出决算为13104元，完成预算的39.58%。其中：因公出国（境）费支出决算为0万元，完成预算的0%；公务用车购置及运行费支出决算为13104元，完成预算的100%；公务接待费支出决算为0万元，完成预算的0%。2020年度一般公共预算财政拨款“三公”经费支出决算数小于预算数的主要原因严格执行中央八项规定，严格控制三公经费支出，2020年仅有公务用车运行费，无公务接待、无公款出国费用。</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2020年度一般公共预算财政拨款“三公”经费支出决算数比2019年减少14605.26元，下降52.70%。其中：公务用车购置及运行费支出决算减少14605.26元，下降52.70%；2020年无公务接待费支出。2020年度一般公共预算财政拨款“三公”经费支出决算减少的主要原因严格控制三公经费支出，2020年仅有公务用车运行费，无公务接待、无公款出国费用。</w:t>
      </w:r>
    </w:p>
    <w:p>
      <w:pPr>
        <w:widowControl/>
        <w:snapToGrid w:val="0"/>
        <w:spacing w:before="100" w:after="100" w:line="360" w:lineRule="auto"/>
        <w:ind w:firstLine="600" w:firstLineChars="200"/>
        <w:jc w:val="left"/>
        <w:rPr>
          <w:rFonts w:ascii="楷体" w:hAnsi="楷体" w:eastAsia="楷体"/>
          <w:sz w:val="30"/>
          <w:szCs w:val="30"/>
        </w:rPr>
      </w:pPr>
      <w:r>
        <w:rPr>
          <w:rFonts w:hint="eastAsia" w:ascii="楷体" w:hAnsi="楷体" w:eastAsia="楷体"/>
          <w:sz w:val="30"/>
          <w:szCs w:val="30"/>
        </w:rPr>
        <w:t>(二)</w:t>
      </w:r>
      <w:r>
        <w:rPr>
          <w:rFonts w:hint="eastAsia" w:ascii="仿宋_GB2312" w:eastAsia="仿宋_GB2312"/>
          <w:sz w:val="30"/>
          <w:szCs w:val="30"/>
        </w:rPr>
        <w:t xml:space="preserve"> </w:t>
      </w:r>
      <w:r>
        <w:rPr>
          <w:rFonts w:hint="eastAsia" w:ascii="楷体" w:hAnsi="楷体" w:eastAsia="楷体"/>
          <w:sz w:val="30"/>
          <w:szCs w:val="30"/>
        </w:rPr>
        <w:t>一般公共预算财政拨款“三公”经费支出决算具体情况</w:t>
      </w:r>
    </w:p>
    <w:p>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eastAsia="仿宋_GB2312"/>
          <w:sz w:val="30"/>
          <w:szCs w:val="30"/>
        </w:rPr>
        <w:t>2020年度一般公共预算财政拨款“三公”经费支出决算中，因公出国（境）费支出0万元，占0%；公务用车购置及运行维护费支出13104元，占100%；公务接待费支出0万元，占0%。具体情况如下：</w:t>
      </w:r>
    </w:p>
    <w:p>
      <w:pPr>
        <w:widowControl/>
        <w:numPr>
          <w:ilvl w:val="0"/>
          <w:numId w:val="1"/>
        </w:numPr>
        <w:snapToGrid w:val="0"/>
        <w:spacing w:before="100" w:after="100" w:line="360" w:lineRule="auto"/>
        <w:ind w:firstLine="600" w:firstLineChars="200"/>
        <w:jc w:val="left"/>
        <w:rPr>
          <w:rFonts w:ascii="仿宋_GB2312" w:eastAsia="仿宋_GB2312"/>
          <w:sz w:val="30"/>
          <w:szCs w:val="30"/>
        </w:rPr>
      </w:pPr>
      <w:r>
        <w:rPr>
          <w:rFonts w:hint="eastAsia" w:ascii="仿宋_GB2312" w:eastAsia="仿宋_GB2312"/>
          <w:sz w:val="30"/>
          <w:szCs w:val="30"/>
        </w:rPr>
        <w:t>因公出国（境）费支出0万元，共安排因公出国（境）团组0个，累计0人次。</w:t>
      </w:r>
    </w:p>
    <w:p>
      <w:pPr>
        <w:widowControl/>
        <w:numPr>
          <w:ilvl w:val="0"/>
          <w:numId w:val="1"/>
        </w:numPr>
        <w:snapToGrid w:val="0"/>
        <w:spacing w:before="100" w:after="100" w:line="360" w:lineRule="auto"/>
        <w:ind w:firstLine="600" w:firstLineChars="200"/>
        <w:jc w:val="left"/>
        <w:rPr>
          <w:rFonts w:ascii="仿宋_GB2312" w:eastAsia="仿宋_GB2312"/>
          <w:sz w:val="30"/>
          <w:szCs w:val="30"/>
        </w:rPr>
      </w:pPr>
      <w:r>
        <w:rPr>
          <w:rFonts w:hint="eastAsia" w:ascii="仿宋_GB2312" w:eastAsia="仿宋_GB2312"/>
          <w:sz w:val="30"/>
          <w:szCs w:val="30"/>
        </w:rPr>
        <w:t>公务用车购置及运行维护费支出13104元。其中：</w:t>
      </w:r>
    </w:p>
    <w:p>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eastAsia="仿宋_GB2312"/>
          <w:sz w:val="30"/>
          <w:szCs w:val="30"/>
        </w:rPr>
        <w:t>公务用车购置支出0万元，无购置车辆。</w:t>
      </w:r>
    </w:p>
    <w:p>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eastAsia="仿宋_GB2312"/>
          <w:sz w:val="30"/>
          <w:szCs w:val="30"/>
        </w:rPr>
        <w:t>公务用车运行维护支出13104元，开支一般公共预算财政拨款的公务用车保有量为1辆。主要用于我单位公车的所需车辆燃料费、维修费、过路过桥费、保险费等。</w:t>
      </w:r>
    </w:p>
    <w:p>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eastAsia="仿宋_GB2312"/>
          <w:sz w:val="30"/>
          <w:szCs w:val="30"/>
        </w:rPr>
        <w:t>3.公务接待费支出0万元。</w:t>
      </w:r>
    </w:p>
    <w:p>
      <w:pPr>
        <w:widowControl/>
        <w:snapToGrid w:val="0"/>
        <w:spacing w:before="100" w:after="100" w:line="360" w:lineRule="auto"/>
        <w:ind w:firstLine="640" w:firstLineChars="200"/>
        <w:jc w:val="left"/>
        <w:rPr>
          <w:rFonts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pPr>
        <w:ind w:firstLine="600" w:firstLineChars="200"/>
        <w:jc w:val="left"/>
        <w:rPr>
          <w:rFonts w:ascii="黑体" w:hAnsi="黑体" w:eastAsia="黑体" w:cs="黑体"/>
          <w:sz w:val="30"/>
          <w:szCs w:val="30"/>
        </w:rPr>
      </w:pPr>
      <w:r>
        <w:rPr>
          <w:rFonts w:hint="eastAsia" w:ascii="黑体" w:hAnsi="黑体" w:eastAsia="黑体" w:cs="黑体"/>
          <w:sz w:val="30"/>
          <w:szCs w:val="30"/>
        </w:rPr>
        <w:t>一、单位运行经费支出情况</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我单位正常运转的日常支出707.60万元（人员经费支出623.25万元，公用经费84.35万元）。与上年对比基本支出略有减少,主要原因是业务经费减少。基本工资、津贴补贴等人员经费支出623.25万元，占基本支出的88.08％；办公费、印刷费、水电费、办公设备购置等日常公用经费支出84.35万元，占基本支出的11.92％。</w:t>
      </w:r>
    </w:p>
    <w:p>
      <w:pPr>
        <w:widowControl/>
        <w:ind w:firstLine="600" w:firstLineChars="200"/>
        <w:rPr>
          <w:rFonts w:ascii="黑体" w:hAnsi="黑体" w:eastAsia="黑体" w:cs="黑体"/>
          <w:color w:val="000000"/>
          <w:kern w:val="0"/>
          <w:sz w:val="30"/>
          <w:szCs w:val="30"/>
        </w:rPr>
      </w:pPr>
      <w:r>
        <w:rPr>
          <w:rFonts w:hint="eastAsia" w:ascii="黑体" w:hAnsi="黑体" w:eastAsia="黑体" w:cs="黑体"/>
          <w:color w:val="000000"/>
          <w:kern w:val="0"/>
          <w:sz w:val="30"/>
          <w:szCs w:val="30"/>
        </w:rPr>
        <w:t>二、国有资产占用情况</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截至2020年12月31日，我单位资产总额40.97万元，其中，流动资产0万元，固定资产40.97万元（净值），对外投资及有价证券0万元，在建工程0万元，无形资产0万元，其他资产0万元0。与上年相比，本年资产总额增加29.9万元，其中固定资产增加29.9万元（学业水平考试阅卷设备采购6台扫描仪和1台服务器，采购金额29.9万元，根据2020年7月20日市教育体育局党组会议研究决定：市教科所支付102776.53元，市招办和教育体育局支付196223.47元。阅卷设备固定资产由市教科所管理使用并入固定资产账，市教育体育局不做固定资产入账核算）。处置房屋建筑物0平方米，账面原值0万元；处置车辆0辆，账面原值0万元；报废报损资产0项，账面原值0万元，实现资产处置收入0万元；出租房屋0平方米，账面原值0万元，实现资产使用收入0万元。</w:t>
      </w:r>
    </w:p>
    <w:p>
      <w:pPr>
        <w:widowControl/>
        <w:snapToGrid w:val="0"/>
        <w:spacing w:before="100" w:after="100" w:line="360" w:lineRule="auto"/>
        <w:ind w:firstLine="600" w:firstLineChars="200"/>
        <w:rPr>
          <w:rFonts w:ascii="仿宋_GB2312" w:eastAsia="仿宋_GB2312"/>
          <w:sz w:val="30"/>
          <w:szCs w:val="30"/>
        </w:rPr>
      </w:pPr>
    </w:p>
    <w:p>
      <w:pPr>
        <w:widowControl/>
        <w:snapToGrid w:val="0"/>
        <w:spacing w:before="100" w:after="100" w:line="360" w:lineRule="auto"/>
        <w:ind w:firstLine="600" w:firstLineChars="200"/>
        <w:rPr>
          <w:rFonts w:ascii="仿宋_GB2312" w:eastAsia="仿宋_GB2312"/>
          <w:sz w:val="30"/>
          <w:szCs w:val="30"/>
        </w:rPr>
      </w:pPr>
    </w:p>
    <w:p>
      <w:pPr>
        <w:widowControl/>
        <w:snapToGrid w:val="0"/>
        <w:spacing w:before="100" w:after="100" w:line="360" w:lineRule="auto"/>
        <w:ind w:firstLine="600" w:firstLineChars="200"/>
        <w:rPr>
          <w:rFonts w:ascii="仿宋_GB2312" w:eastAsia="仿宋_GB2312"/>
          <w:sz w:val="30"/>
          <w:szCs w:val="30"/>
        </w:rPr>
      </w:pPr>
    </w:p>
    <w:tbl>
      <w:tblPr>
        <w:tblStyle w:val="6"/>
        <w:tblpPr w:leftFromText="180" w:rightFromText="180" w:topFromText="100" w:bottomFromText="100" w:vertAnchor="text" w:horzAnchor="page" w:tblpX="534" w:tblpY="490"/>
        <w:tblOverlap w:val="never"/>
        <w:tblW w:w="10770" w:type="dxa"/>
        <w:tblInd w:w="0" w:type="dxa"/>
        <w:tblLayout w:type="fixed"/>
        <w:tblCellMar>
          <w:top w:w="0" w:type="dxa"/>
          <w:left w:w="0" w:type="dxa"/>
          <w:bottom w:w="0" w:type="dxa"/>
          <w:right w:w="0" w:type="dxa"/>
        </w:tblCellMar>
      </w:tblPr>
      <w:tblGrid>
        <w:gridCol w:w="715"/>
        <w:gridCol w:w="546"/>
        <w:gridCol w:w="700"/>
        <w:gridCol w:w="684"/>
        <w:gridCol w:w="474"/>
        <w:gridCol w:w="725"/>
        <w:gridCol w:w="769"/>
        <w:gridCol w:w="67"/>
        <w:gridCol w:w="865"/>
        <w:gridCol w:w="331"/>
        <w:gridCol w:w="643"/>
        <w:gridCol w:w="196"/>
        <w:gridCol w:w="978"/>
        <w:gridCol w:w="979"/>
        <w:gridCol w:w="360"/>
        <w:gridCol w:w="618"/>
        <w:gridCol w:w="360"/>
        <w:gridCol w:w="142"/>
        <w:gridCol w:w="476"/>
        <w:gridCol w:w="142"/>
      </w:tblGrid>
      <w:tr>
        <w:tblPrEx>
          <w:tblCellMar>
            <w:top w:w="0" w:type="dxa"/>
            <w:left w:w="0" w:type="dxa"/>
            <w:bottom w:w="0" w:type="dxa"/>
            <w:right w:w="0" w:type="dxa"/>
          </w:tblCellMar>
        </w:tblPrEx>
        <w:trPr>
          <w:trHeight w:val="495" w:hRule="atLeast"/>
        </w:trPr>
        <w:tc>
          <w:tcPr>
            <w:tcW w:w="10628" w:type="dxa"/>
            <w:gridSpan w:val="19"/>
            <w:tcBorders>
              <w:top w:val="nil"/>
              <w:left w:val="nil"/>
              <w:bottom w:val="nil"/>
              <w:right w:val="nil"/>
            </w:tcBorders>
            <w:shd w:val="clear" w:color="auto" w:fill="FFFFFF"/>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仿宋_GB2312" w:hAnsi="方正小标宋_GBK" w:eastAsia="仿宋_GB2312" w:cs="方正小标宋_GBK"/>
                <w:b/>
                <w:color w:val="000000"/>
                <w:kern w:val="0"/>
                <w:sz w:val="30"/>
                <w:szCs w:val="30"/>
              </w:rPr>
              <w:t>国有资产占有使用情况表</w:t>
            </w: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347" w:hRule="atLeast"/>
        </w:trPr>
        <w:tc>
          <w:tcPr>
            <w:tcW w:w="4680" w:type="dxa"/>
            <w:gridSpan w:val="8"/>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0"/>
                <w:szCs w:val="20"/>
              </w:rPr>
              <w:t> </w:t>
            </w:r>
          </w:p>
        </w:tc>
        <w:tc>
          <w:tcPr>
            <w:tcW w:w="865"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 </w:t>
            </w:r>
          </w:p>
        </w:tc>
        <w:tc>
          <w:tcPr>
            <w:tcW w:w="974" w:type="dxa"/>
            <w:gridSpan w:val="2"/>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 </w:t>
            </w:r>
          </w:p>
        </w:tc>
        <w:tc>
          <w:tcPr>
            <w:tcW w:w="196"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 </w:t>
            </w:r>
          </w:p>
        </w:tc>
        <w:tc>
          <w:tcPr>
            <w:tcW w:w="978"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 </w:t>
            </w:r>
          </w:p>
        </w:tc>
        <w:tc>
          <w:tcPr>
            <w:tcW w:w="979"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 </w:t>
            </w:r>
          </w:p>
        </w:tc>
        <w:tc>
          <w:tcPr>
            <w:tcW w:w="1956" w:type="dxa"/>
            <w:gridSpan w:val="5"/>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right"/>
              <w:textAlignment w:val="center"/>
              <w:rPr>
                <w:rFonts w:ascii="宋体" w:hAnsi="宋体" w:cs="宋体"/>
                <w:color w:val="000000"/>
                <w:kern w:val="0"/>
                <w:sz w:val="24"/>
              </w:rPr>
            </w:pPr>
            <w:r>
              <w:rPr>
                <w:rFonts w:hint="eastAsia" w:ascii="宋体" w:hAnsi="宋体" w:cs="宋体"/>
                <w:color w:val="000000"/>
                <w:kern w:val="0"/>
                <w:sz w:val="20"/>
                <w:szCs w:val="20"/>
              </w:rPr>
              <w:t>单位：万元</w:t>
            </w: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415" w:hRule="atLeast"/>
        </w:trPr>
        <w:tc>
          <w:tcPr>
            <w:tcW w:w="71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项目</w:t>
            </w:r>
          </w:p>
        </w:tc>
        <w:tc>
          <w:tcPr>
            <w:tcW w:w="54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行次</w:t>
            </w:r>
          </w:p>
        </w:tc>
        <w:tc>
          <w:tcPr>
            <w:tcW w:w="70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资产总额</w:t>
            </w:r>
          </w:p>
        </w:tc>
        <w:tc>
          <w:tcPr>
            <w:tcW w:w="68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流动资产</w:t>
            </w:r>
          </w:p>
        </w:tc>
        <w:tc>
          <w:tcPr>
            <w:tcW w:w="4070" w:type="dxa"/>
            <w:gridSpan w:val="8"/>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固定资产</w:t>
            </w:r>
          </w:p>
        </w:tc>
        <w:tc>
          <w:tcPr>
            <w:tcW w:w="97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对外投资/有价证券</w:t>
            </w:r>
          </w:p>
        </w:tc>
        <w:tc>
          <w:tcPr>
            <w:tcW w:w="97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在建工程</w:t>
            </w:r>
          </w:p>
        </w:tc>
        <w:tc>
          <w:tcPr>
            <w:tcW w:w="978" w:type="dxa"/>
            <w:gridSpan w:val="2"/>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无形资产</w:t>
            </w:r>
          </w:p>
        </w:tc>
        <w:tc>
          <w:tcPr>
            <w:tcW w:w="978" w:type="dxa"/>
            <w:gridSpan w:val="3"/>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其他资产</w:t>
            </w: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345" w:hRule="atLeast"/>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47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小计</w:t>
            </w:r>
          </w:p>
        </w:tc>
        <w:tc>
          <w:tcPr>
            <w:tcW w:w="7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房屋构筑物</w:t>
            </w: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车辆</w:t>
            </w:r>
          </w:p>
        </w:tc>
        <w:tc>
          <w:tcPr>
            <w:tcW w:w="1263"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单价200万以上大型设备</w:t>
            </w:r>
          </w:p>
        </w:tc>
        <w:tc>
          <w:tcPr>
            <w:tcW w:w="83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其他固定资产</w:t>
            </w: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7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7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395" w:hRule="atLeast"/>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4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26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7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97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358" w:hRule="atLeast"/>
        </w:trPr>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栏次</w:t>
            </w:r>
          </w:p>
        </w:tc>
        <w:tc>
          <w:tcPr>
            <w:tcW w:w="5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 </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1</w:t>
            </w:r>
          </w:p>
        </w:tc>
        <w:tc>
          <w:tcPr>
            <w:tcW w:w="6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2</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3</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4</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5</w:t>
            </w:r>
          </w:p>
        </w:tc>
        <w:tc>
          <w:tcPr>
            <w:tcW w:w="12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6</w:t>
            </w:r>
          </w:p>
        </w:tc>
        <w:tc>
          <w:tcPr>
            <w:tcW w:w="8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7</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8</w:t>
            </w:r>
          </w:p>
        </w:tc>
        <w:tc>
          <w:tcPr>
            <w:tcW w:w="9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9</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10</w:t>
            </w:r>
          </w:p>
        </w:tc>
        <w:tc>
          <w:tcPr>
            <w:tcW w:w="9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11</w:t>
            </w: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563" w:hRule="atLeast"/>
        </w:trPr>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合计</w:t>
            </w:r>
          </w:p>
        </w:tc>
        <w:tc>
          <w:tcPr>
            <w:tcW w:w="5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1</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rPr>
                <w:rFonts w:ascii="宋体" w:hAnsi="宋体" w:cs="宋体"/>
                <w:color w:val="000000"/>
                <w:kern w:val="0"/>
                <w:sz w:val="24"/>
              </w:rPr>
            </w:pPr>
            <w:r>
              <w:rPr>
                <w:rFonts w:hint="eastAsia" w:ascii="宋体" w:hAnsi="宋体" w:cs="宋体"/>
                <w:color w:val="000000"/>
                <w:kern w:val="0"/>
                <w:sz w:val="20"/>
                <w:szCs w:val="20"/>
              </w:rPr>
              <w:t>40.97 </w:t>
            </w:r>
          </w:p>
        </w:tc>
        <w:tc>
          <w:tcPr>
            <w:tcW w:w="6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rPr>
                <w:rFonts w:ascii="宋体" w:hAnsi="宋体" w:cs="宋体"/>
                <w:color w:val="000000"/>
                <w:kern w:val="0"/>
                <w:sz w:val="24"/>
              </w:rPr>
            </w:pPr>
            <w:r>
              <w:rPr>
                <w:rFonts w:hint="eastAsia" w:ascii="宋体" w:hAnsi="宋体" w:cs="宋体"/>
                <w:color w:val="000000"/>
                <w:kern w:val="0"/>
                <w:sz w:val="20"/>
                <w:szCs w:val="20"/>
              </w:rPr>
              <w:t>0 </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rPr>
                <w:rFonts w:ascii="宋体" w:hAnsi="宋体" w:cs="宋体"/>
                <w:color w:val="000000"/>
                <w:kern w:val="0"/>
                <w:sz w:val="24"/>
              </w:rPr>
            </w:pPr>
            <w:r>
              <w:rPr>
                <w:rFonts w:hint="eastAsia" w:ascii="宋体" w:hAnsi="宋体" w:cs="宋体"/>
                <w:color w:val="000000"/>
                <w:kern w:val="0"/>
                <w:sz w:val="20"/>
                <w:szCs w:val="20"/>
              </w:rPr>
              <w:t>40.97 </w:t>
            </w:r>
          </w:p>
        </w:tc>
        <w:tc>
          <w:tcPr>
            <w:tcW w:w="7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rPr>
                <w:rFonts w:ascii="宋体" w:hAnsi="宋体" w:cs="宋体"/>
                <w:color w:val="000000"/>
                <w:kern w:val="0"/>
                <w:sz w:val="24"/>
              </w:rPr>
            </w:pPr>
            <w:r>
              <w:rPr>
                <w:rFonts w:hint="eastAsia" w:ascii="宋体" w:hAnsi="宋体" w:cs="宋体"/>
                <w:color w:val="000000"/>
                <w:kern w:val="0"/>
                <w:sz w:val="20"/>
                <w:szCs w:val="20"/>
              </w:rPr>
              <w:t> </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rPr>
                <w:rFonts w:ascii="宋体" w:hAnsi="宋体" w:cs="宋体"/>
                <w:color w:val="000000"/>
                <w:kern w:val="0"/>
                <w:sz w:val="24"/>
              </w:rPr>
            </w:pPr>
            <w:r>
              <w:rPr>
                <w:rFonts w:hint="eastAsia" w:ascii="宋体" w:hAnsi="宋体" w:cs="宋体"/>
                <w:color w:val="000000"/>
                <w:kern w:val="0"/>
                <w:sz w:val="20"/>
                <w:szCs w:val="20"/>
              </w:rPr>
              <w:t> </w:t>
            </w:r>
          </w:p>
        </w:tc>
        <w:tc>
          <w:tcPr>
            <w:tcW w:w="12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rPr>
                <w:rFonts w:ascii="宋体" w:hAnsi="宋体" w:cs="宋体"/>
                <w:color w:val="000000"/>
                <w:kern w:val="0"/>
                <w:sz w:val="24"/>
              </w:rPr>
            </w:pPr>
            <w:r>
              <w:rPr>
                <w:rFonts w:hint="eastAsia" w:ascii="宋体" w:hAnsi="宋体" w:cs="宋体"/>
                <w:color w:val="000000"/>
                <w:kern w:val="0"/>
                <w:sz w:val="20"/>
                <w:szCs w:val="20"/>
              </w:rPr>
              <w:t> </w:t>
            </w:r>
          </w:p>
        </w:tc>
        <w:tc>
          <w:tcPr>
            <w:tcW w:w="8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rPr>
                <w:rFonts w:ascii="宋体" w:hAnsi="宋体" w:cs="宋体"/>
                <w:color w:val="000000"/>
                <w:kern w:val="0"/>
                <w:sz w:val="24"/>
              </w:rPr>
            </w:pPr>
            <w:r>
              <w:rPr>
                <w:rFonts w:hint="eastAsia" w:ascii="宋体" w:hAnsi="宋体" w:cs="宋体"/>
                <w:color w:val="000000"/>
                <w:kern w:val="0"/>
                <w:sz w:val="20"/>
                <w:szCs w:val="20"/>
              </w:rPr>
              <w:t>40.97 </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rPr>
                <w:rFonts w:ascii="宋体" w:hAnsi="宋体" w:cs="宋体"/>
                <w:color w:val="000000"/>
                <w:kern w:val="0"/>
                <w:sz w:val="24"/>
              </w:rPr>
            </w:pPr>
            <w:r>
              <w:rPr>
                <w:rFonts w:hint="eastAsia" w:ascii="宋体" w:hAnsi="宋体" w:cs="宋体"/>
                <w:color w:val="000000"/>
                <w:kern w:val="0"/>
                <w:sz w:val="20"/>
                <w:szCs w:val="20"/>
              </w:rPr>
              <w:t>0 </w:t>
            </w:r>
          </w:p>
        </w:tc>
        <w:tc>
          <w:tcPr>
            <w:tcW w:w="9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rPr>
                <w:rFonts w:ascii="宋体" w:hAnsi="宋体" w:cs="宋体"/>
                <w:color w:val="000000"/>
                <w:kern w:val="0"/>
                <w:sz w:val="24"/>
              </w:rPr>
            </w:pPr>
            <w:r>
              <w:rPr>
                <w:rFonts w:hint="eastAsia" w:ascii="宋体" w:hAnsi="宋体" w:cs="宋体"/>
                <w:color w:val="000000"/>
                <w:kern w:val="0"/>
                <w:sz w:val="20"/>
                <w:szCs w:val="20"/>
              </w:rPr>
              <w:t>0 </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rPr>
                <w:rFonts w:ascii="宋体" w:hAnsi="宋体" w:cs="宋体"/>
                <w:color w:val="000000"/>
                <w:kern w:val="0"/>
                <w:sz w:val="24"/>
              </w:rPr>
            </w:pPr>
            <w:r>
              <w:rPr>
                <w:rFonts w:hint="eastAsia" w:ascii="宋体" w:hAnsi="宋体" w:cs="宋体"/>
                <w:color w:val="000000"/>
                <w:kern w:val="0"/>
                <w:sz w:val="20"/>
                <w:szCs w:val="20"/>
              </w:rPr>
              <w:t>0 </w:t>
            </w:r>
          </w:p>
        </w:tc>
        <w:tc>
          <w:tcPr>
            <w:tcW w:w="9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rPr>
                <w:rFonts w:ascii="宋体" w:hAnsi="宋体" w:cs="宋体"/>
                <w:color w:val="000000"/>
                <w:kern w:val="0"/>
                <w:sz w:val="24"/>
              </w:rPr>
            </w:pPr>
            <w:r>
              <w:rPr>
                <w:rFonts w:hint="eastAsia" w:ascii="宋体" w:hAnsi="宋体" w:cs="宋体"/>
                <w:color w:val="000000"/>
                <w:kern w:val="0"/>
                <w:sz w:val="20"/>
                <w:szCs w:val="20"/>
              </w:rPr>
              <w:t>0 </w:t>
            </w: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gridAfter w:val="2"/>
          <w:wAfter w:w="618" w:type="dxa"/>
          <w:trHeight w:val="259" w:hRule="atLeast"/>
        </w:trPr>
        <w:tc>
          <w:tcPr>
            <w:tcW w:w="8672" w:type="dxa"/>
            <w:gridSpan w:val="14"/>
            <w:tcBorders>
              <w:top w:val="nil"/>
              <w:left w:val="nil"/>
              <w:bottom w:val="nil"/>
              <w:right w:val="nil"/>
            </w:tcBorders>
            <w:tcMar>
              <w:top w:w="15" w:type="dxa"/>
              <w:left w:w="15" w:type="dxa"/>
              <w:bottom w:w="15" w:type="dxa"/>
              <w:right w:w="15" w:type="dxa"/>
            </w:tcMar>
            <w:vAlign w:val="bottom"/>
          </w:tcPr>
          <w:p>
            <w:pPr>
              <w:widowControl/>
              <w:rPr>
                <w:rFonts w:ascii="宋体" w:hAnsi="宋体" w:cs="宋体"/>
                <w:color w:val="000000"/>
                <w:kern w:val="0"/>
                <w:sz w:val="24"/>
              </w:rPr>
            </w:pPr>
          </w:p>
        </w:tc>
        <w:tc>
          <w:tcPr>
            <w:tcW w:w="360" w:type="dxa"/>
            <w:tcBorders>
              <w:top w:val="nil"/>
              <w:left w:val="nil"/>
              <w:bottom w:val="nil"/>
              <w:right w:val="nil"/>
            </w:tcBorders>
            <w:tcMar>
              <w:top w:w="15" w:type="dxa"/>
              <w:left w:w="15" w:type="dxa"/>
              <w:bottom w:w="15" w:type="dxa"/>
              <w:right w:w="15" w:type="dxa"/>
            </w:tcMar>
            <w:vAlign w:val="bottom"/>
          </w:tcPr>
          <w:p>
            <w:pPr>
              <w:widowControl/>
              <w:rPr>
                <w:rFonts w:ascii="宋体" w:hAnsi="宋体" w:cs="宋体"/>
                <w:color w:val="000000"/>
                <w:kern w:val="0"/>
                <w:sz w:val="20"/>
              </w:rPr>
            </w:pPr>
          </w:p>
        </w:tc>
        <w:tc>
          <w:tcPr>
            <w:tcW w:w="978" w:type="dxa"/>
            <w:gridSpan w:val="2"/>
            <w:tcBorders>
              <w:top w:val="nil"/>
              <w:left w:val="nil"/>
              <w:bottom w:val="nil"/>
              <w:right w:val="nil"/>
            </w:tcBorders>
            <w:tcMar>
              <w:top w:w="15" w:type="dxa"/>
              <w:left w:w="15" w:type="dxa"/>
              <w:bottom w:w="15" w:type="dxa"/>
              <w:right w:w="15" w:type="dxa"/>
            </w:tcMar>
            <w:vAlign w:val="bottom"/>
          </w:tcPr>
          <w:p>
            <w:pPr>
              <w:widowControl/>
              <w:jc w:val="left"/>
              <w:rPr>
                <w:rFonts w:ascii="宋体" w:hAnsi="宋体" w:cs="宋体"/>
                <w:color w:val="000000"/>
                <w:kern w:val="0"/>
                <w:sz w:val="24"/>
              </w:rPr>
            </w:pPr>
          </w:p>
        </w:tc>
        <w:tc>
          <w:tcPr>
            <w:tcW w:w="142" w:type="dxa"/>
            <w:tcBorders>
              <w:top w:val="nil"/>
              <w:left w:val="nil"/>
              <w:bottom w:val="nil"/>
              <w:right w:val="nil"/>
            </w:tcBorders>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trHeight w:val="495" w:hRule="atLeast"/>
        </w:trPr>
        <w:tc>
          <w:tcPr>
            <w:tcW w:w="9650" w:type="dxa"/>
            <w:gridSpan w:val="16"/>
            <w:tcBorders>
              <w:top w:val="nil"/>
              <w:left w:val="nil"/>
              <w:bottom w:val="nil"/>
              <w:right w:val="nil"/>
            </w:tcBorders>
            <w:tcMar>
              <w:top w:w="15" w:type="dxa"/>
              <w:left w:w="15" w:type="dxa"/>
              <w:bottom w:w="15" w:type="dxa"/>
              <w:right w:w="15" w:type="dxa"/>
            </w:tcMar>
            <w:vAlign w:val="bottom"/>
          </w:tcPr>
          <w:p>
            <w:pPr>
              <w:widowControl/>
              <w:rPr>
                <w:rFonts w:ascii="宋体" w:hAnsi="宋体" w:cs="宋体"/>
                <w:color w:val="000000"/>
                <w:kern w:val="0"/>
                <w:sz w:val="20"/>
                <w:szCs w:val="20"/>
              </w:rPr>
            </w:pPr>
            <w:r>
              <w:rPr>
                <w:rFonts w:hint="eastAsia" w:ascii="宋体" w:hAnsi="宋体" w:cs="宋体"/>
                <w:color w:val="000000"/>
                <w:kern w:val="0"/>
                <w:sz w:val="20"/>
                <w:szCs w:val="20"/>
              </w:rPr>
              <w:t>填报说明：1.资产总额＝流动资产＋固定资产＋对外投资／有价证券＋在建工程＋无形资产＋其他资产</w:t>
            </w:r>
          </w:p>
          <w:p>
            <w:pPr>
              <w:widowControl/>
              <w:rPr>
                <w:rFonts w:ascii="宋体" w:hAnsi="宋体" w:cs="宋体"/>
                <w:color w:val="000000"/>
                <w:kern w:val="0"/>
                <w:sz w:val="20"/>
                <w:szCs w:val="20"/>
              </w:rPr>
            </w:pPr>
            <w:r>
              <w:rPr>
                <w:rFonts w:hint="eastAsia" w:ascii="宋体" w:hAnsi="宋体" w:cs="宋体"/>
                <w:color w:val="000000"/>
                <w:kern w:val="0"/>
                <w:sz w:val="20"/>
                <w:szCs w:val="20"/>
              </w:rPr>
              <w:t>2.固定资产＝房屋构筑物＋车辆＋单价200万元以上大型设备＋其他固定资产</w:t>
            </w:r>
          </w:p>
        </w:tc>
        <w:tc>
          <w:tcPr>
            <w:tcW w:w="978" w:type="dxa"/>
            <w:gridSpan w:val="3"/>
            <w:tcBorders>
              <w:top w:val="nil"/>
              <w:left w:val="nil"/>
              <w:bottom w:val="nil"/>
              <w:right w:val="nil"/>
            </w:tcBorders>
            <w:tcMar>
              <w:top w:w="15" w:type="dxa"/>
              <w:left w:w="15" w:type="dxa"/>
              <w:bottom w:w="15" w:type="dxa"/>
              <w:right w:w="15" w:type="dxa"/>
            </w:tcMar>
            <w:vAlign w:val="bottom"/>
          </w:tcPr>
          <w:p>
            <w:pPr>
              <w:widowControl/>
              <w:jc w:val="left"/>
              <w:rPr>
                <w:rFonts w:ascii="宋体" w:hAnsi="宋体" w:cs="宋体"/>
                <w:color w:val="000000"/>
                <w:kern w:val="0"/>
                <w:sz w:val="24"/>
              </w:rPr>
            </w:pPr>
            <w:r>
              <w:rPr>
                <w:rFonts w:ascii="Arial" w:hAnsi="Arial" w:cs="Arial"/>
                <w:color w:val="000000"/>
                <w:kern w:val="0"/>
                <w:sz w:val="20"/>
                <w:szCs w:val="20"/>
              </w:rPr>
              <w:t> </w:t>
            </w:r>
          </w:p>
        </w:tc>
        <w:tc>
          <w:tcPr>
            <w:tcW w:w="142" w:type="dxa"/>
            <w:vAlign w:val="center"/>
          </w:tcPr>
          <w:p>
            <w:pPr>
              <w:widowControl/>
              <w:jc w:val="left"/>
              <w:rPr>
                <w:rFonts w:eastAsia="Times New Roman"/>
                <w:kern w:val="0"/>
                <w:sz w:val="20"/>
                <w:szCs w:val="20"/>
              </w:rPr>
            </w:pPr>
          </w:p>
        </w:tc>
      </w:tr>
    </w:tbl>
    <w:p>
      <w:pPr>
        <w:ind w:firstLine="600" w:firstLineChars="200"/>
        <w:jc w:val="left"/>
        <w:rPr>
          <w:rFonts w:ascii="黑体" w:hAnsi="黑体" w:eastAsia="黑体" w:cs="黑体"/>
          <w:sz w:val="30"/>
          <w:szCs w:val="30"/>
        </w:rPr>
      </w:pPr>
      <w:r>
        <w:rPr>
          <w:rFonts w:hint="eastAsia" w:ascii="黑体" w:hAnsi="黑体" w:eastAsia="黑体" w:cs="黑体"/>
          <w:sz w:val="30"/>
          <w:szCs w:val="30"/>
        </w:rPr>
        <w:t>三、政府采购支出情况</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2020年度，部门政府采购支出总额10.27万元，其中：政府采购货物支出10.27万元；政府采购工程支出0万元；政府采购服务支出0万元。授予中小企业合同金额29.9万元，占政府采购支出总额的100%。（学业水平考试阅卷设备采购6台扫描仪和1台服务器，采购金额29.9万元，根据2020年7月20日市教育体育局党组会议研究决定：市教科所支付102776.53元，市招办和教育体育局支付196223.47元。阅卷设备固定资产由市教科所管理使用并入固定资产账，市教育体育局不做固定资产入账核算。）</w:t>
      </w:r>
    </w:p>
    <w:p>
      <w:pPr>
        <w:widowControl/>
        <w:numPr>
          <w:ilvl w:val="0"/>
          <w:numId w:val="2"/>
        </w:numPr>
        <w:snapToGrid w:val="0"/>
        <w:spacing w:before="100" w:after="100" w:line="360" w:lineRule="auto"/>
        <w:ind w:firstLine="600"/>
        <w:jc w:val="left"/>
        <w:rPr>
          <w:rFonts w:ascii="黑体" w:hAnsi="黑体" w:eastAsia="黑体" w:cs="黑体"/>
          <w:sz w:val="30"/>
          <w:szCs w:val="30"/>
        </w:rPr>
      </w:pPr>
      <w:r>
        <w:rPr>
          <w:rFonts w:hint="eastAsia" w:ascii="黑体" w:hAnsi="黑体" w:eastAsia="黑体" w:cs="黑体"/>
          <w:sz w:val="30"/>
          <w:szCs w:val="30"/>
        </w:rPr>
        <w:t>绩效自评情况</w:t>
      </w:r>
    </w:p>
    <w:p>
      <w:pPr>
        <w:widowControl/>
        <w:numPr>
          <w:ilvl w:val="0"/>
          <w:numId w:val="3"/>
        </w:numPr>
        <w:snapToGrid w:val="0"/>
        <w:spacing w:before="100" w:after="100" w:line="360" w:lineRule="auto"/>
        <w:jc w:val="left"/>
        <w:rPr>
          <w:rFonts w:ascii="黑体" w:hAnsi="黑体" w:eastAsia="黑体" w:cs="黑体"/>
          <w:sz w:val="30"/>
          <w:szCs w:val="30"/>
        </w:rPr>
      </w:pPr>
      <w:r>
        <w:rPr>
          <w:rFonts w:hint="eastAsia" w:ascii="黑体" w:hAnsi="黑体" w:eastAsia="黑体" w:cs="黑体"/>
          <w:sz w:val="30"/>
          <w:szCs w:val="30"/>
        </w:rPr>
        <w:t>项目支出情况</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2020年共有2个项目，支出金额为60.27万元。</w:t>
      </w:r>
    </w:p>
    <w:p>
      <w:pPr>
        <w:widowControl/>
        <w:numPr>
          <w:ilvl w:val="0"/>
          <w:numId w:val="4"/>
        </w:numPr>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高中质量提升研究指导中心专项50万元。收入50万元，支出50万元：高考培训、研讨（专家讲课费、疫情防控期间线上培训讲课费）11.2万元，统测试题命制和质量分析8.7万元，根据市级规定和玉溪市机关培训管理办法组织教师培训30.10万元。</w:t>
      </w:r>
    </w:p>
    <w:p>
      <w:pPr>
        <w:widowControl/>
        <w:numPr>
          <w:ilvl w:val="0"/>
          <w:numId w:val="4"/>
        </w:numPr>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学业水平考试阅卷经费余款102776.53元。此项本是财政清缴资金返还款列入专项收支，没进项目库进行申报和评审。收入102776.53元，支出102776.53元：全部用于学业水平考试阅卷设备采购（6台扫描仪和1台服务器），采购金额29.9万元，根据2020年7月20日市教育体育局党组会议研究决定：市教科所支付102776.53元，市招办和教育体育局支付196223.47元。阅卷设备固定资产由市教科所管理使用并入固定资产账，市教育体育局不做固定资产入账核算。新设备的运用，极大的提高了阅卷速度，按期完成了上级部门要求的阅卷任务。</w:t>
      </w:r>
    </w:p>
    <w:p>
      <w:pPr>
        <w:widowControl/>
        <w:numPr>
          <w:ilvl w:val="0"/>
          <w:numId w:val="3"/>
        </w:numPr>
        <w:snapToGrid w:val="0"/>
        <w:spacing w:before="100" w:after="100" w:line="360" w:lineRule="auto"/>
        <w:jc w:val="left"/>
        <w:rPr>
          <w:rFonts w:ascii="黑体" w:hAnsi="黑体" w:eastAsia="黑体" w:cs="黑体"/>
          <w:sz w:val="30"/>
          <w:szCs w:val="30"/>
        </w:rPr>
      </w:pPr>
      <w:r>
        <w:rPr>
          <w:rFonts w:hint="eastAsia" w:ascii="黑体" w:hAnsi="黑体" w:eastAsia="黑体" w:cs="黑体"/>
          <w:sz w:val="30"/>
          <w:szCs w:val="30"/>
        </w:rPr>
        <w:t>项目支出绩效自评</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高中质量提升研究指导中心专项50万元。指导中心为提升玉溪市高考成绩做了大量的工作，收集了解高考信息及高校招生信息。组织玉溪市高三统测命题、质量分析，高考研讨会，高考试卷分析，开展教师集中培训，组织中心老师到学校调研和视导。通过专题讲座和示范课等形式，真正发挥指导中心的示范辐射和引领作用，有效提升玉溪市高中教师队伍整体教育教学水平</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学业水平考试阅卷经费余款102776.53元。新阅卷设备的运用，极大的提高了阅卷速度，按期完成了上级部门要求的阅卷任务。</w:t>
      </w:r>
    </w:p>
    <w:p>
      <w:pPr>
        <w:widowControl/>
        <w:numPr>
          <w:ilvl w:val="0"/>
          <w:numId w:val="3"/>
        </w:numPr>
        <w:snapToGrid w:val="0"/>
        <w:spacing w:before="100" w:after="100" w:line="360" w:lineRule="auto"/>
        <w:jc w:val="left"/>
        <w:rPr>
          <w:rFonts w:ascii="黑体" w:hAnsi="黑体" w:eastAsia="黑体" w:cs="黑体"/>
          <w:sz w:val="30"/>
          <w:szCs w:val="30"/>
        </w:rPr>
      </w:pPr>
      <w:r>
        <w:rPr>
          <w:rFonts w:hint="eastAsia" w:ascii="黑体" w:hAnsi="黑体" w:eastAsia="黑体" w:cs="黑体"/>
          <w:sz w:val="30"/>
          <w:szCs w:val="30"/>
        </w:rPr>
        <w:t>项目绩效目标管理</w:t>
      </w:r>
    </w:p>
    <w:p>
      <w:pPr>
        <w:widowControl/>
        <w:snapToGrid w:val="0"/>
        <w:spacing w:before="100" w:after="100" w:line="360" w:lineRule="auto"/>
        <w:ind w:firstLine="600" w:firstLineChars="200"/>
        <w:rPr>
          <w:rFonts w:ascii="仿宋_GB2312" w:eastAsia="仿宋_GB2312"/>
          <w:sz w:val="30"/>
          <w:szCs w:val="30"/>
        </w:rPr>
      </w:pPr>
      <w:r>
        <w:rPr>
          <w:rFonts w:hint="eastAsia" w:ascii="仿宋_GB2312" w:eastAsia="仿宋_GB2312"/>
          <w:sz w:val="30"/>
          <w:szCs w:val="30"/>
        </w:rPr>
        <w:t>高中质量提升研究指导中心专项</w:t>
      </w:r>
      <w:r>
        <w:rPr>
          <w:rFonts w:ascii="仿宋_GB2312" w:eastAsia="仿宋_GB2312"/>
          <w:sz w:val="30"/>
          <w:szCs w:val="30"/>
        </w:rPr>
        <w:t>实施严格按照高考研讨、试题研究、教师培训、质量分析项目来支出；一部分资金用在2020年疫情期间质量提升中心老师为全市高一、高二、高三线上教学讲座费用；在做好教学研究、考试说明研究和高考试题研究的基础上，合理分工，力争命制出高质量的统测试题，为玉溪市的高三备考做好服务工作，让试题起到立德树人、体现学科核心素养和引导教学的作用。通过教师培训，提升教师的综合素质、专业化水平、创新能力、教学能力和管理能力，加强教师基本功建设，深化课程教学改革</w:t>
      </w:r>
      <w:r>
        <w:rPr>
          <w:rFonts w:hint="eastAsia" w:ascii="仿宋_GB2312" w:eastAsia="仿宋_GB2312"/>
          <w:sz w:val="30"/>
          <w:szCs w:val="30"/>
        </w:rPr>
        <w:t>。</w:t>
      </w:r>
    </w:p>
    <w:p>
      <w:pPr>
        <w:widowControl/>
        <w:snapToGrid w:val="0"/>
        <w:spacing w:before="100" w:after="100" w:line="360" w:lineRule="auto"/>
        <w:ind w:firstLine="600"/>
        <w:jc w:val="left"/>
        <w:rPr>
          <w:rFonts w:ascii="黑体" w:hAnsi="黑体" w:eastAsia="黑体" w:cs="黑体"/>
          <w:sz w:val="30"/>
          <w:szCs w:val="30"/>
        </w:rPr>
      </w:pPr>
      <w:r>
        <w:rPr>
          <w:rFonts w:hint="eastAsia" w:ascii="黑体" w:hAnsi="黑体" w:eastAsia="黑体" w:cs="黑体"/>
          <w:sz w:val="30"/>
          <w:szCs w:val="30"/>
        </w:rPr>
        <w:t>五、其他重要事项情况说明</w:t>
      </w:r>
    </w:p>
    <w:p>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无。</w:t>
      </w:r>
    </w:p>
    <w:p>
      <w:pPr>
        <w:widowControl/>
        <w:snapToGrid w:val="0"/>
        <w:spacing w:before="100" w:after="100" w:line="360" w:lineRule="auto"/>
        <w:ind w:firstLine="600" w:firstLineChars="200"/>
        <w:jc w:val="left"/>
        <w:rPr>
          <w:rFonts w:ascii="黑体" w:hAnsi="黑体" w:eastAsia="黑体" w:cs="黑体"/>
          <w:sz w:val="30"/>
          <w:szCs w:val="30"/>
        </w:rPr>
      </w:pPr>
      <w:r>
        <w:rPr>
          <w:rFonts w:hint="eastAsia" w:ascii="黑体" w:hAnsi="黑体" w:eastAsia="黑体" w:cs="黑体"/>
          <w:sz w:val="30"/>
          <w:szCs w:val="30"/>
        </w:rPr>
        <w:t>五、相关口径说明</w:t>
      </w:r>
    </w:p>
    <w:p>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（一）基本支出中人员经费包括工资福利支出和对个人和家庭的补助，日常公用支出包括商品和服务支出、资本性支出等人员经费以外的支出。</w:t>
      </w:r>
    </w:p>
    <w:p>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（二）机关运行经费指行政单位和参照公务员法管理的事业单位使用一般公共预算财政拨款安排的基本支出中的日常公用经费支出。</w:t>
      </w:r>
    </w:p>
    <w:p>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三）按照党中央、国务院有关文件及部门预算管理有关规定，“三公”经费包括因公出国（境）费、公务用车购置及运行维护费、公务接待费。其中：因公出国（境）费，指单位工作人员公务出国（境）的国际旅费、国外城市间交通费、住宿费、伙食费、培训费、公杂费等支出；公务用车购置费，指单位公务用车车辆购置支出（含车辆购置税、牌照费等）；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ind w:firstLine="640" w:firstLineChars="200"/>
        <w:jc w:val="center"/>
        <w:rPr>
          <w:rFonts w:ascii="黑体" w:hAnsi="黑体" w:eastAsia="黑体" w:cs="方正小标宋简体"/>
          <w:sz w:val="32"/>
          <w:szCs w:val="32"/>
        </w:rPr>
      </w:pPr>
      <w:r>
        <w:rPr>
          <w:rFonts w:hint="eastAsia" w:ascii="黑体" w:hAnsi="黑体" w:eastAsia="黑体" w:cs="方正小标宋简体"/>
          <w:sz w:val="32"/>
          <w:szCs w:val="32"/>
        </w:rPr>
        <w:t>第五部分  名词解释</w:t>
      </w:r>
    </w:p>
    <w:p>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情况说明里涉及到需要解释说明的决算相关专用名词，在此进行说明解释。若没有涉及专用名词，请说明不涉及专用名词。</w:t>
      </w:r>
    </w:p>
    <w:sectPr>
      <w:headerReference r:id="rId3" w:type="default"/>
      <w:footerReference r:id="rId4" w:type="default"/>
      <w:footerReference r:id="rId5" w:type="even"/>
      <w:pgSz w:w="11906" w:h="16838"/>
      <w:pgMar w:top="2098" w:right="1418" w:bottom="1588"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2156E9"/>
    <w:multiLevelType w:val="singleLevel"/>
    <w:tmpl w:val="E72156E9"/>
    <w:lvl w:ilvl="0" w:tentative="0">
      <w:start w:val="4"/>
      <w:numFmt w:val="chineseCounting"/>
      <w:suff w:val="nothing"/>
      <w:lvlText w:val="%1、"/>
      <w:lvlJc w:val="left"/>
      <w:rPr>
        <w:rFonts w:hint="eastAsia"/>
      </w:rPr>
    </w:lvl>
  </w:abstractNum>
  <w:abstractNum w:abstractNumId="1">
    <w:nsid w:val="EBA80651"/>
    <w:multiLevelType w:val="singleLevel"/>
    <w:tmpl w:val="EBA80651"/>
    <w:lvl w:ilvl="0" w:tentative="0">
      <w:start w:val="1"/>
      <w:numFmt w:val="decimal"/>
      <w:suff w:val="nothing"/>
      <w:lvlText w:val="%1、"/>
      <w:lvlJc w:val="left"/>
    </w:lvl>
  </w:abstractNum>
  <w:abstractNum w:abstractNumId="2">
    <w:nsid w:val="33496829"/>
    <w:multiLevelType w:val="singleLevel"/>
    <w:tmpl w:val="33496829"/>
    <w:lvl w:ilvl="0" w:tentative="0">
      <w:start w:val="1"/>
      <w:numFmt w:val="decimal"/>
      <w:lvlText w:val="%1."/>
      <w:lvlJc w:val="left"/>
      <w:pPr>
        <w:tabs>
          <w:tab w:val="left" w:pos="312"/>
        </w:tabs>
      </w:pPr>
    </w:lvl>
  </w:abstractNum>
  <w:abstractNum w:abstractNumId="3">
    <w:nsid w:val="600A11E2"/>
    <w:multiLevelType w:val="singleLevel"/>
    <w:tmpl w:val="600A11E2"/>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58E"/>
    <w:rsid w:val="00014033"/>
    <w:rsid w:val="00015917"/>
    <w:rsid w:val="0003511E"/>
    <w:rsid w:val="000722DA"/>
    <w:rsid w:val="000913E4"/>
    <w:rsid w:val="00096FD6"/>
    <w:rsid w:val="000A6010"/>
    <w:rsid w:val="000C3242"/>
    <w:rsid w:val="000E1FB4"/>
    <w:rsid w:val="000F1483"/>
    <w:rsid w:val="0010004D"/>
    <w:rsid w:val="001263DA"/>
    <w:rsid w:val="001374A6"/>
    <w:rsid w:val="001536A4"/>
    <w:rsid w:val="00154575"/>
    <w:rsid w:val="00172A27"/>
    <w:rsid w:val="001749E4"/>
    <w:rsid w:val="00182815"/>
    <w:rsid w:val="001A0E45"/>
    <w:rsid w:val="001A3A9F"/>
    <w:rsid w:val="001C2096"/>
    <w:rsid w:val="001C6512"/>
    <w:rsid w:val="00224AF2"/>
    <w:rsid w:val="002360A6"/>
    <w:rsid w:val="002718E1"/>
    <w:rsid w:val="00275A81"/>
    <w:rsid w:val="0029065D"/>
    <w:rsid w:val="002A35DC"/>
    <w:rsid w:val="002B295A"/>
    <w:rsid w:val="002D0360"/>
    <w:rsid w:val="002E1618"/>
    <w:rsid w:val="00310284"/>
    <w:rsid w:val="003663D2"/>
    <w:rsid w:val="00371195"/>
    <w:rsid w:val="00392FEE"/>
    <w:rsid w:val="00393375"/>
    <w:rsid w:val="003938CD"/>
    <w:rsid w:val="003A263E"/>
    <w:rsid w:val="003C233F"/>
    <w:rsid w:val="003D27B1"/>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5E5E65"/>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6E6"/>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769A6"/>
    <w:rsid w:val="00C94711"/>
    <w:rsid w:val="00CC1CE8"/>
    <w:rsid w:val="00CD4CE9"/>
    <w:rsid w:val="00D1253E"/>
    <w:rsid w:val="00D2484E"/>
    <w:rsid w:val="00D55235"/>
    <w:rsid w:val="00DA0649"/>
    <w:rsid w:val="00DB4697"/>
    <w:rsid w:val="00DB67A4"/>
    <w:rsid w:val="00DC77E2"/>
    <w:rsid w:val="00DD261E"/>
    <w:rsid w:val="00DF1053"/>
    <w:rsid w:val="00DF1BEC"/>
    <w:rsid w:val="00E36604"/>
    <w:rsid w:val="00E662AA"/>
    <w:rsid w:val="00E769E8"/>
    <w:rsid w:val="00E80B36"/>
    <w:rsid w:val="00E9395C"/>
    <w:rsid w:val="00EA2124"/>
    <w:rsid w:val="00EB1FB0"/>
    <w:rsid w:val="00EC24BF"/>
    <w:rsid w:val="00ED7654"/>
    <w:rsid w:val="00EE750D"/>
    <w:rsid w:val="00F37401"/>
    <w:rsid w:val="00F44882"/>
    <w:rsid w:val="00F73DAF"/>
    <w:rsid w:val="00F74193"/>
    <w:rsid w:val="00F9286C"/>
    <w:rsid w:val="00F94DB0"/>
    <w:rsid w:val="00FA48DF"/>
    <w:rsid w:val="00FF6A71"/>
    <w:rsid w:val="024964E9"/>
    <w:rsid w:val="05963375"/>
    <w:rsid w:val="0806140C"/>
    <w:rsid w:val="096F299B"/>
    <w:rsid w:val="09C414E2"/>
    <w:rsid w:val="0B40208D"/>
    <w:rsid w:val="0D4162A9"/>
    <w:rsid w:val="0E667B91"/>
    <w:rsid w:val="109A2368"/>
    <w:rsid w:val="1253626C"/>
    <w:rsid w:val="12AF3DA1"/>
    <w:rsid w:val="13984696"/>
    <w:rsid w:val="13C033E8"/>
    <w:rsid w:val="14BC7366"/>
    <w:rsid w:val="15881431"/>
    <w:rsid w:val="171C303C"/>
    <w:rsid w:val="190069AA"/>
    <w:rsid w:val="19CB367F"/>
    <w:rsid w:val="1AAD1317"/>
    <w:rsid w:val="1B9A76F1"/>
    <w:rsid w:val="1D665B26"/>
    <w:rsid w:val="1FBA1EC3"/>
    <w:rsid w:val="22BA1854"/>
    <w:rsid w:val="22E819B9"/>
    <w:rsid w:val="24C148A5"/>
    <w:rsid w:val="253B1B6C"/>
    <w:rsid w:val="263A7001"/>
    <w:rsid w:val="26443CEE"/>
    <w:rsid w:val="284944EA"/>
    <w:rsid w:val="2C2C7BFF"/>
    <w:rsid w:val="2C4A2FAA"/>
    <w:rsid w:val="2CE334F9"/>
    <w:rsid w:val="2EBD6C76"/>
    <w:rsid w:val="2FAB53C8"/>
    <w:rsid w:val="319F1872"/>
    <w:rsid w:val="336B6876"/>
    <w:rsid w:val="33F559B9"/>
    <w:rsid w:val="367A6ED7"/>
    <w:rsid w:val="36A75942"/>
    <w:rsid w:val="37364169"/>
    <w:rsid w:val="385F5D94"/>
    <w:rsid w:val="39C91EF5"/>
    <w:rsid w:val="3B34052E"/>
    <w:rsid w:val="3B7D4935"/>
    <w:rsid w:val="3C945D55"/>
    <w:rsid w:val="3F586A55"/>
    <w:rsid w:val="41B17E60"/>
    <w:rsid w:val="47A16424"/>
    <w:rsid w:val="48AC686D"/>
    <w:rsid w:val="4A415260"/>
    <w:rsid w:val="4C120DA7"/>
    <w:rsid w:val="4FCC7BC5"/>
    <w:rsid w:val="50F17A71"/>
    <w:rsid w:val="52BC6998"/>
    <w:rsid w:val="54B13C7B"/>
    <w:rsid w:val="55914183"/>
    <w:rsid w:val="562F4A7B"/>
    <w:rsid w:val="56962A52"/>
    <w:rsid w:val="5A0136CD"/>
    <w:rsid w:val="5CE90C53"/>
    <w:rsid w:val="5DEC629E"/>
    <w:rsid w:val="5E17105A"/>
    <w:rsid w:val="62604FFE"/>
    <w:rsid w:val="63FB0B2B"/>
    <w:rsid w:val="679B5B3D"/>
    <w:rsid w:val="6ADBF8DE"/>
    <w:rsid w:val="6C620AA9"/>
    <w:rsid w:val="6C926BA8"/>
    <w:rsid w:val="70920F6F"/>
    <w:rsid w:val="7269403D"/>
    <w:rsid w:val="770D6A95"/>
    <w:rsid w:val="77207610"/>
    <w:rsid w:val="77475678"/>
    <w:rsid w:val="78AF2483"/>
    <w:rsid w:val="79EB17A6"/>
    <w:rsid w:val="7BBF4916"/>
    <w:rsid w:val="7E14116C"/>
    <w:rsid w:val="7ED13E05"/>
    <w:rsid w:val="7F685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Lines="30"/>
    </w:pPr>
    <w:rPr>
      <w:rFonts w:ascii="仿宋_GB2312" w:eastAsia="仿宋_GB2312"/>
      <w:sz w:val="30"/>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font11"/>
    <w:basedOn w:val="7"/>
    <w:qFormat/>
    <w:uiPriority w:val="0"/>
    <w:rPr>
      <w:rFonts w:hint="eastAsia" w:ascii="宋体" w:hAnsi="宋体" w:eastAsia="宋体" w:cs="宋体"/>
      <w:color w:val="000000"/>
      <w:sz w:val="20"/>
      <w:szCs w:val="20"/>
      <w:u w:val="none"/>
    </w:rPr>
  </w:style>
  <w:style w:type="character" w:customStyle="1" w:styleId="10">
    <w:name w:val="font01"/>
    <w:basedOn w:val="7"/>
    <w:qFormat/>
    <w:uiPriority w:val="0"/>
    <w:rPr>
      <w:rFonts w:hint="default" w:ascii="Arial" w:hAnsi="Arial" w:cs="Arial"/>
      <w:color w:val="000000"/>
      <w:sz w:val="20"/>
      <w:szCs w:val="20"/>
      <w:u w:val="none"/>
    </w:rPr>
  </w:style>
  <w:style w:type="character" w:customStyle="1" w:styleId="11">
    <w:name w:val="smallsong1"/>
    <w:qFormat/>
    <w:uiPriority w:val="0"/>
    <w:rPr>
      <w:rFonts w:hint="default"/>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1245</Words>
  <Characters>7097</Characters>
  <Lines>59</Lines>
  <Paragraphs>16</Paragraphs>
  <TotalTime>1</TotalTime>
  <ScaleCrop>false</ScaleCrop>
  <LinksUpToDate>false</LinksUpToDate>
  <CharactersWithSpaces>8326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2021-09-28T16:39:00Z</dcterms:created>
  <dc:creator>赵树子</dc:creator>
  <cp:lastModifiedBy>user</cp:lastModifiedBy>
  <cp:lastPrinted>2021-09-27T11:05:00Z</cp:lastPrinted>
  <dcterms:modified xsi:type="dcterms:W3CDTF">2025-04-23T14:36:31Z</dcterms:modified>
  <dc:title>四川省财政厅2011年部门预算编制说明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KSOSaveFontToCloudKey">
    <vt:lpwstr>458197326_btnclosed</vt:lpwstr>
  </property>
  <property fmtid="{D5CDD505-2E9C-101B-9397-08002B2CF9AE}" pid="4" name="ICV">
    <vt:lpwstr>E2CBB0E01CC9446F97C2B9AC4D331028</vt:lpwstr>
  </property>
</Properties>
</file>