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ascii="方正小标宋_GBK" w:hAnsi="方正小标宋_GBK" w:eastAsia="方正小标宋_GBK" w:cs="方正小标宋_GBK"/>
          <w:b w:val="0"/>
          <w:bCs w:val="0"/>
          <w:color w:val="FF0000"/>
          <w:sz w:val="68"/>
          <w:szCs w:val="68"/>
          <w:highlight w:val="none"/>
          <w:lang w:val="en-US" w:eastAsia="zh-CN"/>
        </w:rPr>
      </w:pPr>
      <w:r>
        <w:rPr>
          <w:rFonts w:hint="eastAsia" w:ascii="方正小标宋_GBK" w:hAnsi="方正小标宋_GBK" w:eastAsia="方正小标宋_GBK" w:cs="方正小标宋_GBK"/>
          <w:b w:val="0"/>
          <w:bCs w:val="0"/>
          <w:color w:val="FF0000"/>
          <w:sz w:val="68"/>
          <w:szCs w:val="68"/>
          <w:highlight w:val="none"/>
          <w:lang w:val="en-US" w:eastAsia="zh-CN"/>
        </w:rPr>
        <w:t xml:space="preserve">   </w:t>
      </w: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default" w:ascii="方正小标宋_GBK" w:hAnsi="方正小标宋_GBK" w:eastAsia="方正小标宋_GBK" w:cs="方正小标宋_GBK"/>
          <w:b w:val="0"/>
          <w:bCs w:val="0"/>
          <w:color w:val="FF0000"/>
          <w:sz w:val="68"/>
          <w:szCs w:val="68"/>
          <w:highlight w:val="none"/>
          <w:lang w:val="en-US" w:eastAsia="zh-CN"/>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bookmarkStart w:id="0" w:name="zhengwen"/>
      <w:bookmarkEnd w:id="0"/>
      <w:r>
        <w:rPr>
          <w:rFonts w:hint="eastAsia" w:ascii="方正小标宋_GBK" w:hAnsi="方正小标宋_GBK" w:eastAsia="方正小标宋_GBK" w:cs="方正小标宋_GBK"/>
          <w:sz w:val="44"/>
          <w:szCs w:val="44"/>
          <w:highlight w:val="none"/>
          <w:lang w:eastAsia="zh-CN"/>
        </w:rPr>
        <w:t>玉溪市自然资源和规划局关于云南省滇中引水二期配套工程2024年度华宁县第一批次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临时用地的批复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云南省滇中引水二期工程有限公司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30"/>
        <w:jc w:val="both"/>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你单位申请办理</w:t>
      </w:r>
      <w:r>
        <w:rPr>
          <w:rFonts w:hint="default" w:ascii="Times New Roman" w:hAnsi="Times New Roman" w:eastAsia="方正仿宋_GBK" w:cs="Times New Roman"/>
          <w:sz w:val="32"/>
          <w:szCs w:val="32"/>
          <w:highlight w:val="none"/>
          <w:lang w:eastAsia="zh-CN"/>
        </w:rPr>
        <w:t>云南省滇中引水二期配套工程2024年度华宁县第一批次临时用地</w:t>
      </w:r>
      <w:r>
        <w:rPr>
          <w:rFonts w:hint="eastAsia"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资料收悉</w:t>
      </w:r>
      <w:r>
        <w:rPr>
          <w:rFonts w:hint="eastAsia" w:eastAsia="方正仿宋_GBK" w:cs="Times New Roman"/>
          <w:sz w:val="32"/>
          <w:szCs w:val="32"/>
          <w:highlight w:val="none"/>
          <w:lang w:eastAsia="zh-CN"/>
        </w:rPr>
        <w:t>，经审查研究，现批复如下：</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40" w:firstLineChars="200"/>
        <w:jc w:val="both"/>
        <w:textAlignment w:val="auto"/>
        <w:outlineLvl w:val="9"/>
        <w:rPr>
          <w:rFonts w:hint="eastAsia" w:ascii="Times New Roman" w:hAnsi="Times New Roman" w:eastAsia="方正仿宋_GBK" w:cs="Times New Roman"/>
          <w:color w:val="000000"/>
          <w:kern w:val="2"/>
          <w:sz w:val="32"/>
          <w:szCs w:val="84"/>
          <w:lang w:val="en-US" w:eastAsia="zh-CN" w:bidi="ar"/>
        </w:rPr>
      </w:pPr>
      <w:r>
        <w:rPr>
          <w:rFonts w:hint="eastAsia" w:eastAsia="方正仿宋_GBK" w:cs="Times New Roman"/>
          <w:color w:val="000000"/>
          <w:kern w:val="2"/>
          <w:sz w:val="32"/>
          <w:szCs w:val="84"/>
          <w:lang w:val="en-US" w:eastAsia="zh-CN" w:bidi="ar"/>
        </w:rPr>
        <w:t>一、按照</w:t>
      </w:r>
      <w:r>
        <w:rPr>
          <w:rFonts w:hint="default" w:ascii="Times New Roman" w:hAnsi="Times New Roman" w:eastAsia="方正仿宋_GBK" w:cs="Times New Roman"/>
          <w:color w:val="000000"/>
          <w:kern w:val="2"/>
          <w:sz w:val="32"/>
          <w:szCs w:val="84"/>
          <w:lang w:val="en-US" w:eastAsia="zh-CN" w:bidi="ar"/>
        </w:rPr>
        <w:t>《中华人民共和国土地管理法》《中华人民共和国土地管理法实施条例》《自然资源部关于规范临时用地管理的通知》（自然资规〔2021〕2号）的</w:t>
      </w:r>
      <w:r>
        <w:rPr>
          <w:rFonts w:hint="eastAsia" w:eastAsia="方正仿宋_GBK" w:cs="Times New Roman"/>
          <w:color w:val="000000"/>
          <w:kern w:val="2"/>
          <w:sz w:val="32"/>
          <w:szCs w:val="84"/>
          <w:lang w:val="en-US" w:eastAsia="zh-CN" w:bidi="ar"/>
        </w:rPr>
        <w:t>有关</w:t>
      </w:r>
      <w:r>
        <w:rPr>
          <w:rFonts w:hint="default" w:ascii="Times New Roman" w:hAnsi="Times New Roman" w:eastAsia="方正仿宋_GBK" w:cs="Times New Roman"/>
          <w:color w:val="000000"/>
          <w:kern w:val="2"/>
          <w:sz w:val="32"/>
          <w:szCs w:val="84"/>
          <w:lang w:val="en-US" w:eastAsia="zh-CN" w:bidi="ar"/>
        </w:rPr>
        <w:t>规定</w:t>
      </w:r>
      <w:r>
        <w:rPr>
          <w:rFonts w:hint="default" w:ascii="Times New Roman" w:hAnsi="Times New Roman" w:eastAsia="方正仿宋_GBK" w:cs="Times New Roman"/>
          <w:sz w:val="32"/>
          <w:szCs w:val="32"/>
          <w:highlight w:val="none"/>
        </w:rPr>
        <w:t>，同意该项目临时</w:t>
      </w:r>
      <w:r>
        <w:rPr>
          <w:rFonts w:hint="eastAsia" w:eastAsia="方正仿宋_GBK" w:cs="Times New Roman"/>
          <w:sz w:val="32"/>
          <w:szCs w:val="32"/>
          <w:highlight w:val="none"/>
          <w:lang w:eastAsia="zh-CN"/>
        </w:rPr>
        <w:t>使用土地</w:t>
      </w:r>
      <w:r>
        <w:rPr>
          <w:rFonts w:hint="eastAsia" w:eastAsia="方正仿宋_GBK" w:cs="Times New Roman"/>
          <w:color w:val="000000"/>
          <w:kern w:val="2"/>
          <w:sz w:val="32"/>
          <w:szCs w:val="84"/>
          <w:lang w:val="en-US" w:eastAsia="zh-CN" w:bidi="ar"/>
        </w:rPr>
        <w:t>27.4637</w:t>
      </w:r>
      <w:r>
        <w:rPr>
          <w:rFonts w:hint="eastAsia"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color w:val="000000"/>
          <w:kern w:val="2"/>
          <w:sz w:val="32"/>
          <w:szCs w:val="84"/>
          <w:lang w:val="en-US" w:eastAsia="zh-CN" w:bidi="ar"/>
        </w:rPr>
        <w:t>其中农用地</w:t>
      </w:r>
      <w:r>
        <w:rPr>
          <w:rFonts w:hint="eastAsia" w:eastAsia="方正仿宋_GBK" w:cs="Times New Roman"/>
          <w:color w:val="000000"/>
          <w:kern w:val="2"/>
          <w:sz w:val="32"/>
          <w:szCs w:val="84"/>
          <w:lang w:val="en-US" w:eastAsia="zh-CN" w:bidi="ar"/>
        </w:rPr>
        <w:t>26.3736</w:t>
      </w:r>
      <w:r>
        <w:rPr>
          <w:rFonts w:hint="default"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sz w:val="32"/>
          <w:szCs w:val="32"/>
          <w:highlight w:val="none"/>
        </w:rPr>
        <w:t>耕地</w:t>
      </w:r>
      <w:r>
        <w:rPr>
          <w:rFonts w:hint="eastAsia" w:eastAsia="方正仿宋_GBK" w:cs="Times New Roman"/>
          <w:sz w:val="32"/>
          <w:szCs w:val="32"/>
          <w:highlight w:val="none"/>
          <w:lang w:val="en-US" w:eastAsia="zh-CN"/>
        </w:rPr>
        <w:t>12.4560</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val="en-US" w:eastAsia="zh-CN"/>
        </w:rPr>
        <w:t>，园地1.6857公顷，林地7.8527公顷，草地0.6583公顷，其</w:t>
      </w:r>
      <w:r>
        <w:rPr>
          <w:rFonts w:hint="default" w:ascii="Times New Roman" w:hAnsi="Times New Roman" w:eastAsia="方正仿宋_GBK" w:cs="Times New Roman"/>
          <w:sz w:val="32"/>
          <w:szCs w:val="32"/>
          <w:highlight w:val="none"/>
        </w:rPr>
        <w:t>他农用地</w:t>
      </w:r>
      <w:r>
        <w:rPr>
          <w:rFonts w:hint="eastAsia" w:eastAsia="方正仿宋_GBK" w:cs="Times New Roman"/>
          <w:sz w:val="32"/>
          <w:szCs w:val="32"/>
          <w:highlight w:val="none"/>
          <w:lang w:val="en-US" w:eastAsia="zh-CN"/>
        </w:rPr>
        <w:t>3.7209</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eastAsia="zh-CN"/>
        </w:rPr>
        <w:t>，</w:t>
      </w:r>
      <w:r>
        <w:rPr>
          <w:rFonts w:hint="default" w:ascii="Times New Roman" w:hAnsi="Times New Roman" w:eastAsia="方正仿宋_GBK" w:cs="Times New Roman"/>
          <w:color w:val="000000"/>
          <w:kern w:val="2"/>
          <w:sz w:val="32"/>
          <w:szCs w:val="84"/>
          <w:lang w:val="en-US" w:eastAsia="zh-CN" w:bidi="ar"/>
        </w:rPr>
        <w:t>建设用地</w:t>
      </w:r>
      <w:r>
        <w:rPr>
          <w:rFonts w:hint="eastAsia" w:eastAsia="方正仿宋_GBK" w:cs="Times New Roman"/>
          <w:color w:val="000000"/>
          <w:kern w:val="2"/>
          <w:sz w:val="32"/>
          <w:szCs w:val="84"/>
          <w:lang w:val="en-US" w:eastAsia="zh-CN" w:bidi="ar"/>
        </w:rPr>
        <w:t>0.4816公顷，</w:t>
      </w:r>
      <w:r>
        <w:rPr>
          <w:rFonts w:hint="default" w:ascii="Times New Roman" w:hAnsi="Times New Roman" w:eastAsia="方正仿宋_GBK" w:cs="Times New Roman"/>
          <w:color w:val="000000"/>
          <w:kern w:val="2"/>
          <w:sz w:val="32"/>
          <w:szCs w:val="84"/>
          <w:lang w:val="en-US" w:eastAsia="zh-CN" w:bidi="ar"/>
        </w:rPr>
        <w:t>未利用地</w:t>
      </w:r>
      <w:r>
        <w:rPr>
          <w:rFonts w:hint="eastAsia" w:eastAsia="方正仿宋_GBK" w:cs="Times New Roman"/>
          <w:color w:val="000000"/>
          <w:kern w:val="2"/>
          <w:sz w:val="32"/>
          <w:szCs w:val="84"/>
          <w:lang w:val="en-US" w:eastAsia="zh-CN" w:bidi="ar"/>
        </w:rPr>
        <w:t>0.6085公顷。该项目涉及占用</w:t>
      </w:r>
      <w:r>
        <w:rPr>
          <w:rFonts w:hint="eastAsia" w:eastAsia="方正仿宋_GBK" w:cs="Times New Roman"/>
          <w:sz w:val="32"/>
          <w:szCs w:val="32"/>
          <w:highlight w:val="none"/>
          <w:lang w:eastAsia="zh-CN"/>
        </w:rPr>
        <w:t>永久基本农田</w:t>
      </w:r>
      <w:r>
        <w:rPr>
          <w:rFonts w:hint="eastAsia" w:eastAsia="方正仿宋_GBK" w:cs="Times New Roman"/>
          <w:sz w:val="32"/>
          <w:szCs w:val="32"/>
          <w:highlight w:val="none"/>
          <w:lang w:val="en-US" w:eastAsia="zh-CN"/>
        </w:rPr>
        <w:t>10.8962公顷</w:t>
      </w:r>
      <w:r>
        <w:rPr>
          <w:rFonts w:hint="eastAsia" w:eastAsia="方正仿宋_GBK" w:cs="Times New Roman"/>
          <w:sz w:val="32"/>
          <w:szCs w:val="32"/>
          <w:highlight w:val="none"/>
          <w:lang w:eastAsia="zh-CN"/>
        </w:rPr>
        <w:t>，涉及</w:t>
      </w:r>
      <w:r>
        <w:rPr>
          <w:rFonts w:hint="eastAsia" w:eastAsia="方正仿宋_GBK" w:cs="Times New Roman"/>
          <w:color w:val="000000"/>
          <w:kern w:val="2"/>
          <w:sz w:val="32"/>
          <w:szCs w:val="84"/>
          <w:lang w:val="en-US" w:eastAsia="zh-CN" w:bidi="ar"/>
        </w:rPr>
        <w:t>占用生态保护红线范围内用地2.4787公顷。临时用地使用期限3年，自2025年3月12日至2028年3月11日。该临时用地主要作为地下管线敷设、地上线路架设、施工便道、临时办公用房、弃土（渣）场、勘查作业及其辅助工程临时用地。</w:t>
      </w:r>
    </w:p>
    <w:p>
      <w:pPr>
        <w:spacing w:line="480" w:lineRule="exact"/>
        <w:ind w:firstLine="640" w:firstLineChars="200"/>
        <w:rPr>
          <w:rFonts w:hint="default" w:ascii="Times New Roman" w:hAnsi="Times New Roman" w:eastAsia="方正仿宋_GBK" w:cs="Times New Roman"/>
          <w:color w:val="000000"/>
          <w:kern w:val="2"/>
          <w:sz w:val="32"/>
          <w:szCs w:val="84"/>
          <w:lang w:val="en-US" w:eastAsia="zh-CN" w:bidi="ar"/>
        </w:rPr>
      </w:pPr>
      <w:r>
        <w:rPr>
          <w:rFonts w:hint="eastAsia" w:ascii="Times New Roman" w:hAnsi="Times New Roman" w:eastAsia="方正仿宋_GBK" w:cs="Times New Roman"/>
          <w:color w:val="000000"/>
          <w:kern w:val="2"/>
          <w:sz w:val="32"/>
          <w:szCs w:val="84"/>
          <w:lang w:val="en-US" w:eastAsia="zh-CN" w:bidi="ar"/>
        </w:rPr>
        <w:t>二、</w:t>
      </w:r>
      <w:r>
        <w:rPr>
          <w:rFonts w:hint="eastAsia" w:ascii="宋体" w:hAnsi="宋体" w:eastAsia="方正仿宋_GBK" w:cs="方正仿宋_GBK"/>
          <w:sz w:val="32"/>
          <w:szCs w:val="32"/>
        </w:rPr>
        <w:t>你单位应履行林草、水务等主管部门相关规定。</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三、临时用地使用前，必须按与原土地使用权人签订临时用地合同并足额支付临时使用土地的补偿费用。</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四、临时用地使用期满，必须严格按照《土地复垦方案》中确定的土地复垦要求和标准，做好复垦计划，履行土地复垦职责和义务，确保耕地数量不减少，土地复垦保质、保量并按期完成。</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五、用地单位应严格落实</w:t>
      </w:r>
      <w:r>
        <w:rPr>
          <w:rFonts w:ascii="宋体" w:hAnsi="宋体" w:eastAsia="方正仿宋_GBK" w:cs="方正仿宋_GBK"/>
          <w:sz w:val="32"/>
          <w:szCs w:val="32"/>
        </w:rPr>
        <w:t>“</w:t>
      </w:r>
      <w:r>
        <w:rPr>
          <w:rFonts w:hint="eastAsia" w:ascii="宋体" w:hAnsi="宋体" w:eastAsia="方正仿宋_GBK" w:cs="方正仿宋_GBK"/>
          <w:sz w:val="32"/>
          <w:szCs w:val="32"/>
        </w:rPr>
        <w:t>耕作层剥离</w:t>
      </w:r>
      <w:r>
        <w:rPr>
          <w:rFonts w:ascii="宋体" w:hAnsi="宋体" w:eastAsia="方正仿宋_GBK" w:cs="方正仿宋_GBK"/>
          <w:sz w:val="32"/>
          <w:szCs w:val="32"/>
        </w:rPr>
        <w:t>”</w:t>
      </w:r>
      <w:r>
        <w:rPr>
          <w:rFonts w:hint="eastAsia" w:ascii="宋体" w:hAnsi="宋体" w:eastAsia="方正仿宋_GBK" w:cs="方正仿宋_GBK"/>
          <w:sz w:val="32"/>
          <w:szCs w:val="32"/>
        </w:rPr>
        <w:t>等相关工作，主动向</w:t>
      </w:r>
      <w:r>
        <w:rPr>
          <w:rFonts w:hint="eastAsia" w:ascii="宋体" w:hAnsi="宋体" w:eastAsia="方正仿宋_GBK" w:cs="方正仿宋_GBK"/>
          <w:sz w:val="32"/>
          <w:szCs w:val="32"/>
          <w:lang w:eastAsia="zh-CN"/>
        </w:rPr>
        <w:t>华宁县</w:t>
      </w:r>
      <w:r>
        <w:rPr>
          <w:rFonts w:hint="eastAsia" w:ascii="宋体" w:hAnsi="宋体" w:eastAsia="方正仿宋_GBK" w:cs="方正仿宋_GBK"/>
          <w:sz w:val="32"/>
          <w:szCs w:val="32"/>
        </w:rPr>
        <w:t>自然资源主管部门报告临时用地使用和复垦情况，接受各级自然资源主管部门的监督和检查。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sz w:val="32"/>
          <w:szCs w:val="32"/>
          <w:highlight w:val="none"/>
        </w:rPr>
      </w:pPr>
      <w:r>
        <w:rPr>
          <w:rFonts w:hint="eastAsia" w:ascii="宋体" w:hAnsi="宋体" w:eastAsia="方正仿宋_GBK" w:cs="方正仿宋_GBK"/>
          <w:sz w:val="32"/>
          <w:szCs w:val="32"/>
        </w:rPr>
        <w:t>六、请用地单位严格按照批准的用途使用，不得修建永久性设施。自然资源主管部门将加强对临时用地使用情况的监管，擅自突破临时用地批准范围及用途使用的将严肃查处。</w:t>
      </w:r>
    </w:p>
    <w:p>
      <w:pPr>
        <w:pageBreakBefore w:val="0"/>
        <w:widowControl/>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0" w:firstLineChars="1500"/>
        <w:jc w:val="both"/>
        <w:textAlignment w:val="auto"/>
        <w:outlineLvl w:val="9"/>
        <w:rPr>
          <w:rFonts w:hint="eastAsia" w:ascii="宋体" w:hAnsi="宋体" w:eastAsia="方正仿宋_GBK" w:cs="方正仿宋_GBK"/>
          <w:sz w:val="32"/>
          <w:szCs w:val="32"/>
          <w:lang w:eastAsia="zh-CN"/>
        </w:rPr>
      </w:pPr>
      <w:bookmarkStart w:id="1" w:name="_GoBack"/>
      <w:bookmarkEnd w:id="1"/>
      <w:r>
        <w:rPr>
          <w:rFonts w:hint="eastAsia" w:ascii="宋体" w:hAnsi="宋体" w:eastAsia="方正仿宋_GBK" w:cs="方正仿宋_GBK"/>
          <w:sz w:val="32"/>
          <w:szCs w:val="32"/>
          <w:lang w:eastAsia="zh-CN"/>
        </w:rPr>
        <w:t>玉溪市自然资源和规划局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宋体" w:hAnsi="宋体" w:eastAsia="方正仿宋_GBK" w:cs="方正仿宋_GBK"/>
          <w:sz w:val="32"/>
          <w:szCs w:val="32"/>
          <w:lang w:eastAsia="zh-CN"/>
        </w:rPr>
        <w:t>　　　　</w:t>
      </w:r>
      <w:r>
        <w:rPr>
          <w:rFonts w:hint="default" w:ascii="宋体" w:hAnsi="宋体" w:eastAsia="方正仿宋_GBK" w:cs="方正仿宋_GBK"/>
          <w:sz w:val="32"/>
          <w:szCs w:val="32"/>
          <w:lang w:val="en-US"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202</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lang w:val="en-US" w:eastAsia="zh-CN"/>
        </w:rPr>
        <w:t>日</w:t>
      </w:r>
    </w:p>
    <w:p>
      <w:pPr>
        <w:pageBreakBefore w:val="0"/>
        <w:kinsoku/>
        <w:wordWrap/>
        <w:overflowPunct/>
        <w:topLinePunct w:val="0"/>
        <w:autoSpaceDE/>
        <w:autoSpaceDN/>
        <w:bidi w:val="0"/>
        <w:adjustRightInd/>
        <w:spacing w:line="540" w:lineRule="exact"/>
        <w:jc w:val="both"/>
        <w:textAlignment w:val="auto"/>
        <w:rPr>
          <w:rFonts w:hint="eastAsia" w:eastAsia="方正仿宋_GBK"/>
          <w:sz w:val="32"/>
          <w:szCs w:val="32"/>
          <w:highlight w:val="none"/>
        </w:rPr>
      </w:pPr>
    </w:p>
    <w:p>
      <w:pPr>
        <w:pStyle w:val="3"/>
        <w:rPr>
          <w:rFonts w:hint="eastAsia" w:eastAsia="方正仿宋_GBK"/>
          <w:sz w:val="32"/>
          <w:szCs w:val="32"/>
          <w:highlight w:val="none"/>
        </w:rPr>
      </w:pPr>
    </w:p>
    <w:p>
      <w:pPr>
        <w:rPr>
          <w:rFonts w:hint="eastAsia"/>
        </w:rPr>
      </w:pPr>
    </w:p>
    <w:p>
      <w:pPr>
        <w:rPr>
          <w:rFonts w:hint="eastAsia"/>
        </w:rPr>
      </w:pPr>
    </w:p>
    <w:p>
      <w:pPr>
        <w:rPr>
          <w:rFonts w:hint="eastAsia"/>
        </w:rPr>
      </w:pPr>
    </w:p>
    <w:p>
      <w:pPr>
        <w:tabs>
          <w:tab w:val="left" w:pos="4860"/>
        </w:tabs>
        <w:spacing w:line="500" w:lineRule="exact"/>
        <w:ind w:firstLine="358" w:firstLineChars="128"/>
        <w:rPr>
          <w:rFonts w:hint="eastAsia" w:eastAsia="方正仿宋_GBK"/>
          <w:sz w:val="28"/>
          <w:szCs w:val="28"/>
          <w:highlight w:val="none"/>
        </w:rPr>
      </w:pPr>
      <w:r>
        <w:rPr>
          <w:rFonts w:eastAsia="方正仿宋_GBK"/>
          <w:sz w:val="28"/>
          <w:szCs w:val="28"/>
          <w:highlight w:val="none"/>
        </w:rPr>
        <w:pict>
          <v:line id="直线 8" o:spid="_x0000_s1028" o:spt="20" style="position:absolute;left:0pt;margin-left:0pt;margin-top:1.15pt;height:0pt;width:442.2pt;z-index:251663360;mso-width-relative:page;mso-height-relative:page;" filled="f" stroked="t" coordsize="21600,21600">
            <v:path arrowok="t"/>
            <v:fill on="f" focussize="0,0"/>
            <v:stroke weight="1pt" imagealignshape="1"/>
            <v:imagedata o:title=""/>
            <o:lock v:ext="edit"/>
          </v:line>
        </w:pict>
      </w:r>
      <w:r>
        <w:rPr>
          <w:rFonts w:eastAsia="方正仿宋_GBK"/>
          <w:sz w:val="28"/>
          <w:szCs w:val="28"/>
          <w:highlight w:val="none"/>
        </w:rPr>
        <w:t>抄送：</w:t>
      </w:r>
      <w:r>
        <w:rPr>
          <w:rFonts w:hint="eastAsia" w:eastAsia="方正仿宋_GBK"/>
          <w:sz w:val="28"/>
          <w:szCs w:val="28"/>
          <w:highlight w:val="none"/>
          <w:lang w:eastAsia="zh-CN"/>
        </w:rPr>
        <w:t>市税务局、市林草局、市水利局，华宁县自然资源局。</w:t>
      </w:r>
      <w:r>
        <w:rPr>
          <w:rFonts w:hint="eastAsia" w:eastAsia="方正仿宋_GBK"/>
          <w:sz w:val="28"/>
          <w:szCs w:val="28"/>
          <w:highlight w:val="none"/>
        </w:rPr>
        <w:t xml:space="preserve"> </w:t>
      </w:r>
    </w:p>
    <w:p>
      <w:pPr>
        <w:tabs>
          <w:tab w:val="left" w:pos="4860"/>
        </w:tabs>
        <w:spacing w:line="590" w:lineRule="exact"/>
        <w:ind w:firstLine="280" w:firstLineChars="100"/>
        <w:rPr>
          <w:rFonts w:eastAsia="方正仿宋_GBK"/>
          <w:sz w:val="28"/>
          <w:szCs w:val="28"/>
          <w:highlight w:val="none"/>
        </w:rPr>
      </w:pPr>
      <w:r>
        <w:rPr>
          <w:rFonts w:eastAsia="方正仿宋_GBK"/>
          <w:sz w:val="28"/>
          <w:szCs w:val="28"/>
          <w:highlight w:val="none"/>
        </w:rPr>
        <w:pict>
          <v:line id="直线 9" o:spid="_x0000_s1029" o:spt="20" style="position:absolute;left:0pt;margin-left:0pt;margin-top:5.1pt;height:0pt;width:442.2pt;z-index:251664384;mso-width-relative:page;mso-height-relative:page;" filled="f" stroked="t" coordsize="21600,21600">
            <v:path arrowok="t"/>
            <v:fill on="f" focussize="0,0"/>
            <v:stroke imagealignshape="1"/>
            <v:imagedata o:title=""/>
            <o:lock v:ext="edit"/>
          </v:line>
        </w:pict>
      </w:r>
      <w:r>
        <w:rPr>
          <w:rFonts w:eastAsia="方正仿宋_GBK"/>
          <w:sz w:val="28"/>
          <w:szCs w:val="28"/>
          <w:highlight w:val="none"/>
        </w:rPr>
        <w:t>玉溪市</w:t>
      </w:r>
      <w:r>
        <w:rPr>
          <w:rFonts w:hint="eastAsia" w:eastAsia="方正仿宋_GBK"/>
          <w:sz w:val="28"/>
          <w:szCs w:val="28"/>
          <w:highlight w:val="none"/>
          <w:lang w:eastAsia="zh-CN"/>
        </w:rPr>
        <w:t>自然</w:t>
      </w:r>
      <w:r>
        <w:rPr>
          <w:rFonts w:eastAsia="方正仿宋_GBK"/>
          <w:sz w:val="28"/>
          <w:szCs w:val="28"/>
          <w:highlight w:val="none"/>
        </w:rPr>
        <w:t>资源</w:t>
      </w:r>
      <w:r>
        <w:rPr>
          <w:rFonts w:hint="eastAsia" w:eastAsia="方正仿宋_GBK"/>
          <w:sz w:val="28"/>
          <w:szCs w:val="28"/>
          <w:highlight w:val="none"/>
          <w:lang w:eastAsia="zh-CN"/>
        </w:rPr>
        <w:t>和规划</w:t>
      </w:r>
      <w:r>
        <w:rPr>
          <w:rFonts w:eastAsia="方正仿宋_GBK"/>
          <w:sz w:val="28"/>
          <w:szCs w:val="28"/>
          <w:highlight w:val="none"/>
        </w:rPr>
        <w:t xml:space="preserve">局办公室       </w:t>
      </w:r>
      <w:r>
        <w:rPr>
          <w:rFonts w:hint="eastAsia" w:eastAsia="方正仿宋_GBK"/>
          <w:sz w:val="28"/>
          <w:szCs w:val="28"/>
          <w:highlight w:val="none"/>
          <w:lang w:val="en-US" w:eastAsia="zh-CN"/>
        </w:rPr>
        <w:t xml:space="preserve">  </w:t>
      </w:r>
      <w:r>
        <w:rPr>
          <w:rFonts w:eastAsia="方正仿宋_GBK"/>
          <w:sz w:val="28"/>
          <w:szCs w:val="28"/>
          <w:highlight w:val="none"/>
        </w:rPr>
        <w:t xml:space="preserve">   </w:t>
      </w:r>
      <w:r>
        <w:rPr>
          <w:rFonts w:hint="eastAsia" w:eastAsia="方正仿宋_GBK"/>
          <w:sz w:val="28"/>
          <w:szCs w:val="28"/>
          <w:highlight w:val="none"/>
          <w:lang w:eastAsia="zh-CN"/>
        </w:rPr>
        <w:t>202</w:t>
      </w:r>
      <w:r>
        <w:rPr>
          <w:rFonts w:hint="eastAsia" w:eastAsia="方正仿宋_GBK"/>
          <w:sz w:val="28"/>
          <w:szCs w:val="28"/>
          <w:highlight w:val="none"/>
          <w:lang w:val="en-US" w:eastAsia="zh-CN"/>
        </w:rPr>
        <w:t>5</w:t>
      </w:r>
      <w:r>
        <w:rPr>
          <w:rFonts w:eastAsia="方正仿宋_GBK"/>
          <w:sz w:val="28"/>
          <w:szCs w:val="28"/>
          <w:highlight w:val="none"/>
        </w:rPr>
        <w:t>年</w:t>
      </w:r>
      <w:r>
        <w:rPr>
          <w:rFonts w:hint="eastAsia" w:eastAsia="方正仿宋_GBK"/>
          <w:sz w:val="28"/>
          <w:szCs w:val="28"/>
          <w:highlight w:val="none"/>
          <w:lang w:val="en-US" w:eastAsia="zh-CN"/>
        </w:rPr>
        <w:t>3</w:t>
      </w:r>
      <w:r>
        <w:rPr>
          <w:rFonts w:eastAsia="方正仿宋_GBK"/>
          <w:sz w:val="28"/>
          <w:szCs w:val="28"/>
          <w:highlight w:val="none"/>
        </w:rPr>
        <w:t>月</w:t>
      </w:r>
      <w:r>
        <w:rPr>
          <w:rFonts w:hint="eastAsia" w:eastAsia="方正仿宋_GBK"/>
          <w:sz w:val="28"/>
          <w:szCs w:val="28"/>
          <w:highlight w:val="none"/>
          <w:lang w:val="en-US" w:eastAsia="zh-CN"/>
        </w:rPr>
        <w:t>12</w:t>
      </w:r>
      <w:r>
        <w:rPr>
          <w:rFonts w:eastAsia="方正仿宋_GBK"/>
          <w:sz w:val="28"/>
          <w:szCs w:val="28"/>
          <w:highlight w:val="none"/>
        </w:rPr>
        <w:t>日印发</w:t>
      </w:r>
    </w:p>
    <w:p>
      <w:r>
        <w:rPr>
          <w:sz w:val="18"/>
          <w:szCs w:val="18"/>
          <w:highlight w:val="none"/>
        </w:rPr>
        <w:pict>
          <v:line id="直线 7" o:spid="_x0000_s1030" o:spt="20" style="position:absolute;left:0pt;margin-left:0pt;margin-top:4.55pt;height:0pt;width:442.2pt;z-index:251662336;mso-width-relative:page;mso-height-relative:page;" filled="f" stroked="t" coordsize="21600,21600">
            <v:path arrowok="t"/>
            <v:fill on="f" focussize="0,0"/>
            <v:stroke weight="1pt" imagealignshape="1"/>
            <v:imagedata o:title=""/>
            <o:lock v:ext="edit"/>
          </v:line>
        </w:pict>
      </w:r>
    </w:p>
    <w:sectPr>
      <w:footerReference r:id="rId3" w:type="default"/>
      <w:footerReference r:id="rId4" w:type="even"/>
      <w:pgSz w:w="11906" w:h="16838"/>
      <w:pgMar w:top="1440" w:right="134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1"/>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left:19.5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WM3NzNkYTUwZWNmN2M2ZTMzNWRjY2Q3MzVhYmEifQ=="/>
  </w:docVars>
  <w:rsids>
    <w:rsidRoot w:val="00172A27"/>
    <w:rsid w:val="01192C1F"/>
    <w:rsid w:val="01663029"/>
    <w:rsid w:val="01B37772"/>
    <w:rsid w:val="02263176"/>
    <w:rsid w:val="02933FC4"/>
    <w:rsid w:val="02AD3EAC"/>
    <w:rsid w:val="02E15F84"/>
    <w:rsid w:val="02F70D3E"/>
    <w:rsid w:val="03706D08"/>
    <w:rsid w:val="03B47F87"/>
    <w:rsid w:val="06DE151D"/>
    <w:rsid w:val="07024832"/>
    <w:rsid w:val="07EB7E83"/>
    <w:rsid w:val="08B82D1E"/>
    <w:rsid w:val="08C97D36"/>
    <w:rsid w:val="090174F2"/>
    <w:rsid w:val="09CB189C"/>
    <w:rsid w:val="09F05B2D"/>
    <w:rsid w:val="0A203EEE"/>
    <w:rsid w:val="0A4F1460"/>
    <w:rsid w:val="0AE3060A"/>
    <w:rsid w:val="0B163D2C"/>
    <w:rsid w:val="0C4274CE"/>
    <w:rsid w:val="0D186FCA"/>
    <w:rsid w:val="0DCC7572"/>
    <w:rsid w:val="0E3F20FC"/>
    <w:rsid w:val="0EC046DA"/>
    <w:rsid w:val="0FDF32F1"/>
    <w:rsid w:val="125461A3"/>
    <w:rsid w:val="14542C1E"/>
    <w:rsid w:val="155E10B4"/>
    <w:rsid w:val="16094BB9"/>
    <w:rsid w:val="17195324"/>
    <w:rsid w:val="17516470"/>
    <w:rsid w:val="17A41FBA"/>
    <w:rsid w:val="184A6FDF"/>
    <w:rsid w:val="188409A9"/>
    <w:rsid w:val="18B8609B"/>
    <w:rsid w:val="18CD0120"/>
    <w:rsid w:val="199155F1"/>
    <w:rsid w:val="1A2B77F4"/>
    <w:rsid w:val="1A312930"/>
    <w:rsid w:val="1C667D4D"/>
    <w:rsid w:val="1CB82E95"/>
    <w:rsid w:val="1E2A6014"/>
    <w:rsid w:val="1EA16EE4"/>
    <w:rsid w:val="2002317E"/>
    <w:rsid w:val="204752C1"/>
    <w:rsid w:val="209A6A6C"/>
    <w:rsid w:val="20CE2C87"/>
    <w:rsid w:val="20F6197C"/>
    <w:rsid w:val="217469C2"/>
    <w:rsid w:val="226D5989"/>
    <w:rsid w:val="231310B2"/>
    <w:rsid w:val="24284802"/>
    <w:rsid w:val="244514B2"/>
    <w:rsid w:val="24EC7B7F"/>
    <w:rsid w:val="250C0222"/>
    <w:rsid w:val="25704622"/>
    <w:rsid w:val="2604539D"/>
    <w:rsid w:val="27524536"/>
    <w:rsid w:val="27B0758A"/>
    <w:rsid w:val="27E308FA"/>
    <w:rsid w:val="28577A06"/>
    <w:rsid w:val="28E3573D"/>
    <w:rsid w:val="28FE60D3"/>
    <w:rsid w:val="2C1D0F66"/>
    <w:rsid w:val="2CE550C6"/>
    <w:rsid w:val="2D1265F1"/>
    <w:rsid w:val="2D9E1C33"/>
    <w:rsid w:val="2DC0604D"/>
    <w:rsid w:val="2DF053F2"/>
    <w:rsid w:val="2EB37960"/>
    <w:rsid w:val="2EF2593B"/>
    <w:rsid w:val="2F380AB3"/>
    <w:rsid w:val="2F9D1FCB"/>
    <w:rsid w:val="2FC811E9"/>
    <w:rsid w:val="301E0500"/>
    <w:rsid w:val="317474F4"/>
    <w:rsid w:val="333F612E"/>
    <w:rsid w:val="334212B2"/>
    <w:rsid w:val="33D2680A"/>
    <w:rsid w:val="34A43FD3"/>
    <w:rsid w:val="35C3783F"/>
    <w:rsid w:val="35C91817"/>
    <w:rsid w:val="36D07087"/>
    <w:rsid w:val="37113475"/>
    <w:rsid w:val="37DF38D1"/>
    <w:rsid w:val="38683DB9"/>
    <w:rsid w:val="3914549F"/>
    <w:rsid w:val="3A0542B4"/>
    <w:rsid w:val="3A925D3E"/>
    <w:rsid w:val="3B2B6574"/>
    <w:rsid w:val="3BD333EF"/>
    <w:rsid w:val="3C6E14D2"/>
    <w:rsid w:val="3D494D13"/>
    <w:rsid w:val="3D85696B"/>
    <w:rsid w:val="41A1494A"/>
    <w:rsid w:val="41C23CEA"/>
    <w:rsid w:val="41E81277"/>
    <w:rsid w:val="42976F25"/>
    <w:rsid w:val="44676DCB"/>
    <w:rsid w:val="44AB6CB7"/>
    <w:rsid w:val="45901B69"/>
    <w:rsid w:val="462C5BD6"/>
    <w:rsid w:val="469A6FE4"/>
    <w:rsid w:val="47D47949"/>
    <w:rsid w:val="48931F3C"/>
    <w:rsid w:val="49262359"/>
    <w:rsid w:val="49753D38"/>
    <w:rsid w:val="49F065E1"/>
    <w:rsid w:val="4A275032"/>
    <w:rsid w:val="4A590F64"/>
    <w:rsid w:val="4ACD15C8"/>
    <w:rsid w:val="4B5963D0"/>
    <w:rsid w:val="4B5B216E"/>
    <w:rsid w:val="4D462CB0"/>
    <w:rsid w:val="4DA81914"/>
    <w:rsid w:val="4E046F84"/>
    <w:rsid w:val="4F5A7C58"/>
    <w:rsid w:val="4F8545A9"/>
    <w:rsid w:val="4FC926E8"/>
    <w:rsid w:val="50B87B68"/>
    <w:rsid w:val="519965AA"/>
    <w:rsid w:val="52113482"/>
    <w:rsid w:val="539A1B69"/>
    <w:rsid w:val="55161188"/>
    <w:rsid w:val="565A20B7"/>
    <w:rsid w:val="56AB4847"/>
    <w:rsid w:val="572B3C88"/>
    <w:rsid w:val="57711FE2"/>
    <w:rsid w:val="58112332"/>
    <w:rsid w:val="585445C0"/>
    <w:rsid w:val="592D68D0"/>
    <w:rsid w:val="5A184997"/>
    <w:rsid w:val="5B7200D7"/>
    <w:rsid w:val="5C084B5B"/>
    <w:rsid w:val="5C631540"/>
    <w:rsid w:val="5DAA7FFC"/>
    <w:rsid w:val="5F357D99"/>
    <w:rsid w:val="5F5024DD"/>
    <w:rsid w:val="5F6B37BB"/>
    <w:rsid w:val="5FA6034F"/>
    <w:rsid w:val="60FF080C"/>
    <w:rsid w:val="613F142F"/>
    <w:rsid w:val="61E00D03"/>
    <w:rsid w:val="62377985"/>
    <w:rsid w:val="62793505"/>
    <w:rsid w:val="65266CB0"/>
    <w:rsid w:val="653149E5"/>
    <w:rsid w:val="65C33931"/>
    <w:rsid w:val="663F09D3"/>
    <w:rsid w:val="664663E8"/>
    <w:rsid w:val="66AE577D"/>
    <w:rsid w:val="67201D84"/>
    <w:rsid w:val="672A3F5C"/>
    <w:rsid w:val="673B7F17"/>
    <w:rsid w:val="67530DBD"/>
    <w:rsid w:val="68112A26"/>
    <w:rsid w:val="688854D4"/>
    <w:rsid w:val="69BF90BB"/>
    <w:rsid w:val="6C411314"/>
    <w:rsid w:val="6C557385"/>
    <w:rsid w:val="6C57134F"/>
    <w:rsid w:val="6CDA3D2E"/>
    <w:rsid w:val="6CDC3E0C"/>
    <w:rsid w:val="6D566B52"/>
    <w:rsid w:val="6D964A8C"/>
    <w:rsid w:val="6EBC7B8F"/>
    <w:rsid w:val="71EC1E95"/>
    <w:rsid w:val="71F31ECC"/>
    <w:rsid w:val="73A17354"/>
    <w:rsid w:val="74123DAE"/>
    <w:rsid w:val="77E12415"/>
    <w:rsid w:val="77FE0046"/>
    <w:rsid w:val="783945C6"/>
    <w:rsid w:val="798E2128"/>
    <w:rsid w:val="799203E4"/>
    <w:rsid w:val="7B8769A1"/>
    <w:rsid w:val="7C2757EA"/>
    <w:rsid w:val="7C4D62CB"/>
    <w:rsid w:val="7E430EC7"/>
    <w:rsid w:val="7E534871"/>
    <w:rsid w:val="7E8671C3"/>
    <w:rsid w:val="7E9755DB"/>
    <w:rsid w:val="7FE812C1"/>
    <w:rsid w:val="F7EFC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内容"/>
    <w:qFormat/>
    <w:uiPriority w:val="0"/>
    <w:pPr>
      <w:widowControl w:val="0"/>
      <w:adjustRightInd w:val="0"/>
      <w:snapToGrid w:val="0"/>
      <w:spacing w:line="600" w:lineRule="exact"/>
      <w:ind w:firstLine="200" w:firstLineChars="200"/>
      <w:jc w:val="both"/>
      <w:textAlignment w:val="center"/>
    </w:pPr>
    <w:rPr>
      <w:rFonts w:ascii="Times New Roman" w:hAnsi="Times New Roman" w:eastAsia="仿宋" w:cs="Times New Roman"/>
      <w:color w:val="000000"/>
      <w:kern w:val="2"/>
      <w:sz w:val="30"/>
      <w:szCs w:val="28"/>
      <w:lang w:val="en-US" w:eastAsia="zh-CN" w:bidi="ar-SA"/>
    </w:rPr>
  </w:style>
  <w:style w:type="paragraph" w:styleId="4">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5">
    <w:name w:val="Body Text Indent"/>
    <w:basedOn w:val="1"/>
    <w:qFormat/>
    <w:uiPriority w:val="0"/>
    <w:pPr>
      <w:ind w:firstLine="630"/>
    </w:pPr>
    <w:rPr>
      <w:rFonts w:ascii="黑体" w:eastAsia="黑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spacing w:line="360" w:lineRule="auto"/>
      <w:ind w:firstLine="420" w:firstLineChars="200"/>
    </w:pPr>
    <w:rPr>
      <w:sz w:val="24"/>
    </w:r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756</Words>
  <Characters>843</Characters>
  <Lines>0</Lines>
  <Paragraphs>0</Paragraphs>
  <TotalTime>144</TotalTime>
  <ScaleCrop>false</ScaleCrop>
  <LinksUpToDate>false</LinksUpToDate>
  <CharactersWithSpaces>881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2022-07-09T00:07:00Z</dcterms:created>
  <dc:creator>蓝旋</dc:creator>
  <cp:lastModifiedBy>user</cp:lastModifiedBy>
  <dcterms:modified xsi:type="dcterms:W3CDTF">2025-03-13T11:04:49Z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F37565C61A004ED6B779DF293BBACB87</vt:lpwstr>
  </property>
  <property fmtid="{D5CDD505-2E9C-101B-9397-08002B2CF9AE}" pid="4" name="docranid">
    <vt:lpwstr>C713F4EB3A084C6D9DB87CCD6F81B645</vt:lpwstr>
  </property>
  <property fmtid="{D5CDD505-2E9C-101B-9397-08002B2CF9AE}" pid="5" name="KSOTemplateDocerSaveRecord">
    <vt:lpwstr>eyJoZGlkIjoiY2VjMWM3NzNkYTUwZWNmN2M2ZTMzNWRjY2Q3MzVhYmEifQ==</vt:lpwstr>
  </property>
</Properties>
</file>