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CF3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0"/>
        <w:rPr>
          <w:rFonts w:hint="default" w:ascii="Times New Roman" w:hAnsi="Times New Roman" w:eastAsia="方正小标宋_GBK" w:cs="Times New Roman"/>
          <w:color w:val="FF0000"/>
          <w:sz w:val="28"/>
          <w:szCs w:val="28"/>
          <w:lang w:val="en" w:eastAsia="zh-CN"/>
        </w:rPr>
      </w:pPr>
    </w:p>
    <w:p w14:paraId="69D2E23B">
      <w:pPr>
        <w:pStyle w:val="19"/>
        <w:rPr>
          <w:rFonts w:hint="default" w:ascii="Times New Roman" w:hAnsi="Times New Roman" w:cs="Times New Roman"/>
          <w:lang w:val="en" w:eastAsia="zh-CN"/>
        </w:rPr>
      </w:pPr>
    </w:p>
    <w:p w14:paraId="4CA581A2">
      <w:pPr>
        <w:pStyle w:val="8"/>
        <w:rPr>
          <w:rFonts w:hint="default" w:ascii="Times New Roman" w:hAnsi="Times New Roman" w:cs="Times New Roman"/>
          <w:sz w:val="28"/>
          <w:szCs w:val="24"/>
          <w:lang w:val="en" w:eastAsia="zh-CN"/>
        </w:rPr>
      </w:pPr>
    </w:p>
    <w:p w14:paraId="158BBC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FF0000"/>
          <w:sz w:val="84"/>
          <w:szCs w:val="84"/>
          <w:lang w:val="en" w:eastAsia="zh-CN"/>
        </w:rPr>
      </w:pPr>
      <w:r>
        <w:rPr>
          <w:rFonts w:hint="default" w:ascii="Times New Roman" w:hAnsi="Times New Roman" w:eastAsia="方正小标宋_GBK" w:cs="Times New Roman"/>
          <w:color w:val="FF0000"/>
          <w:sz w:val="84"/>
          <w:szCs w:val="84"/>
          <w:lang w:val="en" w:eastAsia="zh-CN"/>
        </w:rPr>
        <w:t>玉溪市生态环境局文件</w:t>
      </w:r>
    </w:p>
    <w:p w14:paraId="3A6C5C7D">
      <w:pPr>
        <w:rPr>
          <w:rFonts w:hint="default" w:ascii="Times New Roman" w:hAnsi="Times New Roman" w:cs="Times New Roman"/>
        </w:rPr>
      </w:pPr>
    </w:p>
    <w:p w14:paraId="0003328E">
      <w:pPr>
        <w:pStyle w:val="19"/>
        <w:rPr>
          <w:rFonts w:hint="default" w:ascii="Times New Roman" w:hAnsi="Times New Roman" w:cs="Times New Roman"/>
        </w:rPr>
      </w:pPr>
    </w:p>
    <w:p w14:paraId="3EEF9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lang w:eastAsia="zh-CN"/>
        </w:rPr>
        <w:t>玉</w:t>
      </w:r>
      <w:r>
        <w:rPr>
          <w:rFonts w:hint="default" w:ascii="Times New Roman" w:hAnsi="Times New Roman" w:eastAsia="方正仿宋_GBK" w:cs="Times New Roman"/>
          <w:sz w:val="32"/>
        </w:rPr>
        <w:t>环审〔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1—</w:t>
      </w:r>
      <w:r>
        <w:rPr>
          <w:rFonts w:hint="default" w:ascii="Times New Roman" w:hAnsi="Times New Roman" w:eastAsia="方正仿宋_GBK" w:cs="Times New Roman"/>
          <w:sz w:val="32"/>
        </w:rPr>
        <w:t>号</w:t>
      </w:r>
    </w:p>
    <w:p w14:paraId="6EC662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8674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75pt;height:0.05pt;width:462pt;z-index:251663360;mso-width-relative:page;mso-height-relative:page;" filled="f" stroked="t" coordsize="21600,21600" o:gfxdata="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wF5lNQAAAAGAQAADwAAAAAAAAABACAAAAAiAAAAZHJzL2Rvd25yZXYueG1sUEsB&#10;AhQAFAAAAAgAh07iQBtj+8L5AQAA5wMAAA4AAAAAAAAAAQAgAAAAIw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3AD27D8">
      <w:pPr>
        <w:pStyle w:val="2"/>
        <w:rPr>
          <w:rFonts w:hint="default" w:ascii="Times New Roman" w:hAnsi="Times New Roman" w:cs="Times New Roman"/>
        </w:rPr>
      </w:pPr>
    </w:p>
    <w:p w14:paraId="6CA12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玉溪市生态环境局</w:t>
      </w:r>
    </w:p>
    <w:p w14:paraId="4670C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云南玉溪钢铁集团振飞钢铁有限公司</w:t>
      </w:r>
    </w:p>
    <w:p w14:paraId="376D2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产能置换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升级</w:t>
      </w:r>
      <w:r>
        <w:rPr>
          <w:rFonts w:hint="eastAsia" w:ascii="Times New Roman" w:hAnsi="Times New Roman" w:cs="Times New Roman" w:eastAsiaTheme="minorEastAsia"/>
          <w:color w:val="auto"/>
          <w:sz w:val="30"/>
          <w:szCs w:val="30"/>
          <w:lang w:val="en-US" w:eastAsia="zh-CN"/>
        </w:rPr>
        <w:t>年产36万吨特钢项目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GB"/>
        </w:rPr>
        <w:t>环境影响报告书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的批复</w:t>
      </w:r>
    </w:p>
    <w:p w14:paraId="3A5EA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44"/>
          <w:szCs w:val="44"/>
        </w:rPr>
      </w:pPr>
    </w:p>
    <w:p w14:paraId="70B8A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云南玉溪钢铁集团振飞钢铁有限公司：</w:t>
      </w:r>
    </w:p>
    <w:p w14:paraId="04CFB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产能置换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升级</w:t>
      </w:r>
      <w:r>
        <w:rPr>
          <w:rFonts w:hint="eastAsia" w:ascii="Times New Roman" w:hAnsi="Times New Roman" w:cs="Times New Roman" w:eastAsiaTheme="minorEastAsia"/>
          <w:color w:val="auto"/>
          <w:sz w:val="30"/>
          <w:szCs w:val="30"/>
          <w:lang w:val="en-US" w:eastAsia="zh-CN"/>
        </w:rPr>
        <w:t>年产36万吨特钢项目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环境影响报告书》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（以下简称《报告书》）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收悉。经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我局2025年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局长</w:t>
      </w:r>
      <w:r>
        <w:rPr>
          <w:rFonts w:hint="eastAsia" w:eastAsia="方正仿宋_GBK" w:cs="Times New Roman"/>
          <w:sz w:val="32"/>
          <w:szCs w:val="32"/>
          <w:lang w:eastAsia="zh-CN"/>
        </w:rPr>
        <w:t>办公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会研究同意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，批复如下：</w:t>
      </w:r>
    </w:p>
    <w:p w14:paraId="5C8F90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GB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项目基本情况</w:t>
      </w:r>
    </w:p>
    <w:p w14:paraId="16F95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该项目位于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云南通海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产业园区</w:t>
      </w:r>
      <w:r>
        <w:rPr>
          <w:rFonts w:hint="eastAsia" w:ascii="Times New Roman" w:hAnsi="Times New Roman" w:cs="Times New Roman" w:eastAsiaTheme="minorEastAsia"/>
          <w:color w:val="auto"/>
          <w:sz w:val="30"/>
          <w:szCs w:val="30"/>
          <w:lang w:val="en-US" w:eastAsia="zh-CN"/>
        </w:rPr>
        <w:t>芭蕉片区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在</w:t>
      </w:r>
      <w:r>
        <w:rPr>
          <w:rFonts w:hint="eastAsia" w:ascii="Times New Roman" w:hAnsi="Times New Roman" w:cs="Times New Roman"/>
          <w:color w:val="auto"/>
          <w:kern w:val="0"/>
          <w:sz w:val="30"/>
          <w:szCs w:val="30"/>
          <w:lang w:val="en-US" w:eastAsia="zh-CN"/>
        </w:rPr>
        <w:t>通海聚元工贸有限公司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现有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厂区内建设，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为产能置换优化升级改造项目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取得了通海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县发展和改革局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核发的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《云南省固定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资产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投资项目备案证》，项目代码：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2312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-53042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-04-0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278618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，项目总投资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其中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环保投资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2628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建设内容为：</w:t>
      </w:r>
      <w:r>
        <w:rPr>
          <w:rFonts w:hint="eastAsia" w:eastAsia="方正仿宋_GBK" w:cs="Times New Roman"/>
          <w:sz w:val="32"/>
          <w:szCs w:val="32"/>
          <w:lang w:eastAsia="zh-CN"/>
        </w:rPr>
        <w:t>新建</w:t>
      </w:r>
      <w:r>
        <w:rPr>
          <w:rFonts w:hint="eastAsia" w:ascii="Times New Roman" w:hAnsi="Times New Roman" w:cs="Times New Roman"/>
          <w:color w:val="auto"/>
          <w:kern w:val="0"/>
          <w:sz w:val="30"/>
          <w:szCs w:val="30"/>
          <w:lang w:val="en-US" w:eastAsia="zh-CN"/>
        </w:rPr>
        <w:t>50吨合金钢电炉1座、50吨LF精炼炉1套、VD精炼炉1座、天然气储站1座、对现有</w:t>
      </w:r>
      <w:r>
        <w:rPr>
          <w:rFonts w:hint="eastAsia" w:eastAsia="方正仿宋_GBK" w:cs="Times New Roman"/>
          <w:sz w:val="32"/>
          <w:szCs w:val="32"/>
          <w:lang w:eastAsia="zh-CN"/>
        </w:rPr>
        <w:t>废钢加工车间进行改造，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并配套建设相应的公辅设施和环保工程，形成年产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万吨</w:t>
      </w:r>
      <w:r>
        <w:rPr>
          <w:rFonts w:hint="eastAsia" w:ascii="Times New Roman" w:hAnsi="Times New Roman" w:cs="Times New Roman" w:eastAsiaTheme="minorEastAsia"/>
          <w:color w:val="auto"/>
          <w:sz w:val="30"/>
          <w:szCs w:val="30"/>
          <w:lang w:val="en-US" w:eastAsia="zh-CN"/>
        </w:rPr>
        <w:t>特钢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的生产能力；项目依托</w:t>
      </w:r>
      <w:r>
        <w:rPr>
          <w:rFonts w:hint="eastAsia" w:ascii="Times New Roman" w:hAnsi="Times New Roman" w:cs="Times New Roman"/>
          <w:color w:val="auto"/>
          <w:kern w:val="0"/>
          <w:sz w:val="30"/>
          <w:szCs w:val="30"/>
          <w:lang w:val="en-US" w:eastAsia="zh-CN"/>
        </w:rPr>
        <w:t>通海聚元工贸有限公司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现有</w:t>
      </w:r>
      <w:r>
        <w:rPr>
          <w:rFonts w:hint="eastAsia" w:ascii="Times New Roman" w:hAnsi="Times New Roman" w:cs="Times New Roman"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流连铸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轧钢生产线，形成年轧钢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万吨的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生产规模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10E87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该项目所处的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云南通海产业园区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属于省级合规园区，符合国家和云南省长江经济带发展负面清单指南实施细则相关要求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项目产能置换方案已得到确认和公告（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2017年云南省工业和信息化委员会第23号公告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项目被列入《云南粗钢冶炼装备清单》（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2023年12月31日，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云南省发展和改革委员会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云南省工业和信息化厅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云南省生态环境厅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云南省应急管理厅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云南省统计局关于云南粗钢冶炼装备清单的公告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。公司编制了项目主要污染物区域削减方案并由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通海县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人民政府出具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承诺函，取得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玉溪市生态环境局通海分局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该项目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主要污染物排放总量的初审意见。</w:t>
      </w:r>
    </w:p>
    <w:p w14:paraId="54954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在全面落实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生态环境保护法律法规、《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报告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书》和本批复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提出的各项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污染防治和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生态保护措施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，项目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产生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的不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良生态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环境影响可以得到减缓和控制，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《通海县人民政府关于恢复启用秀山沟水库水源点的承诺》、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报告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书》及技术评估结论，该项目建设从生态环境保护的角度可行，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局原则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同意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报告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书》的环境影响评价结论和拟采取的各项生态环境保护措施。</w:t>
      </w:r>
    </w:p>
    <w:p w14:paraId="630136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项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目建设和运营过程中应重点做好的工作</w:t>
      </w:r>
    </w:p>
    <w:p w14:paraId="1FB1C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施工期环境管理。施工期采取洒水降尘、道路清扫、封闭车辆运输、合理安排施工时间等措施减缓对周围环境的不良影响。项目建设过程中，施工期环境监理纳入工程监理内容，各项生态环境保护措施纳入施工、工程监理等招标文件及合同，并明确责任，对防渗工程进行验收，确保环境保护设施符合有关要求。</w:t>
      </w:r>
    </w:p>
    <w:p w14:paraId="1CBCC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在设计、建设和运行中，按照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环保优先、绿色发展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目标定位和循环经济、清洁生产理念，采用国内外成熟可靠、技术先进、环境友好工艺技术方案，选用优质装备和原材料，强化各装置节能降耗措施，减少污染物的产生量和排放量，单位产品的能耗、物耗、水耗、资源综合利用和污染物排放量等指标应达到清洁生产国内先进水平；项目生态环境保护、大宗原料及产品清洁运输须严格落实《关于推进实施钢铁行业超低排放的意见》（环大气〔2019〕35号）、《钢铁企业超低排放改造技术指南》（中环协〔2020〕4号）等相关要求。</w:t>
      </w:r>
    </w:p>
    <w:p w14:paraId="2CD9D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好入炉废钢的分选工作，最大限度地减少含油脂、涂料、塑料等含氯、有机物废钢的入炉量，收集废钢铁须符合《废钢铁》（GB/T4223-2017）的要求；并做好采购废钢的辐射监测工作，按相关要求妥善处置，避免被放射性污染的废旧金属原料流入社会，造成环境污染和公众健康的损害。</w:t>
      </w:r>
    </w:p>
    <w:p w14:paraId="2A1BD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生产过程中废气污染防治，确保大气污染物达标排放。严格落实《关于推进实施钢铁行业超低排放的意见》（环大气〔2019〕35号）、《钢铁企业超低排放改造技术指南》（中环协〔2020〕4号）等的有关要求；电炉一次烟气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第四孔排烟+燃烧+换热+沉降+急冷塔+覆膜布袋除尘器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处理后由1根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0米高的排气筒排放；电炉二次烟气经密闭罩+屋顶罩收集后经覆膜布袋除尘器处理后由1根40米高的排气筒排放；现有轧钢生产线采用热轧热送，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电磁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感应加热；确保电炉（一次、二次烟气）有组织排放的颗粒物达到《关于推进实施钢铁行业超低排放的意见》（环大气〔2019〕35号）中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钢铁企业超低排放指标限值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要求，二噁英有组织排放浓度达到《炼钢工业大气污染物排放标准》（GB28664-2012）中表2要求；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废钢加工废气经</w:t>
      </w:r>
      <w:r>
        <w:rPr>
          <w:rFonts w:hint="default" w:ascii="Times New Roman" w:hAnsi="Times New Roman" w:cs="Times New Roman"/>
          <w:color w:val="auto"/>
          <w:sz w:val="30"/>
          <w:szCs w:val="30"/>
          <w:lang w:eastAsia="zh-CN"/>
        </w:rPr>
        <w:t>收集后经1套覆膜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布袋除尘器</w:t>
      </w:r>
      <w:r>
        <w:rPr>
          <w:rFonts w:hint="default" w:ascii="Times New Roman" w:hAnsi="Times New Roman" w:cs="Times New Roman"/>
          <w:color w:val="auto"/>
          <w:sz w:val="30"/>
          <w:szCs w:val="30"/>
          <w:lang w:eastAsia="zh-CN"/>
        </w:rPr>
        <w:t>处理后</w:t>
      </w:r>
      <w:r>
        <w:rPr>
          <w:rFonts w:hint="eastAsia" w:ascii="Times New Roman" w:hAnsi="Times New Roman" w:cs="Times New Roman" w:eastAsiaTheme="minorEastAsia"/>
          <w:color w:val="auto"/>
          <w:sz w:val="30"/>
          <w:szCs w:val="30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1根</w:t>
      </w:r>
      <w:r>
        <w:rPr>
          <w:rFonts w:hint="default" w:ascii="Times New Roman" w:hAnsi="Times New Roman" w:cs="Times New Roman"/>
          <w:color w:val="auto"/>
          <w:sz w:val="30"/>
          <w:szCs w:val="30"/>
          <w:lang w:eastAsia="zh-CN"/>
        </w:rPr>
        <w:t>30</w:t>
      </w:r>
      <w:r>
        <w:rPr>
          <w:rFonts w:hint="eastAsia" w:ascii="Times New Roman" w:hAnsi="Times New Roman" w:cs="Times New Roman"/>
          <w:color w:val="auto"/>
          <w:sz w:val="30"/>
          <w:szCs w:val="30"/>
          <w:lang w:eastAsia="zh-CN"/>
        </w:rPr>
        <w:t>米</w:t>
      </w:r>
      <w:r>
        <w:rPr>
          <w:rFonts w:hint="default" w:ascii="Times New Roman" w:hAnsi="Times New Roman" w:cs="Times New Roman"/>
          <w:color w:val="auto"/>
          <w:sz w:val="30"/>
          <w:szCs w:val="30"/>
        </w:rPr>
        <w:t>高</w:t>
      </w:r>
      <w:r>
        <w:rPr>
          <w:rFonts w:hint="eastAsia" w:ascii="Times New Roman" w:hAnsi="Times New Roman" w:cs="Times New Roman"/>
          <w:color w:val="auto"/>
          <w:sz w:val="30"/>
          <w:szCs w:val="30"/>
          <w:lang w:eastAsia="zh-CN"/>
        </w:rPr>
        <w:t>的</w:t>
      </w:r>
      <w:r>
        <w:rPr>
          <w:rFonts w:hint="eastAsia" w:ascii="Times New Roman" w:hAnsi="Times New Roman" w:cs="Times New Roman" w:eastAsiaTheme="minorEastAsia"/>
          <w:color w:val="auto"/>
          <w:sz w:val="30"/>
          <w:szCs w:val="30"/>
        </w:rPr>
        <w:t>排气筒排放；</w:t>
      </w:r>
      <w:r>
        <w:rPr>
          <w:rFonts w:hint="eastAsia" w:ascii="Times New Roman" w:hAnsi="Times New Roman" w:cs="Times New Roman"/>
          <w:color w:val="auto"/>
          <w:kern w:val="0"/>
          <w:sz w:val="30"/>
          <w:szCs w:val="30"/>
          <w:lang w:val="en-US" w:eastAsia="zh-CN"/>
        </w:rPr>
        <w:t>LF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精炼炉废气及高位料仓等废气经收集通过1套覆膜布袋除尘器处理后由1根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0米高的排气筒排放；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VD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精炼炉废气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连铸、火焰切割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 w:eastAsiaTheme="minorEastAsia"/>
          <w:color w:val="auto"/>
          <w:sz w:val="30"/>
          <w:szCs w:val="30"/>
          <w:lang w:val="en-US" w:eastAsia="zh-CN"/>
        </w:rPr>
        <w:t>中间包修砌</w:t>
      </w:r>
      <w:r>
        <w:rPr>
          <w:rFonts w:hint="default" w:ascii="Times New Roman" w:hAnsi="Times New Roman" w:cs="Times New Roman" w:eastAsiaTheme="minorEastAsia"/>
          <w:color w:val="auto"/>
          <w:sz w:val="30"/>
          <w:szCs w:val="30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color w:val="auto"/>
          <w:sz w:val="30"/>
          <w:szCs w:val="30"/>
          <w:lang w:val="en-US" w:eastAsia="zh-CN"/>
        </w:rPr>
        <w:t>中包倾翻、钢包拆包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等废气经收集通过1套覆膜布袋除尘器处理后由1根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0米高的排气筒排放；确保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废钢加工、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精炼炉等有组织排放的颗粒物浓度达到《炼钢工业大气污染物排放标准》（GB28664-2012）中表2要求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切实加强无组织废气排放控制，对生产车间进行封闭、物料进行密闭储存及封闭输送、加强厂区绿化，对厂区道路、地面进行硬化处理，并采取洒水抑尘等措施，其无组织排放控制措施须满足《关于推进实施钢铁行业超低排放的意见》（环大气〔2019〕35号）、《钢铁企业超低排放改造技术指南》（中环协〔2020〕4号）等有关要求，确保项目厂界颗粒物无组织排放浓度满足《大气污染物综合排放标准》（GB16297-1996）表2限值要求；按照《污染源自动监控管理办法》等有关规定，电炉排放口须安装烟气自动在线监测装置，并与生态环境主管部门的监控平台联网运行，且定期对在线监测装置进行比对监测和校准；项目属于国家碳排放控制重点行业项目，应当按照国家对碳排放控制的要求，探索减少碳排放和二氧化碳综合利用的措施，制定并实施碳达峰行动方案，预留碳捕集及中和设施的空间或接口，逐步实现工艺过程的低碳运行。</w:t>
      </w:r>
    </w:p>
    <w:p w14:paraId="5213B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各项水污染防治措施。按照雨污分流、清污分流、分质处理、一水多用原则，建设排水、污水处理和回用系统；严格实施雨污分流、清污分流，规范建设排水系统，合理设计污水处理及回水系统，初期雨水、生产废水收集处理后全部回用，不外排；生活污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排入现有处理规模为50立方米/日的生活污水处理站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处理达到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《城市污水再生利用城市杂用水水质》（GB/T18920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—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2020）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标准限值后，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全部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回用于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厂区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绿化，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严禁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外排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项目须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 w:bidi="en-US"/>
        </w:rPr>
        <w:t>保留现有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900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立方米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事故水池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新建1个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容积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不低于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910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立方米的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bidi="en-US"/>
        </w:rPr>
        <w:t>初期雨水收集池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 w:bidi="en-US"/>
        </w:rPr>
        <w:t>，并保留现有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900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立方米的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bidi="en-US"/>
        </w:rPr>
        <w:t>初期雨水收集池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 w:bidi="en-US"/>
        </w:rPr>
        <w:t>，确保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初期雨水收集后作为</w:t>
      </w:r>
      <w:r>
        <w:rPr>
          <w:rFonts w:hint="eastAsia" w:ascii="Times New Roman" w:hAnsi="Times New Roman" w:cs="Times New Roman" w:eastAsiaTheme="minorEastAsia"/>
          <w:color w:val="auto"/>
          <w:sz w:val="30"/>
          <w:szCs w:val="30"/>
        </w:rPr>
        <w:t>生产补充水</w:t>
      </w:r>
      <w:r>
        <w:rPr>
          <w:rFonts w:hint="eastAsia" w:ascii="Times New Roman" w:hAnsi="Times New Roman" w:cs="Times New Roman" w:eastAsiaTheme="minorEastAsia"/>
          <w:color w:val="auto"/>
          <w:sz w:val="30"/>
          <w:szCs w:val="30"/>
          <w:lang w:eastAsia="zh-CN"/>
        </w:rPr>
        <w:t>，不外排。</w:t>
      </w:r>
    </w:p>
    <w:p w14:paraId="11D83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楷体_GBK" w:cs="Times New Roman"/>
          <w:sz w:val="32"/>
          <w:szCs w:val="32"/>
          <w:lang w:val="en-US" w:eastAsia="zh-CN"/>
        </w:rPr>
        <w:t>（六）该项目选址目前位于通海县</w:t>
      </w:r>
      <w:r>
        <w:rPr>
          <w:rFonts w:hint="eastAsia" w:ascii="仿宋" w:hAnsi="仿宋" w:eastAsia="仿宋" w:cs="MicrosoftYaHei"/>
          <w:kern w:val="0"/>
          <w:sz w:val="32"/>
          <w:szCs w:val="32"/>
        </w:rPr>
        <w:t>柿花树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>集中式饮用水源（</w:t>
      </w:r>
      <w:r>
        <w:rPr>
          <w:rFonts w:hint="eastAsia" w:ascii="仿宋" w:hAnsi="仿宋" w:eastAsia="仿宋"/>
          <w:sz w:val="32"/>
          <w:szCs w:val="32"/>
        </w:rPr>
        <w:t>未划定</w:t>
      </w:r>
      <w:r>
        <w:rPr>
          <w:rFonts w:hint="eastAsia" w:ascii="仿宋" w:hAnsi="仿宋" w:eastAsia="仿宋"/>
          <w:sz w:val="32"/>
          <w:szCs w:val="32"/>
          <w:lang w:eastAsia="zh-CN"/>
        </w:rPr>
        <w:t>水源</w:t>
      </w:r>
      <w:r>
        <w:rPr>
          <w:rFonts w:hint="eastAsia" w:ascii="仿宋" w:hAnsi="仿宋" w:eastAsia="仿宋"/>
          <w:sz w:val="32"/>
          <w:szCs w:val="32"/>
        </w:rPr>
        <w:t>保护区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>地下水补给区，地下水环境较敏感，根据《</w:t>
      </w:r>
      <w:r>
        <w:rPr>
          <w:rFonts w:hint="eastAsia" w:ascii="仿宋" w:hAnsi="仿宋" w:eastAsia="仿宋"/>
          <w:sz w:val="32"/>
          <w:szCs w:val="32"/>
        </w:rPr>
        <w:t>通海县人民政府关于恢复启用秀山沟水库水源点的承诺》：“</w:t>
      </w:r>
      <w:r>
        <w:rPr>
          <w:rFonts w:hint="eastAsia" w:ascii="仿宋" w:hAnsi="仿宋" w:eastAsia="仿宋" w:cs="MicrosoftYaHei"/>
          <w:kern w:val="0"/>
          <w:sz w:val="32"/>
          <w:szCs w:val="32"/>
        </w:rPr>
        <w:t>一、对秀山沟水库进行相应的配套设施建设，从华宁县大龙潭补水到通海杨广镇马家湾的现有出水口，通过管道将水引到秀山沟水库进行补充，争取一年内完成工程建设，恢复对县城和集镇的供水能力；二、柿花树水源在完成秀山沟水库补水工程建设后，按照应急提水的要求开展保护和管理，不再承担饮用水供水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。若项目建成投产后，</w:t>
      </w:r>
      <w:r>
        <w:rPr>
          <w:rFonts w:hint="eastAsia" w:ascii="仿宋" w:hAnsi="仿宋" w:eastAsia="仿宋" w:cs="MicrosoftYaHei"/>
          <w:kern w:val="0"/>
          <w:sz w:val="32"/>
          <w:szCs w:val="32"/>
        </w:rPr>
        <w:t>柿花树水源</w:t>
      </w:r>
      <w:r>
        <w:rPr>
          <w:rFonts w:hint="eastAsia" w:ascii="仿宋" w:hAnsi="仿宋" w:eastAsia="仿宋" w:cs="MicrosoftYaHei"/>
          <w:kern w:val="0"/>
          <w:sz w:val="32"/>
          <w:szCs w:val="32"/>
          <w:lang w:eastAsia="zh-CN"/>
        </w:rPr>
        <w:t>还</w:t>
      </w:r>
      <w:r>
        <w:rPr>
          <w:rFonts w:hint="eastAsia" w:ascii="仿宋" w:hAnsi="仿宋" w:eastAsia="仿宋" w:cs="MicrosoftYaHei"/>
          <w:kern w:val="0"/>
          <w:sz w:val="32"/>
          <w:szCs w:val="32"/>
        </w:rPr>
        <w:t>承担饮用水供水</w:t>
      </w:r>
      <w:r>
        <w:rPr>
          <w:rFonts w:hint="eastAsia" w:ascii="仿宋" w:hAnsi="仿宋" w:eastAsia="仿宋" w:cs="MicrosoftYaHei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不能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满足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饮用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功能，经查实是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导致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立即停产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D0BD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）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落实地下水和土壤污染防治措施。按照源头控制、分区防治、污染监控、应急响应原则进行地下水污染防治；严格按照《环境影响评价技术导则 地下水环境》《地下水污染源防渗技术指南（试行）》等要求，加强防渗设施的日常维护，对出现损坏的防渗设施应及时修复和加固，确保防渗设施牢固安全；加强隐蔽工程泄漏检测，一旦发现泄漏，应立即采取补救措施，防止污染土壤和地下水；加强土壤和地下水环境监测，建立完善的土壤和地下水监测制度，根据污染源分布和地下水径流方向，优化监控井设置，确保及时发现厂区渗漏情况并采取补救措施，一旦发现地下水监测井的水质发生异常，应及时启动应急预案，并及时上报当地生态环境主管部门，落实土壤污染防治相关要求，减少对土壤和地下水的不利环境影响。</w:t>
      </w:r>
    </w:p>
    <w:p w14:paraId="72CDD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声环境保护措施。优先选用低噪声设备，优化高噪声设备布局，采取消声、隔声、减振、加强绿化等降噪措施，确保项目厂界噪声满足《工业企业厂界环境噪声排放标准》（GB12348-2008）中3类标准，降低噪声对周围环境的影响。</w:t>
      </w:r>
    </w:p>
    <w:p w14:paraId="53D68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固体废物污染防治措施。按照减量化、资源化、无害化原则，对固体废物进行分类收集、处理处置，确保不造成二次污染；工业固体废物应立足于回收利用，产生的钢渣、废气除尘灰等进行综合利用；废矿物油、电炉除尘灰、化学除油器油污等危险废物暂存于危废暂存库；一般固体废物按照《一般工业固体废物贮存和填埋污染控制标准》（GB18599-2020）要求管理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项目建成后，你公司应开展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初期雨水收集池污泥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等相关固废的属性鉴别工作，根据鉴别结果按照相关规定处置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危险废物应严格按照国家有关规定进行收集、运输、暂存、处置和管理，建立管理台账，存档备查，危险废物暂存间须按照《危险废物贮存污染控制标准》（GB18597-2023）要求进行建设和管理，危险废物委托有资质的单位定期进行处置，严格执行危险废物转移联单制度，强化各环节的环境保护措施，切实防止管理不当造成的二次污染。</w:t>
      </w:r>
    </w:p>
    <w:p w14:paraId="6349D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以新带老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项措施。项目建成前，及时完成《报告书》提出的保留工程的环境问题整改；按照《企业拆除活动污染防治技术规定（试行）》（环保部公告2017年第78号）等相关规定，做好拆除有关设施过程中的污染防治工作，各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以新带老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措施未完成前，项目不得投运。</w:t>
      </w:r>
    </w:p>
    <w:p w14:paraId="5A483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（十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环境风险防范和管理。加强危险品储运和使用管理，按规范设置报警、紧急切断及紧急停车系统，可燃气体、有毒气体监测报警系统，以及防火、防爆、防中毒等事故处理系统；建立健全风险防控体系和事故排放污染收集系统，做好环境风险的巡查、监控等管理，杜绝环境风险事故发生；做好项目与产业园区环境风险防范工作的有效衔接，形成区域联防联控应急体系；按照《突发环境事件应急管理办法》、《企业事业单位突发环境事件应急预案备案管理办法（试行）》等要求，严格落实厂区及周边各项环境风险防范措施与事故应急措施，制定突发环境事件应急预案并报玉溪市生态环境局通海分局备案，开展必要的应急培训、宣传和演练。</w:t>
      </w:r>
    </w:p>
    <w:p w14:paraId="555A9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（十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切实做好环保设施的日常维护和管理，落实环境风险防范措施，确保污染物长期稳定达标排放，杜绝事故性排放。</w:t>
      </w:r>
    </w:p>
    <w:p w14:paraId="1A744C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公司应落实生态环境保护主体责任，建立内部生态环境管理机制，明确机构、人员、职责和制度，加强生态环境管理，推进各项生态环境保护措施落实；项目建设必须严格执行配套的环境保护设施与主体工程同时设计、同时施工、同时投产使用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三同时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制度；项目正式投运前，应当按照规定的标准和程序，自行组织开展竣工环境保护验收，经验收合格后方可正式投入生产。</w:t>
      </w:r>
    </w:p>
    <w:p w14:paraId="196F89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在项目发生实际排污行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之前，应按照《排污许可管理条例》规定申请取得排污许可证，未取得排污许可证不得排放污染物，按照排污许可证规定的环境监测要求以及相关标准和技术规范要求，制定自行监测方案，并认真组织实施，同时，按照信息公开相关规定，主动向社会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开污染源监测等相关信息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按照有关规定建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设规范化污染物排放口并设置标志牌。</w:t>
      </w:r>
    </w:p>
    <w:p w14:paraId="61CEC2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你公司应严格落实本项目污染物削减方案及相关承诺，确保区域环境质量不下降，该项目新增污染物排放总量指标为：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二氧化硫0.0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6吨/年、氮氧化物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4.27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吨/年、颗粒物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52.02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吨/年、二噁英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.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49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E-07吨/年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，其总量替代来源于</w:t>
      </w:r>
      <w:r>
        <w:rPr>
          <w:rFonts w:hint="eastAsia" w:ascii="Times New Roman" w:hAnsi="Times New Roman" w:cs="Times New Roman"/>
          <w:color w:val="auto"/>
          <w:kern w:val="0"/>
          <w:sz w:val="30"/>
          <w:szCs w:val="30"/>
          <w:lang w:val="en-US" w:eastAsia="zh-CN"/>
        </w:rPr>
        <w:t>通海聚元工贸有限公司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关停、拆除现有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40吨普钢电炉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在区域削减方案各项措施和承诺事项完成前，项目不得投入运行。</w:t>
      </w:r>
    </w:p>
    <w:p w14:paraId="50AD45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报告书》经批准后，如工程的性质、规模、工艺、地点或者防治污染、防止生态破坏的措施发生重大变动的，应当重新报批环境影响评价文件；在项目建设、运行过程中产生不符合经审批的《报告书》情形的，应当组织开展环境影响后评价，采取改进措施，按规定备案。</w:t>
      </w:r>
    </w:p>
    <w:p w14:paraId="382031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生态环境局有关科室按职责开展相关监管工作。玉溪市生态环境保护综合行政执法支队、玉溪市生态环境局通海分局要切实承担事中事后监管责任，履行属地监管职责，按照相关法律法规及《关于进一步完善建设项目环境保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三同时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及竣工环境保护自主验收监管工作机制的意见》（环执法〔2021〕70号）要求，加强对该项目环境保护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三同时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及自主验收的监管。</w:t>
      </w:r>
    </w:p>
    <w:p w14:paraId="38B06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1B2B20E">
      <w:pPr>
        <w:pStyle w:val="5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561A98C">
      <w:pPr>
        <w:rPr>
          <w:rFonts w:hint="default" w:ascii="Times New Roman" w:hAnsi="Times New Roman" w:cs="Times New Roman"/>
        </w:rPr>
      </w:pPr>
    </w:p>
    <w:p w14:paraId="1D20F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18F4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58316B45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512C253">
      <w:pPr>
        <w:pStyle w:val="1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D276946">
      <w:pPr>
        <w:pStyle w:val="1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E063254">
      <w:pPr>
        <w:pStyle w:val="1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767EEDC">
      <w:pPr>
        <w:pStyle w:val="1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68BAD9F">
      <w:pPr>
        <w:pStyle w:val="1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F3FB0DF">
      <w:pPr>
        <w:pStyle w:val="1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2751B7D">
      <w:pPr>
        <w:pStyle w:val="1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1DF1B25">
      <w:pPr>
        <w:pStyle w:val="1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EF50E17">
      <w:pPr>
        <w:pStyle w:val="1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1DB43F0">
      <w:pPr>
        <w:pStyle w:val="1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61CED41">
      <w:pPr>
        <w:pStyle w:val="1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9CD0E50">
      <w:pPr>
        <w:pStyle w:val="1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3A06D28">
      <w:pPr>
        <w:pStyle w:val="1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57FB7A5">
      <w:pPr>
        <w:pStyle w:val="1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2903DDA">
      <w:pPr>
        <w:pStyle w:val="1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E612794">
      <w:pPr>
        <w:pStyle w:val="1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4E6C857">
      <w:pPr>
        <w:pStyle w:val="1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53838E5">
      <w:pPr>
        <w:pStyle w:val="1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0D2502C">
      <w:pPr>
        <w:pStyle w:val="1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E45E9AE">
      <w:pPr>
        <w:pStyle w:val="1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00670FE">
      <w:pPr>
        <w:pStyle w:val="1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4597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left="1083" w:leftChars="133" w:hanging="804" w:hangingChars="300"/>
        <w:textAlignment w:val="auto"/>
        <w:rPr>
          <w:rFonts w:hint="default" w:ascii="Times New Roman" w:hAnsi="Times New Roman" w:eastAsia="方正仿宋_GBK" w:cs="Times New Roman"/>
          <w:w w:val="96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65pt;height:0pt;width:441pt;z-index:251662336;mso-width-relative:page;mso-height-relative:page;" filled="f" stroked="t" coordsize="21600,21600" o:gfxdata="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GV+YdEAAAAEAQAADwAAAAAAAAABACAAAAAiAAAAZHJzL2Rvd25yZXYu&#10;eG1sUEsBAhQAFAAAAAgAh07iQPK++pICAgAABQQAAA4AAAAAAAAAAQAgAAAAIAEAAGRycy9lMm9E&#10;b2MueG1sUEsFBgAAAAAGAAYAWQEAAJ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w w:val="96"/>
          <w:sz w:val="28"/>
          <w:szCs w:val="28"/>
          <w:lang w:val="en-US"/>
        </w:rPr>
        <w:t>抄送：</w:t>
      </w:r>
      <w:r>
        <w:rPr>
          <w:rFonts w:hint="default" w:ascii="Times New Roman" w:hAnsi="Times New Roman" w:eastAsia="方正仿宋_GBK" w:cs="Times New Roman"/>
          <w:w w:val="96"/>
          <w:sz w:val="28"/>
          <w:szCs w:val="28"/>
          <w:lang w:val="en-US" w:eastAsia="zh-CN"/>
        </w:rPr>
        <w:t>市生态环境保护综合行政执法支队，市生态环境局通海分局，云南正德环境评估有限公司，云南</w:t>
      </w:r>
      <w:r>
        <w:rPr>
          <w:rFonts w:hint="eastAsia" w:eastAsia="方正仿宋_GBK" w:cs="Times New Roman"/>
          <w:w w:val="96"/>
          <w:sz w:val="28"/>
          <w:szCs w:val="28"/>
          <w:lang w:val="en-US" w:eastAsia="zh-CN"/>
        </w:rPr>
        <w:t>博曦环境影响评价</w:t>
      </w:r>
      <w:r>
        <w:rPr>
          <w:rFonts w:hint="default" w:ascii="Times New Roman" w:hAnsi="Times New Roman" w:eastAsia="方正仿宋_GBK" w:cs="Times New Roman"/>
          <w:w w:val="96"/>
          <w:sz w:val="28"/>
          <w:szCs w:val="28"/>
          <w:lang w:val="en-US" w:eastAsia="zh-CN"/>
        </w:rPr>
        <w:t>有限公司。</w:t>
      </w:r>
    </w:p>
    <w:p w14:paraId="3C8E8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363220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8.6pt;height:0pt;width:441pt;z-index:251661312;mso-width-relative:page;mso-height-relative:page;" filled="f" stroked="t" coordsize="21600,21600" o:gfxdata="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vQthH&#10;1AAAAAcBAAAPAAAAAAAAAAEAIAAAACIAAABkcnMvZG93bnJldi54bWxQSwECFAAUAAAACACHTuJA&#10;hiIX8OwBAADYAwAADgAAAAAAAAABACAAAAAjAQAAZHJzL2Uyb0RvYy54bWxQSwUGAAAAAAYABgBZ&#10;AQAAgQ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15pt;height:0pt;width:441pt;z-index:251660288;mso-width-relative:page;mso-height-relative:page;" filled="f" stroked="t" coordsize="21600,21600" o:gfxdata="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oHiv3T&#10;AAAABAEAAA8AAAAAAAAAAQAgAAAAIgAAAGRycy9kb3ducmV2LnhtbFBLAQIUABQAAAAIAIdO4kBz&#10;n7sy7AEAANgDAAAOAAAAAAAAAAEAIAAAACIBAABkcnMvZTJvRG9jLnhtbFBLBQYAAAAABgAGAFkB&#10;AACA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w:t>玉溪市生态环境局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w:t xml:space="preserve">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w:t>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w:t>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474" w:bottom="1304" w:left="1587" w:header="1361" w:footer="1191" w:gutter="0"/>
      <w:pgNumType w:fmt="decimal"/>
      <w:cols w:space="0" w:num="1"/>
      <w:rtlGutter w:val="0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C9277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4567555</wp:posOffset>
              </wp:positionH>
              <wp:positionV relativeFrom="paragraph">
                <wp:posOffset>0</wp:posOffset>
              </wp:positionV>
              <wp:extent cx="135382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82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FCE790"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43B3699D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9.65pt;margin-top:0pt;height:144pt;width:106.6pt;mso-position-horizontal-relative:margin;z-index:251660288;mso-width-relative:page;mso-height-relative:page;" filled="f" stroked="f" coordsize="21600,21600" o:gfxdata="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RfJZ9cAAAAIAQAADwAAAAAAAAABACAAAAAiAAAAZHJzL2Rvd25y&#10;ZXYueG1sUEsBAhQAFAAAAAgAh07iQPytAwM4AgAAYw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FCE790"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  <w:p w14:paraId="43B3699D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4E63A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231775</wp:posOffset>
              </wp:positionH>
              <wp:positionV relativeFrom="paragraph">
                <wp:posOffset>40005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899376">
                          <w:pPr>
                            <w:pStyle w:val="1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.25pt;margin-top:3.1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6wbln9UAAAAIAQAADwAAAAAAAAABACAAAAAiAAAAZHJzL2Rvd25yZXYueG1sUEsB&#10;AhQAFAAAAAgAh07iQDCJEl4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899376">
                    <w:pPr>
                      <w:pStyle w:val="10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DD159">
    <w:pPr>
      <w:pStyle w:val="11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BBF97">
    <w:pPr>
      <w:pStyle w:val="11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3E4C7"/>
    <w:multiLevelType w:val="singleLevel"/>
    <w:tmpl w:val="2FB3E4C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方正黑体_GBK" w:hAnsi="方正黑体_GBK" w:eastAsia="方正黑体_GBK" w:cs="方正黑体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revisionView w:markup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ZmUwMmNlOWYzNTEwNGU1YjRjM2E3OThkOTIxOTcifQ=="/>
  </w:docVars>
  <w:rsids>
    <w:rsidRoot w:val="2AAF282F"/>
    <w:rsid w:val="0005249D"/>
    <w:rsid w:val="00251335"/>
    <w:rsid w:val="002E39CB"/>
    <w:rsid w:val="00354601"/>
    <w:rsid w:val="00621CDB"/>
    <w:rsid w:val="007216D3"/>
    <w:rsid w:val="009E4FAC"/>
    <w:rsid w:val="00DE2824"/>
    <w:rsid w:val="00E32A7B"/>
    <w:rsid w:val="00E779F3"/>
    <w:rsid w:val="00F138BA"/>
    <w:rsid w:val="017B43B2"/>
    <w:rsid w:val="022E6AD9"/>
    <w:rsid w:val="02C92423"/>
    <w:rsid w:val="02D359C2"/>
    <w:rsid w:val="02DD4218"/>
    <w:rsid w:val="03405326"/>
    <w:rsid w:val="03737907"/>
    <w:rsid w:val="039E6FA1"/>
    <w:rsid w:val="03CD6287"/>
    <w:rsid w:val="03D72C1E"/>
    <w:rsid w:val="03DF7990"/>
    <w:rsid w:val="047A7F12"/>
    <w:rsid w:val="04A2231A"/>
    <w:rsid w:val="05ED7327"/>
    <w:rsid w:val="06214956"/>
    <w:rsid w:val="06D849E3"/>
    <w:rsid w:val="075F1CAC"/>
    <w:rsid w:val="07CE7264"/>
    <w:rsid w:val="085B58CB"/>
    <w:rsid w:val="09294E4C"/>
    <w:rsid w:val="0A955323"/>
    <w:rsid w:val="0ABF3657"/>
    <w:rsid w:val="0B8F5E5A"/>
    <w:rsid w:val="0BD352DA"/>
    <w:rsid w:val="0C11428E"/>
    <w:rsid w:val="0C1D705A"/>
    <w:rsid w:val="0CD1482E"/>
    <w:rsid w:val="0CE82EB7"/>
    <w:rsid w:val="0D625FF1"/>
    <w:rsid w:val="0DBE54D1"/>
    <w:rsid w:val="0DF93715"/>
    <w:rsid w:val="0E100F06"/>
    <w:rsid w:val="0EE81C04"/>
    <w:rsid w:val="0F046CBD"/>
    <w:rsid w:val="0FE76F0B"/>
    <w:rsid w:val="10085FCB"/>
    <w:rsid w:val="10251D54"/>
    <w:rsid w:val="10345BFF"/>
    <w:rsid w:val="10600A97"/>
    <w:rsid w:val="11851A07"/>
    <w:rsid w:val="11DC6270"/>
    <w:rsid w:val="12080F2A"/>
    <w:rsid w:val="121C3EF8"/>
    <w:rsid w:val="12584172"/>
    <w:rsid w:val="137152E2"/>
    <w:rsid w:val="139A2D58"/>
    <w:rsid w:val="13DD3E12"/>
    <w:rsid w:val="13E5183D"/>
    <w:rsid w:val="14325F56"/>
    <w:rsid w:val="143A6D20"/>
    <w:rsid w:val="147D33EC"/>
    <w:rsid w:val="14A467CD"/>
    <w:rsid w:val="14F53A51"/>
    <w:rsid w:val="15287304"/>
    <w:rsid w:val="15B44512"/>
    <w:rsid w:val="16297009"/>
    <w:rsid w:val="16D33FA6"/>
    <w:rsid w:val="175B5421"/>
    <w:rsid w:val="17951DDA"/>
    <w:rsid w:val="184A130E"/>
    <w:rsid w:val="18CE063C"/>
    <w:rsid w:val="19C438F1"/>
    <w:rsid w:val="19D07CE3"/>
    <w:rsid w:val="1A3C7BBE"/>
    <w:rsid w:val="1A5F6E8E"/>
    <w:rsid w:val="1A8C320C"/>
    <w:rsid w:val="1AD332E9"/>
    <w:rsid w:val="1B5961B8"/>
    <w:rsid w:val="1BA35989"/>
    <w:rsid w:val="1CB50A9A"/>
    <w:rsid w:val="1D22560D"/>
    <w:rsid w:val="1D36222A"/>
    <w:rsid w:val="1E6D5399"/>
    <w:rsid w:val="1E711083"/>
    <w:rsid w:val="1EA96B5F"/>
    <w:rsid w:val="1EE0592A"/>
    <w:rsid w:val="1FCB61A4"/>
    <w:rsid w:val="20181B56"/>
    <w:rsid w:val="2043575F"/>
    <w:rsid w:val="20875902"/>
    <w:rsid w:val="20996AD5"/>
    <w:rsid w:val="20AA77ED"/>
    <w:rsid w:val="21081CDE"/>
    <w:rsid w:val="221338AA"/>
    <w:rsid w:val="22A57CC4"/>
    <w:rsid w:val="22F870EC"/>
    <w:rsid w:val="24404051"/>
    <w:rsid w:val="244A2F41"/>
    <w:rsid w:val="25075A22"/>
    <w:rsid w:val="252B1D4D"/>
    <w:rsid w:val="25B310C3"/>
    <w:rsid w:val="25B61F3B"/>
    <w:rsid w:val="25CC14C9"/>
    <w:rsid w:val="25EC30C6"/>
    <w:rsid w:val="26E52AD8"/>
    <w:rsid w:val="26F33055"/>
    <w:rsid w:val="27081763"/>
    <w:rsid w:val="270A1F02"/>
    <w:rsid w:val="272844C9"/>
    <w:rsid w:val="2750082C"/>
    <w:rsid w:val="27B95ADB"/>
    <w:rsid w:val="27D902BE"/>
    <w:rsid w:val="27E028FD"/>
    <w:rsid w:val="27F2569D"/>
    <w:rsid w:val="286E622A"/>
    <w:rsid w:val="288611C7"/>
    <w:rsid w:val="28CC7D5E"/>
    <w:rsid w:val="28EE35BD"/>
    <w:rsid w:val="29463132"/>
    <w:rsid w:val="2AAF282F"/>
    <w:rsid w:val="2B1B38E0"/>
    <w:rsid w:val="2B3B38CA"/>
    <w:rsid w:val="2B5D1FBE"/>
    <w:rsid w:val="2B7C248E"/>
    <w:rsid w:val="2BA80578"/>
    <w:rsid w:val="2C2D449B"/>
    <w:rsid w:val="2C4B3AF0"/>
    <w:rsid w:val="2CE31097"/>
    <w:rsid w:val="2D2A0DD4"/>
    <w:rsid w:val="2D45752B"/>
    <w:rsid w:val="2D9B5CF7"/>
    <w:rsid w:val="2DBD7D3C"/>
    <w:rsid w:val="2DE77D32"/>
    <w:rsid w:val="2E8D30CF"/>
    <w:rsid w:val="2FAE1C18"/>
    <w:rsid w:val="2FEC06AE"/>
    <w:rsid w:val="302A3931"/>
    <w:rsid w:val="308413A9"/>
    <w:rsid w:val="30AB341D"/>
    <w:rsid w:val="30B073D9"/>
    <w:rsid w:val="30BA0CF3"/>
    <w:rsid w:val="30E34D34"/>
    <w:rsid w:val="33364881"/>
    <w:rsid w:val="334A0CFF"/>
    <w:rsid w:val="341E1D9A"/>
    <w:rsid w:val="35692B73"/>
    <w:rsid w:val="35935FA7"/>
    <w:rsid w:val="35A829B1"/>
    <w:rsid w:val="363475D8"/>
    <w:rsid w:val="367D2D2D"/>
    <w:rsid w:val="370D5223"/>
    <w:rsid w:val="37CC2099"/>
    <w:rsid w:val="38403B90"/>
    <w:rsid w:val="38AC02C2"/>
    <w:rsid w:val="38B41D0D"/>
    <w:rsid w:val="39040CA6"/>
    <w:rsid w:val="39205674"/>
    <w:rsid w:val="39BD397A"/>
    <w:rsid w:val="3B0438AA"/>
    <w:rsid w:val="3B056342"/>
    <w:rsid w:val="3BA00084"/>
    <w:rsid w:val="3BA83A3B"/>
    <w:rsid w:val="3C6D08FC"/>
    <w:rsid w:val="3C7F7E1B"/>
    <w:rsid w:val="3D0D3895"/>
    <w:rsid w:val="3D883351"/>
    <w:rsid w:val="3DBA029B"/>
    <w:rsid w:val="3EF1250A"/>
    <w:rsid w:val="3F155B26"/>
    <w:rsid w:val="401641A9"/>
    <w:rsid w:val="40AD56FF"/>
    <w:rsid w:val="41332E43"/>
    <w:rsid w:val="414D23A8"/>
    <w:rsid w:val="416A0536"/>
    <w:rsid w:val="41B213B9"/>
    <w:rsid w:val="41BE050D"/>
    <w:rsid w:val="41D86F7B"/>
    <w:rsid w:val="41F1637D"/>
    <w:rsid w:val="423A11FD"/>
    <w:rsid w:val="43341062"/>
    <w:rsid w:val="43A30C64"/>
    <w:rsid w:val="43AE36B3"/>
    <w:rsid w:val="44254BCC"/>
    <w:rsid w:val="447F45D2"/>
    <w:rsid w:val="449823AC"/>
    <w:rsid w:val="44A14CE2"/>
    <w:rsid w:val="44D6347B"/>
    <w:rsid w:val="4536755C"/>
    <w:rsid w:val="4580253E"/>
    <w:rsid w:val="4586478D"/>
    <w:rsid w:val="45A5300C"/>
    <w:rsid w:val="45B72F61"/>
    <w:rsid w:val="463926E5"/>
    <w:rsid w:val="46396A00"/>
    <w:rsid w:val="46D524F5"/>
    <w:rsid w:val="46D82F52"/>
    <w:rsid w:val="47451D82"/>
    <w:rsid w:val="480C5832"/>
    <w:rsid w:val="481B4AAA"/>
    <w:rsid w:val="48B81ED4"/>
    <w:rsid w:val="48E376BD"/>
    <w:rsid w:val="49600971"/>
    <w:rsid w:val="4A51456E"/>
    <w:rsid w:val="4A753A85"/>
    <w:rsid w:val="4A8C7566"/>
    <w:rsid w:val="4A975BD2"/>
    <w:rsid w:val="4A9D76EF"/>
    <w:rsid w:val="4AAC3CC0"/>
    <w:rsid w:val="4AEF13B7"/>
    <w:rsid w:val="4B0E06C8"/>
    <w:rsid w:val="4C2226B4"/>
    <w:rsid w:val="4C2F27B5"/>
    <w:rsid w:val="4D4322D1"/>
    <w:rsid w:val="4D6E25E7"/>
    <w:rsid w:val="4D83575F"/>
    <w:rsid w:val="4DD53083"/>
    <w:rsid w:val="4DE67091"/>
    <w:rsid w:val="4E843945"/>
    <w:rsid w:val="4FBF2EF4"/>
    <w:rsid w:val="4FC24B2F"/>
    <w:rsid w:val="500B1C22"/>
    <w:rsid w:val="501F6C42"/>
    <w:rsid w:val="50AA6BFB"/>
    <w:rsid w:val="51047380"/>
    <w:rsid w:val="51181FE4"/>
    <w:rsid w:val="51554237"/>
    <w:rsid w:val="51C9023B"/>
    <w:rsid w:val="52601BDC"/>
    <w:rsid w:val="52D2446B"/>
    <w:rsid w:val="53181490"/>
    <w:rsid w:val="534A1F20"/>
    <w:rsid w:val="54ED6695"/>
    <w:rsid w:val="54FD6EDC"/>
    <w:rsid w:val="55134E80"/>
    <w:rsid w:val="55C01586"/>
    <w:rsid w:val="55C5056F"/>
    <w:rsid w:val="55CA48BA"/>
    <w:rsid w:val="55F50761"/>
    <w:rsid w:val="56177308"/>
    <w:rsid w:val="56685559"/>
    <w:rsid w:val="56972233"/>
    <w:rsid w:val="56BD2497"/>
    <w:rsid w:val="56DA0B1D"/>
    <w:rsid w:val="570502E5"/>
    <w:rsid w:val="570D49BF"/>
    <w:rsid w:val="58035187"/>
    <w:rsid w:val="591816AF"/>
    <w:rsid w:val="59F12363"/>
    <w:rsid w:val="5A4822A0"/>
    <w:rsid w:val="5A7D0E49"/>
    <w:rsid w:val="5B0F5D9A"/>
    <w:rsid w:val="5B370783"/>
    <w:rsid w:val="5B530E0D"/>
    <w:rsid w:val="5BBB79D4"/>
    <w:rsid w:val="5BEC4998"/>
    <w:rsid w:val="5C590380"/>
    <w:rsid w:val="5C8327F4"/>
    <w:rsid w:val="5D1626B8"/>
    <w:rsid w:val="5DED7F19"/>
    <w:rsid w:val="5E04242A"/>
    <w:rsid w:val="5E9B6186"/>
    <w:rsid w:val="5EE571AE"/>
    <w:rsid w:val="5EF34BB1"/>
    <w:rsid w:val="5EF41731"/>
    <w:rsid w:val="5F402FCF"/>
    <w:rsid w:val="5F4A3E48"/>
    <w:rsid w:val="5F9F76CD"/>
    <w:rsid w:val="5FA40E41"/>
    <w:rsid w:val="60217F03"/>
    <w:rsid w:val="603B69DB"/>
    <w:rsid w:val="61006100"/>
    <w:rsid w:val="61816495"/>
    <w:rsid w:val="61F915CB"/>
    <w:rsid w:val="62197AC8"/>
    <w:rsid w:val="627F6FC7"/>
    <w:rsid w:val="63161C90"/>
    <w:rsid w:val="63344B4C"/>
    <w:rsid w:val="63732C3E"/>
    <w:rsid w:val="64251139"/>
    <w:rsid w:val="644F7208"/>
    <w:rsid w:val="65C33A84"/>
    <w:rsid w:val="65D317D7"/>
    <w:rsid w:val="65D43D57"/>
    <w:rsid w:val="65D91405"/>
    <w:rsid w:val="65DE7E83"/>
    <w:rsid w:val="661C059B"/>
    <w:rsid w:val="664C74D8"/>
    <w:rsid w:val="66F6704A"/>
    <w:rsid w:val="670F1B12"/>
    <w:rsid w:val="6783156C"/>
    <w:rsid w:val="67AE1946"/>
    <w:rsid w:val="67E051FD"/>
    <w:rsid w:val="67E67E6E"/>
    <w:rsid w:val="680147D2"/>
    <w:rsid w:val="68BD3DBD"/>
    <w:rsid w:val="69126A56"/>
    <w:rsid w:val="69624277"/>
    <w:rsid w:val="6A065065"/>
    <w:rsid w:val="6A970CFF"/>
    <w:rsid w:val="6B24315D"/>
    <w:rsid w:val="6B57133D"/>
    <w:rsid w:val="6BA53FCA"/>
    <w:rsid w:val="6C196406"/>
    <w:rsid w:val="6CC816B1"/>
    <w:rsid w:val="6DC4470E"/>
    <w:rsid w:val="6DCA2141"/>
    <w:rsid w:val="6F3F4FA6"/>
    <w:rsid w:val="6F4C5C4D"/>
    <w:rsid w:val="702C7286"/>
    <w:rsid w:val="705764FC"/>
    <w:rsid w:val="70817915"/>
    <w:rsid w:val="709D12FB"/>
    <w:rsid w:val="70BE7E63"/>
    <w:rsid w:val="71257FDA"/>
    <w:rsid w:val="71334D25"/>
    <w:rsid w:val="72814495"/>
    <w:rsid w:val="72AD3FBA"/>
    <w:rsid w:val="72B73CFC"/>
    <w:rsid w:val="737547B1"/>
    <w:rsid w:val="73A33523"/>
    <w:rsid w:val="7417602D"/>
    <w:rsid w:val="757753B7"/>
    <w:rsid w:val="76862181"/>
    <w:rsid w:val="76AB19E8"/>
    <w:rsid w:val="76D91E95"/>
    <w:rsid w:val="76EB5318"/>
    <w:rsid w:val="77457CAD"/>
    <w:rsid w:val="778B190B"/>
    <w:rsid w:val="77C57F28"/>
    <w:rsid w:val="783F1C54"/>
    <w:rsid w:val="789718A7"/>
    <w:rsid w:val="78A76EAD"/>
    <w:rsid w:val="7A2E13A1"/>
    <w:rsid w:val="7AA60FD4"/>
    <w:rsid w:val="7AC12DF7"/>
    <w:rsid w:val="7ADA625F"/>
    <w:rsid w:val="7AE86B58"/>
    <w:rsid w:val="7B7E0F63"/>
    <w:rsid w:val="7CA3021F"/>
    <w:rsid w:val="7CCE20D6"/>
    <w:rsid w:val="7D2257CD"/>
    <w:rsid w:val="7D267C7D"/>
    <w:rsid w:val="7E4F218B"/>
    <w:rsid w:val="7E7801ED"/>
    <w:rsid w:val="7E8004BE"/>
    <w:rsid w:val="7F0D259B"/>
    <w:rsid w:val="7FCB2CDB"/>
    <w:rsid w:val="7FEB01D3"/>
    <w:rsid w:val="BBA5F45B"/>
    <w:rsid w:val="D5FEB219"/>
    <w:rsid w:val="DFB549BD"/>
    <w:rsid w:val="EB6FB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basedOn w:val="1"/>
    <w:qFormat/>
    <w:uiPriority w:val="0"/>
    <w:rPr>
      <w:rFonts w:ascii="宋体" w:hAnsi="Courier New"/>
    </w:rPr>
  </w:style>
  <w:style w:type="paragraph" w:styleId="5">
    <w:name w:val="Normal Indent"/>
    <w:basedOn w:val="1"/>
    <w:next w:val="1"/>
    <w:qFormat/>
    <w:uiPriority w:val="0"/>
    <w:pPr>
      <w:widowControl/>
      <w:ind w:firstLine="420"/>
    </w:pPr>
    <w:rPr>
      <w:sz w:val="28"/>
      <w:szCs w:val="28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ody Text"/>
    <w:basedOn w:val="1"/>
    <w:next w:val="1"/>
    <w:qFormat/>
    <w:uiPriority w:val="0"/>
    <w:pPr>
      <w:spacing w:after="120"/>
    </w:pPr>
  </w:style>
  <w:style w:type="paragraph" w:styleId="8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Body Text First Indent"/>
    <w:basedOn w:val="7"/>
    <w:next w:val="1"/>
    <w:qFormat/>
    <w:uiPriority w:val="0"/>
    <w:pPr>
      <w:widowControl/>
      <w:ind w:firstLine="420" w:firstLineChars="100"/>
      <w:jc w:val="left"/>
    </w:pPr>
    <w:rPr>
      <w:rFonts w:ascii="Calibri" w:hAnsi="Calibri" w:cs="宋体"/>
      <w:kern w:val="0"/>
    </w:rPr>
  </w:style>
  <w:style w:type="paragraph" w:styleId="14">
    <w:name w:val="Body Text First Indent 2"/>
    <w:basedOn w:val="1"/>
    <w:next w:val="13"/>
    <w:qFormat/>
    <w:uiPriority w:val="0"/>
    <w:pPr>
      <w:ind w:firstLine="420" w:firstLineChars="200"/>
    </w:pPr>
  </w:style>
  <w:style w:type="character" w:styleId="17">
    <w:name w:val="page number"/>
    <w:basedOn w:val="16"/>
    <w:qFormat/>
    <w:uiPriority w:val="0"/>
  </w:style>
  <w:style w:type="paragraph" w:customStyle="1" w:styleId="18">
    <w:name w:val="样式 样式 左 首行缩进:  2 字符 + 首行缩进:  2 字符"/>
    <w:basedOn w:val="1"/>
    <w:qFormat/>
    <w:uiPriority w:val="0"/>
    <w:pPr>
      <w:adjustRightInd w:val="0"/>
      <w:snapToGrid w:val="0"/>
      <w:ind w:left="1134" w:firstLine="480"/>
      <w:jc w:val="left"/>
    </w:pPr>
    <w:rPr>
      <w:rFonts w:cs="宋体"/>
      <w:color w:val="000000"/>
      <w:szCs w:val="20"/>
    </w:rPr>
  </w:style>
  <w:style w:type="paragraph" w:customStyle="1" w:styleId="19">
    <w:name w:val="纯文本1"/>
    <w:basedOn w:val="1"/>
    <w:qFormat/>
    <w:uiPriority w:val="0"/>
    <w:rPr>
      <w:rFonts w:ascii="宋体" w:hAnsi="Courier New"/>
    </w:rPr>
  </w:style>
  <w:style w:type="paragraph" w:customStyle="1" w:styleId="20">
    <w:name w:val="样式 HC 正文 + 字距调整小四"/>
    <w:basedOn w:val="21"/>
    <w:next w:val="1"/>
    <w:qFormat/>
    <w:uiPriority w:val="0"/>
    <w:pPr>
      <w:snapToGrid w:val="0"/>
      <w:ind w:firstLine="640"/>
    </w:pPr>
    <w:rPr>
      <w:bCs w:val="0"/>
      <w:kern w:val="24"/>
      <w:lang w:val="zh-CN"/>
    </w:rPr>
  </w:style>
  <w:style w:type="paragraph" w:customStyle="1" w:styleId="21">
    <w:name w:val="HC 正文"/>
    <w:basedOn w:val="1"/>
    <w:qFormat/>
    <w:uiPriority w:val="0"/>
    <w:pPr>
      <w:autoSpaceDE w:val="0"/>
      <w:spacing w:line="360" w:lineRule="auto"/>
      <w:ind w:firstLine="480" w:firstLineChars="200"/>
    </w:pPr>
    <w:rPr>
      <w:bCs/>
      <w:color w:val="0000FF"/>
      <w:sz w:val="24"/>
    </w:rPr>
  </w:style>
  <w:style w:type="paragraph" w:customStyle="1" w:styleId="22">
    <w:name w:val="正文1"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23">
    <w:name w:val="Default"/>
    <w:basedOn w:val="19"/>
    <w:next w:val="1"/>
    <w:unhideWhenUsed/>
    <w:qFormat/>
    <w:uiPriority w:val="0"/>
    <w:pPr>
      <w:autoSpaceDE w:val="0"/>
      <w:autoSpaceDN w:val="0"/>
    </w:pPr>
    <w:rPr>
      <w:rFonts w:hAnsi="宋体"/>
      <w:color w:val="000000"/>
    </w:rPr>
  </w:style>
  <w:style w:type="paragraph" w:customStyle="1" w:styleId="24">
    <w:name w:val="Normal Indent1"/>
    <w:basedOn w:val="1"/>
    <w:qFormat/>
    <w:uiPriority w:val="0"/>
    <w:pPr>
      <w:ind w:firstLine="420"/>
    </w:pPr>
  </w:style>
  <w:style w:type="paragraph" w:customStyle="1" w:styleId="25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6">
    <w:name w:val="样式 正文 + 首行缩进:  2 字符 + 宋体"/>
    <w:basedOn w:val="1"/>
    <w:qFormat/>
    <w:uiPriority w:val="0"/>
    <w:pPr>
      <w:tabs>
        <w:tab w:val="left" w:pos="2940"/>
      </w:tabs>
      <w:adjustRightInd w:val="0"/>
      <w:snapToGrid w:val="0"/>
      <w:spacing w:line="360" w:lineRule="auto"/>
      <w:ind w:firstLine="480" w:firstLineChars="200"/>
    </w:pPr>
    <w:rPr>
      <w:snapToGrid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玉溪市直属党政机关单位</Company>
  <Pages>11</Pages>
  <Words>4912</Words>
  <Characters>5138</Characters>
  <Lines>17</Lines>
  <Paragraphs>4</Paragraphs>
  <TotalTime>59</TotalTime>
  <ScaleCrop>false</ScaleCrop>
  <LinksUpToDate>false</LinksUpToDate>
  <CharactersWithSpaces>5158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2020-08-05T22:42:00Z</dcterms:created>
  <dc:creator>马腾</dc:creator>
  <cp:lastModifiedBy>豆豆</cp:lastModifiedBy>
  <cp:lastPrinted>2025-01-26T07:23:00Z</cp:lastPrinted>
  <dcterms:modified xsi:type="dcterms:W3CDTF">2025-02-10T09:02:32Z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FACBB86B0D1D49008E34DC591E06A172_13</vt:lpwstr>
  </property>
  <property fmtid="{D5CDD505-2E9C-101B-9397-08002B2CF9AE}" pid="4" name="KSOTemplateDocerSaveRecord">
    <vt:lpwstr>eyJoZGlkIjoiNzNiZmVhNGFlYzRjMzk4ZjI4YzJiYWEwM2MwNjkxMmEiLCJ1c2VySWQiOiI1NDMzMDgwMjEifQ==</vt:lpwstr>
  </property>
</Properties>
</file>