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13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color w:val="FF0000"/>
          <w:sz w:val="28"/>
          <w:szCs w:val="28"/>
          <w:lang w:val="en" w:eastAsia="zh-CN"/>
        </w:rPr>
      </w:pPr>
    </w:p>
    <w:p w14:paraId="79DC741B">
      <w:pPr>
        <w:pStyle w:val="18"/>
        <w:rPr>
          <w:rFonts w:hint="default" w:ascii="Times New Roman" w:hAnsi="Times New Roman" w:cs="Times New Roman"/>
          <w:lang w:val="en" w:eastAsia="zh-CN"/>
        </w:rPr>
      </w:pPr>
    </w:p>
    <w:p w14:paraId="3E582F8B">
      <w:pPr>
        <w:pStyle w:val="7"/>
        <w:rPr>
          <w:rFonts w:hint="default" w:ascii="Times New Roman" w:hAnsi="Times New Roman" w:cs="Times New Roman"/>
          <w:sz w:val="28"/>
          <w:szCs w:val="24"/>
          <w:lang w:val="en" w:eastAsia="zh-CN"/>
        </w:rPr>
      </w:pPr>
    </w:p>
    <w:p w14:paraId="6CFF05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color w:val="FF0000"/>
          <w:sz w:val="84"/>
          <w:szCs w:val="84"/>
          <w:lang w:val="en" w:eastAsia="zh-CN"/>
        </w:rPr>
      </w:pPr>
    </w:p>
    <w:p w14:paraId="017D6C0C">
      <w:pPr>
        <w:rPr>
          <w:rFonts w:hint="default" w:ascii="Times New Roman" w:hAnsi="Times New Roman" w:cs="Times New Roman"/>
        </w:rPr>
      </w:pPr>
    </w:p>
    <w:p w14:paraId="08E999D8">
      <w:pPr>
        <w:pStyle w:val="18"/>
        <w:rPr>
          <w:rFonts w:hint="default" w:ascii="Times New Roman" w:hAnsi="Times New Roman" w:cs="Times New Roman"/>
        </w:rPr>
      </w:pPr>
    </w:p>
    <w:p w14:paraId="693CE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玉</w:t>
      </w:r>
      <w:r>
        <w:rPr>
          <w:rFonts w:hint="default" w:ascii="Times New Roman" w:hAnsi="Times New Roman" w:eastAsia="方正仿宋_GBK" w:cs="Times New Roman"/>
          <w:sz w:val="32"/>
        </w:rPr>
        <w:t>环审〔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1—</w:t>
      </w:r>
      <w:r>
        <w:rPr>
          <w:rFonts w:hint="eastAsia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2E8CA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111125</wp:posOffset>
                </wp:positionV>
                <wp:extent cx="5867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8.75pt;height:0.05pt;width:462pt;z-index:251663360;mso-width-relative:page;mso-height-relative:page;" filled="f" stroked="t" coordsize="21600,21600" o:gfxdata="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F5lNQAAAAGAQAADwAAAAAAAAABACAAAAAiAAAAZHJzL2Rvd25yZXYueG1sUEsB&#10;AhQAFAAAAAgAh07iQBtj+8L5AQAA5wMAAA4AAAAAAAAAAQAgAAAAI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8159FEE">
      <w:pPr>
        <w:pStyle w:val="2"/>
        <w:rPr>
          <w:rFonts w:hint="default" w:ascii="Times New Roman" w:hAnsi="Times New Roman" w:cs="Times New Roman"/>
        </w:rPr>
      </w:pPr>
    </w:p>
    <w:p w14:paraId="7A17B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7243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云南玉溪钢铁集团振飞钢铁有限公司</w:t>
      </w:r>
    </w:p>
    <w:p w14:paraId="71AD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val="en-GB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产能置换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升级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年产36万吨特钢项目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GB"/>
        </w:rPr>
        <w:t>环境影响</w:t>
      </w:r>
    </w:p>
    <w:p w14:paraId="2A21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GB"/>
        </w:rPr>
        <w:t>报告书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的批复</w:t>
      </w:r>
    </w:p>
    <w:p w14:paraId="7D230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44"/>
          <w:szCs w:val="44"/>
        </w:rPr>
      </w:pPr>
    </w:p>
    <w:p w14:paraId="5CF30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云南玉溪钢铁集团振飞钢铁有限公司：</w:t>
      </w:r>
    </w:p>
    <w:p w14:paraId="4696B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产能置换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年产36万吨特钢项目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环境影响报告书》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（以下简称《报告书》）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我局2025年2月11日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局长专题会研究同意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批复如下：</w:t>
      </w:r>
    </w:p>
    <w:p w14:paraId="668C7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GB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项目基本情况</w:t>
      </w:r>
    </w:p>
    <w:p w14:paraId="674C2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该项目位于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云南通海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产业园区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芭蕉片区</w:t>
      </w:r>
      <w:r>
        <w:rPr>
          <w:rFonts w:hint="eastAsia" w:eastAsia="方正仿宋_GBK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厂区内建设</w:t>
      </w:r>
      <w:r>
        <w:rPr>
          <w:rFonts w:hint="eastAsia" w:eastAsia="方正仿宋_GBK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为产能置换优化升级改造项目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取得了通海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县发展和改革局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核发的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《云南省固定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投资项目备案证》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项目代码：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-53042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-04-0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278618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项目总投资2.1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环保投资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建设内容为：新建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50吨合金钢电炉1座、50吨LF精炼炉1套、VD精炼炉1座、天然气储站1座、对现有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废钢加工车间进行改造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并配套建设相应的公辅设施和环保工程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形成年产36万吨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的生产能力；项目依托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机4流连铸及轧钢生产线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形成年轧钢36万吨的生产规模。</w:t>
      </w:r>
    </w:p>
    <w:p w14:paraId="0BA3C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该项目所处的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云南通海产业园区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属于省级合规园区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符合国家和云南省长江经济带发展负面清单指南实施细则相关要求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项目产能置换方案已得到确认和公告（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2017年云南省工业和信息化委员会第23号公告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项目被列入《云南粗钢冶炼装备清单》（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2023年12月31日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云南省发展和改革委员会、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云南省工业和信息化厅、云南省生态环境厅、云南省应急管理厅、云南省统计局关于云南粗钢冶炼装备清单的公告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。公司编制了项目主要污染物区域削减方案并由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人民政府出具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承诺函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玉溪市生态环境局通海分局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主要污染物排放总量的初审意见。</w:t>
      </w:r>
    </w:p>
    <w:p w14:paraId="59E617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项目选址目前位于通海县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柿花树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饮用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水源（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未划定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水源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保护区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地下水补给区。根据2024年12月13日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通海县人民政府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出具的《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关于恢复启用秀山沟水库水源点的承诺》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柿花树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在完成秀山沟水库补水工程建设后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按照应急提水的要求开展保护和管理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不再承担饮用水供水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2E90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在全面落实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生态环境保护法律法规、《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书》和本批复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提出的各项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污染防治和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生态保护措施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的不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良生态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环境影响可以得到减缓和控制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书》及技术评估结论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该项目建设从生态环境保护的角度可行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书》的环境影响评价结论和拟采取的各项生态环境保护措施。</w:t>
      </w:r>
    </w:p>
    <w:p w14:paraId="4C724F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目建设和运营过程中应重点做好的工作</w:t>
      </w:r>
    </w:p>
    <w:p w14:paraId="3406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加强施工期环境管理。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施工废水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处理后循环使用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不得外排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采取洒水降尘、道路清扫、封闭车辆运输、合理安排施工时间等措施减缓对周围环境的不良影响。项目建设过程中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施工期环境监理纳入工程监理内容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各项生态环境保护措施纳入施工、工程监理等招标文件及合同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并明确责任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对防渗工程进行验收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确保环境保护设施符合有关要求。</w:t>
      </w:r>
    </w:p>
    <w:p w14:paraId="42FC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在设计、建设和运行中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环保优先、绿色发展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目标定位和循环经济、清洁生产理念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采用国内外成熟可靠、技术先进、环境友好工艺技术方案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选用优质装备和原材料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强化各装置节能降耗措施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减少污染物的产生量和排放量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产品的能耗、物耗、水耗、资源综合利用和污染物排放量等指标应达到清洁生产国内先进水平；项目生态环境保护、大宗原料及产品清洁运输须严格落实《关于推进实施钢铁行业超低排放的意见》（环大气〔2019〕35号）、《钢铁企业超低排放改造技术指南》（中环协〔2020〕4号）等相关要求。</w:t>
      </w:r>
    </w:p>
    <w:p w14:paraId="10C9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做好入炉废钢的分选工作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最大限度地减少含油脂、涂料、塑料等含氯、有机物废钢的入炉量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收集废钢铁须符合《废钢铁》（GB/T4223-2017）的要求；并做好采购废钢的辐射监测工作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按相关要求妥善处置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避免被放射性污染的废旧金属原料流入社会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造成环境污染和公众健康的损害。</w:t>
      </w:r>
    </w:p>
    <w:p w14:paraId="5161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加强生产过程中废气污染防治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确保大气污染物达标排放。严格落实《关于推进实施钢铁行业超低排放的意见》（环大气〔2019〕35号）、《钢铁企业超低排放改造技术指南》（中环协〔2020〕4号）等的有关要求；电炉一次烟气经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第四孔排烟+燃烧+换热+沉降+急冷塔+覆膜布袋除尘器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处理后由1根40米高的排气筒排放；电炉二次烟气经密闭罩+屋顶罩收集后经覆膜布袋除尘器处理后由1根40米高的排气筒排放；现有轧钢生产线采用热轧热送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电磁感应加热；确保电炉（一次、二次烟气）有组织排放的颗粒物浓度达到《关于推进实施钢铁行业超低排放的意见》（环大气〔2019〕35号）中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钢铁企业超低排放指标限值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二噁英有组织排放浓度达到《炼钢工业大气污染物排放标准》（GB28664-2012）中表2要求；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废钢加工废气经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收集后经1套覆膜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布袋除尘器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处理后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30米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排气筒排放；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LF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精炼炉废气及高位料仓等废气经收集通过1套覆膜布袋除尘器处理后由1根40米高的排气筒排放；VD精炼炉废气、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连铸、火焰切割、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中间包修砌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中包倾翻、钢包拆包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等废气经收集通过1套覆膜布袋除尘器处理后由1根40米高的排气筒排放；确保项目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废钢加工、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精炼炉等有组织排放的颗粒物浓度达到《炼钢工业大气污染物排放标准》（GB28664-2012）中表2要求;切实加强无组织废气排放控制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对生产车间进行封闭、物料进行密闭储存及封闭输送、加强厂区绿化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对厂区道路、地面进行硬化处理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并采取洒水抑尘等措施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其无组织排放控制措施须满足《关于推进实施钢铁行业超低排放的意见》（环大气〔2019〕35号）、《钢铁企业超低排放改造技术指南》（中环协〔2020〕4号）等有关要求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确保项目厂界颗粒物无组织排放浓度满足《大气污染物综合排放标准》（GB16297-1996）表2限值要求；按照《污染源自动监控管理办法》等有关规定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电炉排放口须安装烟气自动在线监测装置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并与生态环境主管部门的监控平台联网运行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且定期对在线监测装置进行比对监测和校准；项目属于国家碳排放控制重点行业项目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应当按照国家对碳排放控制的要求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探索减少碳排放和二氧化碳综合利用的措施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制定并实施碳达峰行动方案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预留碳捕集及中和设施的空间或接口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逐步实现工艺过程的低碳运行。</w:t>
      </w:r>
    </w:p>
    <w:p w14:paraId="2860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严格落实各项水污染防治措施。按照雨污分流、清污分流、分质处理、一水多用原则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建设排水、污水处理和回用系统；严格实施雨污分流、清污分流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规范建设排水系统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合理设计污水处理及回水系统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初期雨水、生产废水收集处理后全部回用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不外排；生活污水排入现有处理规模为50立方米/日的生活污水处理站处理达到《城市污水再生利用城市杂用水水质》（GB/T18920-2020）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标准限值后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回用于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厂区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绿化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外排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；项目须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保留现有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立方米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事故水池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（正常情况下必须处于空置状态）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新建1个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容积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立方米的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初期雨水收集池</w:t>
      </w:r>
      <w:r>
        <w:rPr>
          <w:rFonts w:hint="eastAsia" w:eastAsia="方正仿宋_GBK" w:cs="Times New Roman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并保留现有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立方米的</w:t>
      </w:r>
      <w:r>
        <w:rPr>
          <w:rFonts w:hint="default" w:ascii="Times New Roman" w:hAnsi="Times New Roman" w:eastAsia="方正仿宋_GBK" w:cs="Times New Roman"/>
          <w:sz w:val="32"/>
          <w:szCs w:val="32"/>
          <w:lang w:bidi="en-US"/>
        </w:rPr>
        <w:t>初期雨水收集池</w:t>
      </w:r>
      <w:r>
        <w:rPr>
          <w:rFonts w:hint="eastAsia" w:eastAsia="方正仿宋_GBK" w:cs="Times New Roman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en-US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初期雨水收集后作为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生产补充水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不外排。</w:t>
      </w:r>
    </w:p>
    <w:p w14:paraId="0300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严格落实地下水和土壤污染防治措施。按照源头控制、分区防治、污染监控、应急响应原则进行地下水污染防治；严格按照《环境影响评价技术导则 地下水环境》《地下水污染源防渗技术指南（试行）》等要求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加强防渗设施的日常维护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对出现损坏的防渗设施应及时修复和加固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确保防渗设施牢固安全；加强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隐蔽工程泄漏检测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一旦发现泄漏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应立即采取补救措施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防止污染土壤和地下水；加强土壤和地下水环境监测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建立完善的土壤和地下水监测制度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根据污染源分布和地下水径流方向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优化监控井设置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确保及时发现厂区渗漏情况并采取补救措施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一旦发现地下水监测井的水质发生异常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应及时启动应急预案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并及时上报当地生态环境主管部门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落实土壤污染防治相关要求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减少对土壤和地下水的不利环境影响；项目建设一旦对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柿花树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及周围地下水造成污染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必须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立即停产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2B38C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严格落实声环境保护措施。优先选用低噪声设备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优化高噪声设备布局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采取消声、隔声、减振、加强绿化等降噪措施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确保项目厂界噪声满足《工业企业厂界环境噪声排放标准》（GB12348-2008）中3类标准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降低噪声对周围环境的影响。</w:t>
      </w:r>
    </w:p>
    <w:p w14:paraId="646D8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严格落实固体废物污染防治措施。按照减量化、资源化、无害化原则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对固体废物进行分类收集、处理处置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确保不造成二次污染；工业固体废物应立足于回收利用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产生的钢渣、废气除尘灰等进行综合利用；废矿物油、电炉除尘灰、化学除油器油污等危险废物暂存于危废暂存库；一般固体废物按照《一般工业固体废物贮存和填埋污染控制标准》（GB18599-2020）要求管理；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项目建成后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你公司应开展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初期雨水收集池污泥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等相关固废的属性鉴别工作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根据鉴别结果按照相关规定处置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危险废物应严格按照国家有关规定进行收集、运输、暂存、处置和管理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建立管理台账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存档备查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危险废物暂存间须按照《危险废物贮存污染控制标准》（GB18597-2023）要求进行建设和管理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危险废物委托有资质的单位定期进行处置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严格执行危险废物转移联单制度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强化各环节的环境保护措施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切实防止管理不当造成的二次污染。</w:t>
      </w:r>
    </w:p>
    <w:p w14:paraId="37FC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以新带老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各项措施。项目建成前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及时完成《报告书》提出的保留工程的环境问题整改；按照《企业拆除活动污染防治技术规定（试行）》（环保部公告2017年第78号）等相关规定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做好拆除有关设施过程中的污染防治工作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以新带老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措施未完成前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项目不得投运。</w:t>
      </w:r>
    </w:p>
    <w:p w14:paraId="3F84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加强环境风险防范和管理。加强危险品储运和使用管理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按规范设置报警、紧急切断及紧急停车系统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可燃气体、有毒气体监测报警系统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以及防火、防爆、防中毒等事故处理系统；建立健全风险防控体系和事故排放污染收集系统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做好环境风险的巡查、监控等管理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杜绝环境风险事故发生；做好项目与产业园区环境风险防范工作的有效衔接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形成区域联防联控应急体系；按照《突发环境事件应急管理办法》、《企业事业单位突发环境事件应急预案备案管理办法（试行）》等要求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严格落实厂区及周边各项环境风险防范措施与事故应急措施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制定突发环境事件应急预案并报玉溪市生态环境局通海分局备案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开展必要的应急培训、宣传和演练。</w:t>
      </w:r>
    </w:p>
    <w:p w14:paraId="1BAC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（十一）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切实做好环保设施的日常维护和管理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落实环境风险防范措施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确保污染物长期稳定达标排放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杜绝事故性排放。</w:t>
      </w:r>
    </w:p>
    <w:p w14:paraId="6A8C59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你公司应落实生态环境保护主体责任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建立内部生态环境管理机制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明确机构、人员、职责和制度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加强生态环境管理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推进各项生态环境保护措施落实；项目建设必须严格执行配套的环境保护设施与主体工程同时设计、同时施工、同时投产使用的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制度；项目正式投运前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应当按照规定的标准和程序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自行组织开展竣工环境保护验收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经验收合格后方可正式投入生产。</w:t>
      </w:r>
    </w:p>
    <w:p w14:paraId="22360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在项目发生实际排污行为之前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应按照《排污许可管理条例》规定申请取得排污许可证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未取得排污许可证不得排放污染物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按照排污许可证规定的环境监测要求以及相关标准和技术规范要求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制定自行监测方案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并认真组织实施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按照信息公开相关规定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主动向社会公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开污染源监测等相关信息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按照有关规定建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设规范化污染物排放口并设置标志牌。</w:t>
      </w:r>
    </w:p>
    <w:p w14:paraId="4E462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你公司应严格落实本项目污染物削减方案及相关承诺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确保区域环境质量不下降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该项目新增污染物排放总量指标为：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二氧化硫0.016吨/年、氮氧化物4.27吨/年、颗粒物52.02吨/年、二噁英1.49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superscript"/>
        </w:rPr>
        <w:t>-7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吨-TEQ/年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其总量替代来源于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关停、拆除现有40吨普钢电炉项目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在区域削减方案各项措施和承诺事项完成前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项目不得投入运行。</w:t>
      </w:r>
    </w:p>
    <w:p w14:paraId="041AF1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《报告书》经批准后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如工程的性质、规模、工艺、地点或者防治污染、防止生态破坏的措施发生重大变动的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应当重新报批环境影响评价文件；在项目建设、运行过程中产生不符合经审批的《报告书》情形的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应当组织开展环境影响后评价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采取改进措施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按规定备案。</w:t>
      </w:r>
    </w:p>
    <w:p w14:paraId="1E3DE4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市生态环境局有关科室按职责开展相关监管工作。玉溪市生态环境保护综合行政执法支队、玉溪市生态环境局通海分局要切实承担事中事后监管责任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履行属地监管职责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按照相关法律法规及《关于进一步完善建设项目环境保护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及竣工环境保护自主验收监管工作机制的意见》（环执法〔2021〕70号）要求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加强对该项目环境保护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及自主验收的监管。</w:t>
      </w:r>
    </w:p>
    <w:p w14:paraId="2BD99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/>
        </w:rPr>
      </w:pPr>
    </w:p>
    <w:p w14:paraId="4ADE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35726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2025年2月1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603F7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73EBBE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5E5789F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F501536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B74C08B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A3FFEF5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3488595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E2E737A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65B6377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EB5AE10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65E0360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B46328E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F95A3F3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D32AF4C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9E1D785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3BC10E6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CC637DB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75F11A3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6FD592C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5A0A1CA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CE9D8EC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1E60DE0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5522C70">
      <w:pPr>
        <w:pStyle w:val="18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89F1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1083" w:leftChars="133" w:hanging="804" w:hangingChars="300"/>
        <w:textAlignment w:val="auto"/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0pt;width:441pt;z-index:251662336;mso-width-relative:page;mso-height-relative:page;" filled="f" stroked="t" coordsize="21600,21600" o:gfxdata="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GV+YdEAAAAEAQAADwAAAAAAAAABACAAAAAiAAAAZHJzL2Rvd25yZXYu&#10;eG1sUEsBAhQAFAAAAAgAh07iQPK++pICAgAABQQAAA4AAAAAAAAAAQAgAAAAIA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/>
        </w:rPr>
        <w:t>抄送：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市生态环境保护综合行政执法支队</w:t>
      </w:r>
      <w:r>
        <w:rPr>
          <w:rFonts w:hint="eastAsia" w:eastAsia="方正仿宋_GBK" w:cs="Times New Roman"/>
          <w:w w:val="96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市生态环境局通海分局</w:t>
      </w:r>
      <w:r>
        <w:rPr>
          <w:rFonts w:hint="eastAsia" w:eastAsia="方正仿宋_GBK" w:cs="Times New Roman"/>
          <w:w w:val="96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云南正德环境评估有限公司</w:t>
      </w:r>
      <w:r>
        <w:rPr>
          <w:rFonts w:hint="eastAsia" w:eastAsia="方正仿宋_GBK" w:cs="Times New Roman"/>
          <w:w w:val="96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云南博曦环境影响评价有限公司。</w:t>
      </w:r>
    </w:p>
    <w:p w14:paraId="46553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363220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8.6pt;height:0pt;width:441pt;z-index:251661312;mso-width-relative:page;mso-height-relative:page;" filled="f" stroked="t" coordsize="21600,21600" o:gfxdata="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QthH&#10;1AAAAAcBAAAPAAAAAAAAAAEAIAAAACIAAABkcnMvZG93bnJldi54bWxQSwECFAAUAAAACACHTuJA&#10;hiIX8OwBAADYAwAADgAAAAAAAAABACAAAAAjAQAAZHJzL2Uyb0RvYy54bWxQSwUGAAAAAAYABgBZ&#10;AQAAg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pt;z-index:251660288;mso-width-relative:page;mso-height-relative:page;" filled="f" stroked="t" coordsize="21600,21600" o:gfxdata="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Hiv3T&#10;AAAABAEAAA8AAAAAAAAAAQAgAAAAIgAAAGRycy9kb3ducmV2LnhtbFBLAQIUABQAAAAIAIdO4kBz&#10;n7sy7AEAANgDAAAOAAAAAAAAAAEAIAAAACIBAABkcnMvZTJvRG9jLnhtbFBLBQYAAAAABgAGAFkB&#10;AACA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玉溪市生态环境局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CCD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4567555</wp:posOffset>
              </wp:positionH>
              <wp:positionV relativeFrom="paragraph">
                <wp:posOffset>0</wp:posOffset>
              </wp:positionV>
              <wp:extent cx="135382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8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8239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1B254ED1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65pt;margin-top:0pt;height:144pt;width:106.6pt;mso-position-horizontal-relative:margin;z-index:251660288;mso-width-relative:page;mso-height-relative:page;" filled="f" stroked="f" coordsize="21600,21600" o:gfxdata="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RfJZ9cAAAAIAQAADwAAAAAAAAABACAAAAAiAAAAZHJzL2Rvd25y&#10;ZXYueG1sUEsBAhQAFAAAAAgAh07iQPytAwM4AgAAY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D8239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  <w:p w14:paraId="1B254ED1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8229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231775</wp:posOffset>
              </wp:positionH>
              <wp:positionV relativeFrom="paragraph">
                <wp:posOffset>40005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0F1DB">
                          <w:pPr>
                            <w:pStyle w:val="9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25pt;margin-top:3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wbln9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0F1DB">
                    <w:pPr>
                      <w:pStyle w:val="9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798E"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BCD9">
    <w:pPr>
      <w:pStyle w:val="10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3E4C7"/>
    <w:multiLevelType w:val="singleLevel"/>
    <w:tmpl w:val="2FB3E4C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mUwMmNlOWYzNTEwNGU1YjRjM2E3OThkOTIxOTcifQ=="/>
  </w:docVars>
  <w:rsids>
    <w:rsidRoot w:val="2AAF282F"/>
    <w:rsid w:val="0005249D"/>
    <w:rsid w:val="00251335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22E6AD9"/>
    <w:rsid w:val="02C92423"/>
    <w:rsid w:val="02D359C2"/>
    <w:rsid w:val="02DD4218"/>
    <w:rsid w:val="03405326"/>
    <w:rsid w:val="03737907"/>
    <w:rsid w:val="039E6FA1"/>
    <w:rsid w:val="03CD6287"/>
    <w:rsid w:val="03D72C1E"/>
    <w:rsid w:val="03DF7990"/>
    <w:rsid w:val="03E25638"/>
    <w:rsid w:val="047A7F12"/>
    <w:rsid w:val="04A2231A"/>
    <w:rsid w:val="05ED7327"/>
    <w:rsid w:val="06214956"/>
    <w:rsid w:val="067C2F1C"/>
    <w:rsid w:val="06D23759"/>
    <w:rsid w:val="06D849E3"/>
    <w:rsid w:val="075F1CAC"/>
    <w:rsid w:val="07826EAE"/>
    <w:rsid w:val="07CE7264"/>
    <w:rsid w:val="085B58CB"/>
    <w:rsid w:val="09294E4C"/>
    <w:rsid w:val="09863DB2"/>
    <w:rsid w:val="0A955323"/>
    <w:rsid w:val="0ABF3657"/>
    <w:rsid w:val="0B8F5E5A"/>
    <w:rsid w:val="0BD352DA"/>
    <w:rsid w:val="0C11428E"/>
    <w:rsid w:val="0C1D705A"/>
    <w:rsid w:val="0CD1482E"/>
    <w:rsid w:val="0CE82EB7"/>
    <w:rsid w:val="0D625FF1"/>
    <w:rsid w:val="0DBE54D1"/>
    <w:rsid w:val="0DF93715"/>
    <w:rsid w:val="0E100F06"/>
    <w:rsid w:val="0E7C265A"/>
    <w:rsid w:val="0EE81C04"/>
    <w:rsid w:val="0F046CBD"/>
    <w:rsid w:val="0FE76F0B"/>
    <w:rsid w:val="10085FCB"/>
    <w:rsid w:val="10251D54"/>
    <w:rsid w:val="10345BFF"/>
    <w:rsid w:val="10600A97"/>
    <w:rsid w:val="11851A07"/>
    <w:rsid w:val="11DC6270"/>
    <w:rsid w:val="12080F2A"/>
    <w:rsid w:val="121C3EF8"/>
    <w:rsid w:val="12584172"/>
    <w:rsid w:val="137152E2"/>
    <w:rsid w:val="139A2D58"/>
    <w:rsid w:val="13DD3E12"/>
    <w:rsid w:val="13E5183D"/>
    <w:rsid w:val="14325F56"/>
    <w:rsid w:val="143A6D20"/>
    <w:rsid w:val="147D33EC"/>
    <w:rsid w:val="14A467CD"/>
    <w:rsid w:val="14F53A51"/>
    <w:rsid w:val="15287304"/>
    <w:rsid w:val="15B44512"/>
    <w:rsid w:val="16297009"/>
    <w:rsid w:val="16D33FA6"/>
    <w:rsid w:val="175B5421"/>
    <w:rsid w:val="17951DDA"/>
    <w:rsid w:val="184A130E"/>
    <w:rsid w:val="18CE063C"/>
    <w:rsid w:val="193F043A"/>
    <w:rsid w:val="19C438F1"/>
    <w:rsid w:val="19D07CE3"/>
    <w:rsid w:val="1A3C7BBE"/>
    <w:rsid w:val="1A5F6E8E"/>
    <w:rsid w:val="1A8C320C"/>
    <w:rsid w:val="1AD332E9"/>
    <w:rsid w:val="1B0D04B2"/>
    <w:rsid w:val="1B5961B8"/>
    <w:rsid w:val="1BA35989"/>
    <w:rsid w:val="1CB50A9A"/>
    <w:rsid w:val="1D22560D"/>
    <w:rsid w:val="1D36222A"/>
    <w:rsid w:val="1E6D5399"/>
    <w:rsid w:val="1E711083"/>
    <w:rsid w:val="1EA96B5F"/>
    <w:rsid w:val="1EE0592A"/>
    <w:rsid w:val="1FCB61A4"/>
    <w:rsid w:val="20181B56"/>
    <w:rsid w:val="2043575F"/>
    <w:rsid w:val="20875902"/>
    <w:rsid w:val="20996AD5"/>
    <w:rsid w:val="20AA77ED"/>
    <w:rsid w:val="21081CDE"/>
    <w:rsid w:val="221338AA"/>
    <w:rsid w:val="22A57CC4"/>
    <w:rsid w:val="22F870EC"/>
    <w:rsid w:val="24404051"/>
    <w:rsid w:val="244A2F41"/>
    <w:rsid w:val="25075A22"/>
    <w:rsid w:val="252B1D4D"/>
    <w:rsid w:val="25585215"/>
    <w:rsid w:val="25B310C3"/>
    <w:rsid w:val="25B61F3B"/>
    <w:rsid w:val="25CC14C9"/>
    <w:rsid w:val="25EC30C6"/>
    <w:rsid w:val="26E52AD8"/>
    <w:rsid w:val="26F33055"/>
    <w:rsid w:val="27081763"/>
    <w:rsid w:val="270A1F02"/>
    <w:rsid w:val="272844C9"/>
    <w:rsid w:val="273F5D4E"/>
    <w:rsid w:val="2750082C"/>
    <w:rsid w:val="27B95ADB"/>
    <w:rsid w:val="27D902BE"/>
    <w:rsid w:val="27E028FD"/>
    <w:rsid w:val="27F2569D"/>
    <w:rsid w:val="286E622A"/>
    <w:rsid w:val="288611C7"/>
    <w:rsid w:val="28CC7D5E"/>
    <w:rsid w:val="28EE35BD"/>
    <w:rsid w:val="29463132"/>
    <w:rsid w:val="2AAF282F"/>
    <w:rsid w:val="2B1B38E0"/>
    <w:rsid w:val="2B3B38CA"/>
    <w:rsid w:val="2B5D1FBE"/>
    <w:rsid w:val="2B7C248E"/>
    <w:rsid w:val="2BA80578"/>
    <w:rsid w:val="2C2D449B"/>
    <w:rsid w:val="2C4B3AF0"/>
    <w:rsid w:val="2CE31097"/>
    <w:rsid w:val="2D2A0DD4"/>
    <w:rsid w:val="2D45752B"/>
    <w:rsid w:val="2D49404B"/>
    <w:rsid w:val="2D9B5CF7"/>
    <w:rsid w:val="2DBD7D3C"/>
    <w:rsid w:val="2DE77D32"/>
    <w:rsid w:val="2E8D30CF"/>
    <w:rsid w:val="2FAE1C18"/>
    <w:rsid w:val="2FEC06AE"/>
    <w:rsid w:val="302A3931"/>
    <w:rsid w:val="308413A9"/>
    <w:rsid w:val="30AB341D"/>
    <w:rsid w:val="30B073D9"/>
    <w:rsid w:val="30BA0CF3"/>
    <w:rsid w:val="30E34D34"/>
    <w:rsid w:val="33364881"/>
    <w:rsid w:val="334A0CFF"/>
    <w:rsid w:val="341E1D9A"/>
    <w:rsid w:val="35692B73"/>
    <w:rsid w:val="35935FA7"/>
    <w:rsid w:val="35A829B1"/>
    <w:rsid w:val="363475D8"/>
    <w:rsid w:val="364D73FB"/>
    <w:rsid w:val="367D2D2D"/>
    <w:rsid w:val="370D5223"/>
    <w:rsid w:val="37CC2099"/>
    <w:rsid w:val="38403B90"/>
    <w:rsid w:val="38AC02C2"/>
    <w:rsid w:val="38B41D0D"/>
    <w:rsid w:val="39040CA6"/>
    <w:rsid w:val="39205674"/>
    <w:rsid w:val="39BD397A"/>
    <w:rsid w:val="3B0438AA"/>
    <w:rsid w:val="3B056342"/>
    <w:rsid w:val="3BA00084"/>
    <w:rsid w:val="3C6D08FC"/>
    <w:rsid w:val="3C7F7E1B"/>
    <w:rsid w:val="3D0D3895"/>
    <w:rsid w:val="3D883351"/>
    <w:rsid w:val="3DB50464"/>
    <w:rsid w:val="3DBA029B"/>
    <w:rsid w:val="3EF1250A"/>
    <w:rsid w:val="3F155B26"/>
    <w:rsid w:val="401641A9"/>
    <w:rsid w:val="40AD56FF"/>
    <w:rsid w:val="41332E43"/>
    <w:rsid w:val="414D23A8"/>
    <w:rsid w:val="416A0536"/>
    <w:rsid w:val="41B213B9"/>
    <w:rsid w:val="41BE050D"/>
    <w:rsid w:val="41D86F7B"/>
    <w:rsid w:val="41F1637D"/>
    <w:rsid w:val="423A11FD"/>
    <w:rsid w:val="43341062"/>
    <w:rsid w:val="43A30C64"/>
    <w:rsid w:val="43AE36B3"/>
    <w:rsid w:val="44254BCC"/>
    <w:rsid w:val="447F45D2"/>
    <w:rsid w:val="449823AC"/>
    <w:rsid w:val="44A14CE2"/>
    <w:rsid w:val="4536755C"/>
    <w:rsid w:val="4580253E"/>
    <w:rsid w:val="4586478D"/>
    <w:rsid w:val="45A5300C"/>
    <w:rsid w:val="45B72F61"/>
    <w:rsid w:val="463926E5"/>
    <w:rsid w:val="46396A00"/>
    <w:rsid w:val="46D524F5"/>
    <w:rsid w:val="46D82F52"/>
    <w:rsid w:val="47451D82"/>
    <w:rsid w:val="480C5832"/>
    <w:rsid w:val="481B4AAA"/>
    <w:rsid w:val="48577A75"/>
    <w:rsid w:val="48B81ED4"/>
    <w:rsid w:val="48E376BD"/>
    <w:rsid w:val="48E67A70"/>
    <w:rsid w:val="49600971"/>
    <w:rsid w:val="4A51456E"/>
    <w:rsid w:val="4A753A85"/>
    <w:rsid w:val="4A8C7566"/>
    <w:rsid w:val="4A975BD2"/>
    <w:rsid w:val="4A9D76EF"/>
    <w:rsid w:val="4AAC3CC0"/>
    <w:rsid w:val="4AEF13B7"/>
    <w:rsid w:val="4B0E06C8"/>
    <w:rsid w:val="4C2226B4"/>
    <w:rsid w:val="4C2F27B5"/>
    <w:rsid w:val="4D4322D1"/>
    <w:rsid w:val="4D6E25E7"/>
    <w:rsid w:val="4D83575F"/>
    <w:rsid w:val="4DD53083"/>
    <w:rsid w:val="4DE67091"/>
    <w:rsid w:val="4E843945"/>
    <w:rsid w:val="4FBF2EF4"/>
    <w:rsid w:val="4FC24B2F"/>
    <w:rsid w:val="500B1C22"/>
    <w:rsid w:val="501F6C42"/>
    <w:rsid w:val="50AA6BFB"/>
    <w:rsid w:val="51047380"/>
    <w:rsid w:val="51181FE4"/>
    <w:rsid w:val="51554237"/>
    <w:rsid w:val="51C9023B"/>
    <w:rsid w:val="52601BDC"/>
    <w:rsid w:val="52D2446B"/>
    <w:rsid w:val="53181490"/>
    <w:rsid w:val="534060F1"/>
    <w:rsid w:val="534A1F20"/>
    <w:rsid w:val="548A1AF1"/>
    <w:rsid w:val="54ED6695"/>
    <w:rsid w:val="54FD6EDC"/>
    <w:rsid w:val="55134E80"/>
    <w:rsid w:val="55C01586"/>
    <w:rsid w:val="55C5056F"/>
    <w:rsid w:val="55CA48BA"/>
    <w:rsid w:val="55F50761"/>
    <w:rsid w:val="56177308"/>
    <w:rsid w:val="56685559"/>
    <w:rsid w:val="56972233"/>
    <w:rsid w:val="56BD2497"/>
    <w:rsid w:val="56DA0B1D"/>
    <w:rsid w:val="570502E5"/>
    <w:rsid w:val="570D49BF"/>
    <w:rsid w:val="58035187"/>
    <w:rsid w:val="591816AF"/>
    <w:rsid w:val="599069B5"/>
    <w:rsid w:val="59F12363"/>
    <w:rsid w:val="5A4822A0"/>
    <w:rsid w:val="5A7D0E49"/>
    <w:rsid w:val="5AF7657B"/>
    <w:rsid w:val="5B0F5D9A"/>
    <w:rsid w:val="5B370783"/>
    <w:rsid w:val="5B530E0D"/>
    <w:rsid w:val="5BBB79D4"/>
    <w:rsid w:val="5BEC4998"/>
    <w:rsid w:val="5C590380"/>
    <w:rsid w:val="5C8327F4"/>
    <w:rsid w:val="5D1626B8"/>
    <w:rsid w:val="5DED7F19"/>
    <w:rsid w:val="5DF954D4"/>
    <w:rsid w:val="5E04242A"/>
    <w:rsid w:val="5E9B6186"/>
    <w:rsid w:val="5EE571AE"/>
    <w:rsid w:val="5EF34BB1"/>
    <w:rsid w:val="5EF41731"/>
    <w:rsid w:val="5F402FCF"/>
    <w:rsid w:val="5F4A3E48"/>
    <w:rsid w:val="5F9F76CD"/>
    <w:rsid w:val="5FA40E41"/>
    <w:rsid w:val="60217F03"/>
    <w:rsid w:val="603B69DB"/>
    <w:rsid w:val="61006100"/>
    <w:rsid w:val="61816495"/>
    <w:rsid w:val="61F915CB"/>
    <w:rsid w:val="62197AC8"/>
    <w:rsid w:val="627F6FC7"/>
    <w:rsid w:val="63161C90"/>
    <w:rsid w:val="63344B4C"/>
    <w:rsid w:val="63732C3E"/>
    <w:rsid w:val="64251139"/>
    <w:rsid w:val="644F7208"/>
    <w:rsid w:val="65C33A84"/>
    <w:rsid w:val="65D317D7"/>
    <w:rsid w:val="65D43D57"/>
    <w:rsid w:val="65D91405"/>
    <w:rsid w:val="65DE7E83"/>
    <w:rsid w:val="661C059B"/>
    <w:rsid w:val="664C74D8"/>
    <w:rsid w:val="66F6704A"/>
    <w:rsid w:val="670F1B12"/>
    <w:rsid w:val="6783156C"/>
    <w:rsid w:val="67AE1946"/>
    <w:rsid w:val="67E051FD"/>
    <w:rsid w:val="67E67E6E"/>
    <w:rsid w:val="68BD3DBD"/>
    <w:rsid w:val="69126A56"/>
    <w:rsid w:val="69624277"/>
    <w:rsid w:val="6A065065"/>
    <w:rsid w:val="6A970CFF"/>
    <w:rsid w:val="6B24315D"/>
    <w:rsid w:val="6B57133D"/>
    <w:rsid w:val="6B900F3C"/>
    <w:rsid w:val="6BA53FCA"/>
    <w:rsid w:val="6C196406"/>
    <w:rsid w:val="6CC816B1"/>
    <w:rsid w:val="6DC4470E"/>
    <w:rsid w:val="6DCA2141"/>
    <w:rsid w:val="6F3F4FA6"/>
    <w:rsid w:val="6F4C5C4D"/>
    <w:rsid w:val="702C7286"/>
    <w:rsid w:val="705764FC"/>
    <w:rsid w:val="70817915"/>
    <w:rsid w:val="709D12FB"/>
    <w:rsid w:val="70BE7E63"/>
    <w:rsid w:val="71257FDA"/>
    <w:rsid w:val="71334D25"/>
    <w:rsid w:val="72814495"/>
    <w:rsid w:val="72AD3FBA"/>
    <w:rsid w:val="72B73CFC"/>
    <w:rsid w:val="737547B1"/>
    <w:rsid w:val="739D5371"/>
    <w:rsid w:val="73A33523"/>
    <w:rsid w:val="7417602D"/>
    <w:rsid w:val="757753B7"/>
    <w:rsid w:val="75FF3C13"/>
    <w:rsid w:val="76862181"/>
    <w:rsid w:val="76AB19E8"/>
    <w:rsid w:val="76D91E95"/>
    <w:rsid w:val="76EB5318"/>
    <w:rsid w:val="77457CAD"/>
    <w:rsid w:val="778B190B"/>
    <w:rsid w:val="77C57F28"/>
    <w:rsid w:val="783F1C54"/>
    <w:rsid w:val="789718A7"/>
    <w:rsid w:val="78A76EAD"/>
    <w:rsid w:val="7A2E13A1"/>
    <w:rsid w:val="7AA60FD4"/>
    <w:rsid w:val="7AC12DF7"/>
    <w:rsid w:val="7ADA625F"/>
    <w:rsid w:val="7AE86B58"/>
    <w:rsid w:val="7B7E0F63"/>
    <w:rsid w:val="7CA3021F"/>
    <w:rsid w:val="7CCE20D6"/>
    <w:rsid w:val="7D2257CD"/>
    <w:rsid w:val="7D267C7D"/>
    <w:rsid w:val="7E4F218B"/>
    <w:rsid w:val="7E7801ED"/>
    <w:rsid w:val="7E8004BE"/>
    <w:rsid w:val="7F0D259B"/>
    <w:rsid w:val="7FCB2CDB"/>
    <w:rsid w:val="7FEB01D3"/>
    <w:rsid w:val="BBA5F45B"/>
    <w:rsid w:val="D5FEB219"/>
    <w:rsid w:val="DFB549BD"/>
    <w:rsid w:val="EB6FB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1"/>
    <w:qFormat/>
    <w:uiPriority w:val="0"/>
    <w:pPr>
      <w:widowControl/>
      <w:ind w:firstLine="420"/>
    </w:pPr>
    <w:rPr>
      <w:sz w:val="28"/>
      <w:szCs w:val="28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6"/>
    <w:next w:val="1"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3">
    <w:name w:val="Body Text First Indent 2"/>
    <w:basedOn w:val="1"/>
    <w:next w:val="12"/>
    <w:qFormat/>
    <w:uiPriority w:val="0"/>
    <w:pPr>
      <w:ind w:firstLine="420" w:firstLineChars="200"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样式 样式 左 首行缩进:  2 字符 + 首行缩进:  2 字符"/>
    <w:basedOn w:val="1"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8">
    <w:name w:val="纯文本1"/>
    <w:basedOn w:val="1"/>
    <w:qFormat/>
    <w:uiPriority w:val="0"/>
    <w:rPr>
      <w:rFonts w:ascii="宋体" w:hAnsi="Courier New"/>
    </w:rPr>
  </w:style>
  <w:style w:type="paragraph" w:customStyle="1" w:styleId="19">
    <w:name w:val="样式 HC 正文 + 字距调整小四"/>
    <w:basedOn w:val="20"/>
    <w:next w:val="1"/>
    <w:qFormat/>
    <w:uiPriority w:val="0"/>
    <w:pPr>
      <w:snapToGrid w:val="0"/>
      <w:ind w:firstLine="640"/>
    </w:pPr>
    <w:rPr>
      <w:bCs w:val="0"/>
      <w:kern w:val="24"/>
      <w:lang w:val="zh-CN"/>
    </w:rPr>
  </w:style>
  <w:style w:type="paragraph" w:customStyle="1" w:styleId="20">
    <w:name w:val="HC 正文"/>
    <w:basedOn w:val="1"/>
    <w:qFormat/>
    <w:uiPriority w:val="0"/>
    <w:pPr>
      <w:autoSpaceDE w:val="0"/>
      <w:spacing w:line="360" w:lineRule="auto"/>
      <w:ind w:firstLine="480" w:firstLineChars="200"/>
    </w:pPr>
    <w:rPr>
      <w:bCs/>
      <w:color w:val="0000FF"/>
      <w:sz w:val="24"/>
    </w:rPr>
  </w:style>
  <w:style w:type="paragraph" w:customStyle="1" w:styleId="21">
    <w:name w:val="正文1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22">
    <w:name w:val="Default"/>
    <w:basedOn w:val="18"/>
    <w:next w:val="1"/>
    <w:unhideWhenUsed/>
    <w:qFormat/>
    <w:uiPriority w:val="0"/>
    <w:pPr>
      <w:autoSpaceDE w:val="0"/>
      <w:autoSpaceDN w:val="0"/>
    </w:pPr>
    <w:rPr>
      <w:rFonts w:hAnsi="宋体"/>
      <w:color w:val="000000"/>
    </w:rPr>
  </w:style>
  <w:style w:type="paragraph" w:customStyle="1" w:styleId="23">
    <w:name w:val="Normal Indent1"/>
    <w:basedOn w:val="1"/>
    <w:qFormat/>
    <w:uiPriority w:val="0"/>
    <w:pPr>
      <w:ind w:firstLine="420"/>
    </w:pPr>
  </w:style>
  <w:style w:type="paragraph" w:customStyle="1" w:styleId="2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5">
    <w:name w:val="样式 正文 + 首行缩进:  2 字符 + 宋体"/>
    <w:basedOn w:val="1"/>
    <w:qFormat/>
    <w:uiPriority w:val="0"/>
    <w:pPr>
      <w:tabs>
        <w:tab w:val="left" w:pos="2940"/>
      </w:tabs>
      <w:adjustRightInd w:val="0"/>
      <w:snapToGrid w:val="0"/>
      <w:spacing w:line="360" w:lineRule="auto"/>
      <w:ind w:firstLine="480" w:firstLineChars="200"/>
    </w:pPr>
    <w:rPr>
      <w:snapToGrid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10</Pages>
  <Words>4854</Words>
  <Characters>5103</Characters>
  <Lines>17</Lines>
  <Paragraphs>4</Paragraphs>
  <TotalTime>99</TotalTime>
  <ScaleCrop>false</ScaleCrop>
  <LinksUpToDate>false</LinksUpToDate>
  <CharactersWithSpaces>5122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王振华</cp:lastModifiedBy>
  <cp:lastPrinted>2025-02-13T07:22:00Z</cp:lastPrinted>
  <dcterms:modified xsi:type="dcterms:W3CDTF">2025-02-14T02:59:05Z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16E05B5E964A4B93BD1CD1AE6CF3BE55_13</vt:lpwstr>
  </property>
  <property fmtid="{D5CDD505-2E9C-101B-9397-08002B2CF9AE}" pid="4" name="KSOTemplateDocerSaveRecord">
    <vt:lpwstr>eyJoZGlkIjoiZTJlNDZmOTUzOWY2NzRhZTc0ZTU0ZTliMzhmZDFjNzUiLCJ1c2VySWQiOiI1OTQ3MzIyMTIifQ==</vt:lpwstr>
  </property>
</Properties>
</file>