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42"/>
        <w:gridCol w:w="1041"/>
        <w:gridCol w:w="1121"/>
        <w:gridCol w:w="2144"/>
        <w:gridCol w:w="1215"/>
        <w:gridCol w:w="1751"/>
        <w:gridCol w:w="1343"/>
        <w:gridCol w:w="2035"/>
        <w:gridCol w:w="399"/>
        <w:gridCol w:w="460"/>
        <w:gridCol w:w="508"/>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8" w:hRule="atLeast"/>
        </w:trPr>
        <w:tc>
          <w:tcPr>
            <w:tcW w:w="13676" w:type="dxa"/>
            <w:gridSpan w:val="12"/>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方正黑体_GBK" w:hAnsi="方正黑体_GBK" w:eastAsia="方正黑体_GBK" w:cs="方正黑体_GBK"/>
                <w:i w:val="0"/>
                <w:caps w:val="0"/>
                <w:color w:val="333333"/>
                <w:spacing w:val="0"/>
                <w:kern w:val="0"/>
                <w:sz w:val="30"/>
                <w:szCs w:val="30"/>
                <w:lang w:val="en-US" w:eastAsia="zh-CN" w:bidi="ar"/>
              </w:rPr>
              <w:t>玉溪市工业和信息化局政府信息公开基本目录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序号</w:t>
            </w:r>
          </w:p>
        </w:tc>
        <w:tc>
          <w:tcPr>
            <w:tcW w:w="2162" w:type="dxa"/>
            <w:gridSpan w:val="2"/>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公开事项</w:t>
            </w:r>
          </w:p>
        </w:tc>
        <w:tc>
          <w:tcPr>
            <w:tcW w:w="2144"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公开内容（要素）</w:t>
            </w:r>
          </w:p>
        </w:tc>
        <w:tc>
          <w:tcPr>
            <w:tcW w:w="1215" w:type="dxa"/>
            <w:vMerge w:val="restart"/>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公开依据</w:t>
            </w:r>
          </w:p>
        </w:tc>
        <w:tc>
          <w:tcPr>
            <w:tcW w:w="175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公开主体</w:t>
            </w:r>
          </w:p>
        </w:tc>
        <w:tc>
          <w:tcPr>
            <w:tcW w:w="1343"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公开时限</w:t>
            </w:r>
          </w:p>
        </w:tc>
        <w:tc>
          <w:tcPr>
            <w:tcW w:w="203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公开渠道和载体</w:t>
            </w:r>
          </w:p>
        </w:tc>
        <w:tc>
          <w:tcPr>
            <w:tcW w:w="859" w:type="dxa"/>
            <w:gridSpan w:val="2"/>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公开对象</w:t>
            </w:r>
          </w:p>
        </w:tc>
        <w:tc>
          <w:tcPr>
            <w:tcW w:w="1125" w:type="dxa"/>
            <w:gridSpan w:val="2"/>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1042"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04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一级事项</w:t>
            </w: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二级事项</w:t>
            </w:r>
          </w:p>
        </w:tc>
        <w:tc>
          <w:tcPr>
            <w:tcW w:w="2144"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2035"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全社会</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特定群体</w:t>
            </w: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主动公开</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1</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机构职能</w:t>
            </w: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基本信息</w:t>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（1）机构名称；（2）联系方式（包括：办公地址、办公时间、联系方式、负责人姓名）</w:t>
            </w:r>
          </w:p>
        </w:tc>
        <w:tc>
          <w:tcPr>
            <w:tcW w:w="121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《中华人民共和国政府信息公开条例》（国务院令第711号）、“三定”方案</w:t>
            </w: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法定职责</w:t>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依据“三定”方案及职责调整情况确定的本部门最新法定职能</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"http://gxt.yn.gov.cn/jgszjzn/ldjs"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领导信息</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局领导姓名、职务、照片、工作简历</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 </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局领导主管或分管工作</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"http://gxt.yn.gov.cn/jgszjzn/nsjg"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内设机构</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内设机构名称、职责</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"http://gxt.yn.gov.cn/jgszjzn/tgqsydw"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局属单位概况</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局属单位名称、主要职责</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          </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2</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特定事项</w:t>
            </w:r>
          </w:p>
        </w:tc>
        <w:tc>
          <w:tcPr>
            <w:tcW w:w="112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"http://gxt.yn.gov.cn/zwgk/zfxxgkzn2ynsgxw/content_29936"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政府信息公开制度、文件</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政府信息公开工作相关制度、文件</w:t>
            </w:r>
          </w:p>
        </w:tc>
        <w:tc>
          <w:tcPr>
            <w:tcW w:w="121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"http://www.yn.gov.cn/ztgg/zdly/ynswj/zh/"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政府信息公开目录</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决策、执行、管理、服务、结果公开的主体、内容、时限、方式等</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1"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"http://gxt.yn.gov.cn/zwgk/zfxxgkzn2ynsgxw/content_29936"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政府信息公开指南</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政府信息公开工作机构的名称、办公地址、办公时间、联系方式和政府信息主动公开的范围、渠道、时限，依申请公开的申请方式、答复时限，不予公开事项及监督保障渠道等内容。</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2</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特定事项</w:t>
            </w:r>
          </w:p>
        </w:tc>
        <w:tc>
          <w:tcPr>
            <w:tcW w:w="112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"http://gxt.yn.gov.cn/zwgk/xxgkndbg2ynsgxw"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政府信息公开年报</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1、本机关主动公开政府信息的情况；</w:t>
            </w:r>
          </w:p>
        </w:tc>
        <w:tc>
          <w:tcPr>
            <w:tcW w:w="121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次年1月31日前</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2、本机关收到和处理政府信息公开申请的情况；</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3、因政府信息公开工作被申请行政复议、提起行政诉讼的情况；</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4、政府信息公开工作存在的主要问题及改进情况；</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5、其他需要报告的事项。</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3</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人事管理</w:t>
            </w:r>
          </w:p>
        </w:tc>
        <w:tc>
          <w:tcPr>
            <w:tcW w:w="112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职称评审</w:t>
            </w:r>
          </w:p>
        </w:tc>
        <w:tc>
          <w:tcPr>
            <w:tcW w:w="2144"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评审通知，评前公示、结果公示等</w:t>
            </w:r>
          </w:p>
        </w:tc>
        <w:tc>
          <w:tcPr>
            <w:tcW w:w="121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4</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w:t>
            </w:r>
          </w:p>
        </w:tc>
        <w:tc>
          <w:tcPr>
            <w:tcW w:w="112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"http://gxt.yn.gov.cn/zwgk/fdzdgknr/flfgjgfx2ynsgxw/flfg2ynsgxw"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法律、法规</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1.国家有关法律、法规</w:t>
            </w:r>
          </w:p>
        </w:tc>
        <w:tc>
          <w:tcPr>
            <w:tcW w:w="121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w:t>
            </w:r>
          </w:p>
        </w:tc>
        <w:tc>
          <w:tcPr>
            <w:tcW w:w="1343"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2.地方性法规和地方政府规章</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3.本部门起草的地方性法规和地方政府规章</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"http://gxt.yn.gov.cn/zwgk/fdzdgknr/flfgjgfx2ynsgxw/zfwj2ynsgxw"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本部门政策文件（包含行政规范性文件）</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涉及工业和信息化发展有关政策文件或由本部门制发的可公开的政策文件</w:t>
            </w:r>
          </w:p>
        </w:tc>
        <w:tc>
          <w:tcPr>
            <w:tcW w:w="121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政策法规科、牵头起草工作的各科室（单位）</w:t>
            </w:r>
          </w:p>
        </w:tc>
        <w:tc>
          <w:tcPr>
            <w:tcW w:w="1343"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1"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"http://gxt.yn.gov.cn/zwgk/fdzdgknr/jlm2ynsgxw/zcfg2ynsgxw/zcjd2ynsgxw"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政策文件解读（包含行政规范性文件）</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涉及工业和信息化发展有关政策文件或由本部门制发、起草的政策文件的解读</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牵头起草工作的各科室（单位）</w:t>
            </w:r>
          </w:p>
        </w:tc>
        <w:tc>
          <w:tcPr>
            <w:tcW w:w="1343"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政策文件公开发布后3个工作日内</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5</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执行公开</w:t>
            </w: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督查和审计发现问题及整改落实情况</w:t>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督查和审计发现的问题及整改落实情况</w:t>
            </w:r>
          </w:p>
        </w:tc>
        <w:tc>
          <w:tcPr>
            <w:tcW w:w="1215"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《中华人民共和国政府信息公开条例》（国务院令第711号）；《云南省政府信息公开规定》；《云南省政府工作部门权责清单管理办法》</w:t>
            </w:r>
          </w:p>
          <w:p>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被督查和审计的科室（单位）或牵头负责有关督查和审计工作的科室（单位）</w:t>
            </w:r>
          </w:p>
        </w:tc>
        <w:tc>
          <w:tcPr>
            <w:tcW w:w="1343"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"http://qingdan.ynbb.gov.cn/show_list.html?departmentId=635af115c5c24388b1d21cb31981bb0e"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权责清单</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涉及本部门的行政许可、行政强制、行政征收、行政检查、其他权利的行使主体、设定依据、责任事项、追责情形、追责依据、咨询方式、监督方式等</w:t>
            </w:r>
          </w:p>
        </w:tc>
        <w:tc>
          <w:tcPr>
            <w:tcW w:w="121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政策法规科</w:t>
            </w:r>
          </w:p>
        </w:tc>
        <w:tc>
          <w:tcPr>
            <w:tcW w:w="1343"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"https://zwfw.yn.gov.cn/portal/" \l "/work-service/department-matters?orgCode=530000000000_115300000151002159"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行政许可</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事项名称、设定依据、申请条件、办理材料、办理流程、办理地点、受理时间、联系电话、办事指南、办理结果等</w:t>
            </w:r>
          </w:p>
        </w:tc>
        <w:tc>
          <w:tcPr>
            <w:tcW w:w="1215"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承担行政审批职能的相关科室</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6</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管理公开</w:t>
            </w: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"http://gxt.yn.gov.cn/zwgk/fdzdgknr/xzcfynsgxw"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行政处罚</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权力类型、权力名称、设立依据、责任主体、责任事项、追责情形、追责程序、监督电话以及本行政机关认为具有一定社会影响的行政处罚决定</w:t>
            </w:r>
          </w:p>
        </w:tc>
        <w:tc>
          <w:tcPr>
            <w:tcW w:w="1215"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政策法规科或具有行政处罚权的相关科室</w:t>
            </w:r>
          </w:p>
        </w:tc>
        <w:tc>
          <w:tcPr>
            <w:tcW w:w="1343" w:type="dxa"/>
            <w:vMerge w:val="restart"/>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其他权力</w:t>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事项名称、设定依据、办理流程、办理地点、联系电话、办理结果等</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政策法规科或承担职责职能的相关科室</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"http://gxt.yn.gov.cn/bszn1/bszn"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办事指南</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行政审批事项的办理流程、方式等</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政策法规科或承担职责职能的相关科室</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7</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服务公开</w:t>
            </w: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"http://gxt.yn.gov.cn/ztzl/bszn5"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“双随机一公开"情况</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随机抽查的有关事项</w:t>
            </w:r>
          </w:p>
        </w:tc>
        <w:tc>
          <w:tcPr>
            <w:tcW w:w="1215"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政策法规科或承担职责职能的相关科室</w:t>
            </w:r>
          </w:p>
        </w:tc>
        <w:tc>
          <w:tcPr>
            <w:tcW w:w="1343"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8</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结果公开</w:t>
            </w:r>
          </w:p>
        </w:tc>
        <w:tc>
          <w:tcPr>
            <w:tcW w:w="1121"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"http://gxt.yn.gov.cn/zwgk/fdzdgknr/qtfdxx2ynsgxw/rdjyzxtahfyj2ynsgxw"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人大代表建议、政协提案办理情况</w:t>
            </w:r>
            <w:r>
              <w:rPr>
                <w:rFonts w:hint="eastAsia" w:ascii="微软雅黑" w:hAnsi="微软雅黑" w:eastAsia="微软雅黑" w:cs="微软雅黑"/>
                <w:i w:val="0"/>
                <w:caps w:val="0"/>
                <w:color w:val="333333"/>
                <w:spacing w:val="0"/>
                <w:kern w:val="0"/>
                <w:sz w:val="18"/>
                <w:szCs w:val="18"/>
                <w:lang w:val="en-US" w:eastAsia="zh-CN" w:bidi="ar"/>
              </w:rPr>
              <w:fldChar w:fldCharType="end"/>
            </w:r>
            <w:r>
              <w:rPr>
                <w:rFonts w:hint="eastAsia" w:ascii="微软雅黑" w:hAnsi="微软雅黑" w:eastAsia="微软雅黑" w:cs="微软雅黑"/>
                <w:i w:val="0"/>
                <w:caps w:val="0"/>
                <w:color w:val="333333"/>
                <w:spacing w:val="0"/>
                <w:kern w:val="0"/>
                <w:sz w:val="18"/>
                <w:szCs w:val="18"/>
                <w:lang w:val="en-US" w:eastAsia="zh-CN" w:bidi="ar"/>
              </w:rPr>
              <w:t>落实党中央、</w:t>
            </w:r>
            <w:bookmarkStart w:id="0" w:name="_GoBack"/>
            <w:bookmarkEnd w:id="0"/>
            <w:r>
              <w:rPr>
                <w:rFonts w:hint="eastAsia" w:ascii="微软雅黑" w:hAnsi="微软雅黑" w:eastAsia="微软雅黑" w:cs="微软雅黑"/>
                <w:i w:val="0"/>
                <w:caps w:val="0"/>
                <w:color w:val="333333"/>
                <w:spacing w:val="0"/>
                <w:kern w:val="0"/>
                <w:sz w:val="18"/>
                <w:szCs w:val="18"/>
                <w:lang w:val="en-US" w:eastAsia="zh-CN" w:bidi="ar"/>
              </w:rPr>
              <w:t>国务院和省委省政府决策部署情况</w:t>
            </w:r>
          </w:p>
        </w:tc>
        <w:tc>
          <w:tcPr>
            <w:tcW w:w="2144"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办理情况及可公开的答复文书贯彻落实中央决策部署的实施方案、措施、工作成效等</w:t>
            </w:r>
          </w:p>
        </w:tc>
        <w:tc>
          <w:tcPr>
            <w:tcW w:w="1215" w:type="dxa"/>
            <w:vMerge w:val="restart"/>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w:t>
            </w:r>
          </w:p>
        </w:tc>
        <w:tc>
          <w:tcPr>
            <w:tcW w:w="1751" w:type="dxa"/>
            <w:vMerge w:val="restart"/>
            <w:shd w:val="clear" w:color="auto" w:fill="FFFFFF"/>
            <w:vAlign w:val="center"/>
          </w:tcPr>
          <w:p>
            <w:pPr>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lang w:val="en-US" w:eastAsia="zh-CN"/>
              </w:rPr>
              <w:t>■</w:t>
            </w: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vMerge w:val="continue"/>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vMerge w:val="continue"/>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kern w:val="0"/>
                <w:sz w:val="18"/>
                <w:szCs w:val="18"/>
                <w:lang w:val="en-US" w:eastAsia="zh-CN" w:bidi="ar"/>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kern w:val="0"/>
                <w:sz w:val="18"/>
                <w:szCs w:val="18"/>
                <w:lang w:val="en-US" w:eastAsia="zh-CN" w:bidi="ar"/>
              </w:rPr>
            </w:pP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"http://gxt.yn.gov.cn/zwgk/fdzdgknr/ghjh2ynsgxw"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工业和信息化规划计划</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涉工业和信息化发展规划、计划</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shd w:val="clear" w:color="auto" w:fill="FFFFFF"/>
            <w:vAlign w:val="center"/>
          </w:tcPr>
          <w:p>
            <w:pPr>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042"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9</w:t>
            </w:r>
          </w:p>
        </w:tc>
        <w:tc>
          <w:tcPr>
            <w:tcW w:w="1041"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重点领域及职责业务信息</w:t>
            </w:r>
          </w:p>
        </w:tc>
        <w:tc>
          <w:tcPr>
            <w:tcW w:w="1121" w:type="dxa"/>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"http://gxt.yn.gov.cn/zwgk/fdzdgknr/czyjsgk2ynsgxw"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财政资金</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t>预算/决算</w:t>
            </w:r>
          </w:p>
        </w:tc>
        <w:tc>
          <w:tcPr>
            <w:tcW w:w="1215" w:type="dxa"/>
            <w:shd w:val="clear" w:color="auto" w:fill="FFFFFF"/>
            <w:vAlign w:val="center"/>
          </w:tcPr>
          <w:p>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财务科、培训中心</w:t>
            </w:r>
          </w:p>
        </w:tc>
        <w:tc>
          <w:tcPr>
            <w:tcW w:w="1343" w:type="dxa"/>
            <w:shd w:val="clear" w:color="auto" w:fill="FFFFFF"/>
            <w:vAlign w:val="center"/>
          </w:tcPr>
          <w:p>
            <w:pPr>
              <w:jc w:val="left"/>
              <w:rPr>
                <w:rFonts w:hint="eastAsia" w:ascii="微软雅黑" w:hAnsi="微软雅黑" w:eastAsia="微软雅黑" w:cs="微软雅黑"/>
                <w:i w:val="0"/>
                <w:caps w:val="0"/>
                <w:color w:val="333333"/>
                <w:spacing w:val="0"/>
                <w:kern w:val="2"/>
                <w:sz w:val="24"/>
                <w:szCs w:val="24"/>
                <w:lang w:val="en-US" w:eastAsia="zh-CN" w:bidi="ar-SA"/>
              </w:rPr>
            </w:pPr>
          </w:p>
        </w:tc>
        <w:tc>
          <w:tcPr>
            <w:tcW w:w="2035" w:type="dxa"/>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p>
        </w:tc>
        <w:tc>
          <w:tcPr>
            <w:tcW w:w="508" w:type="dxa"/>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042"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121"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重大建设项目</w:t>
            </w: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"http://gxt.yn.gov.cn/gzdt/ldhd"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工业和信息化发展动态</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政府采购事项</w:t>
            </w:r>
          </w:p>
        </w:tc>
        <w:tc>
          <w:tcPr>
            <w:tcW w:w="1215"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vMerge w:val="restart"/>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本部门可对外公开的重点工作、通知公告、政策信息等</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民营经济</w:t>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民营经济有关政策</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中小企业科</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042"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淘汰落后产能</w:t>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落后产能退出企业名单</w:t>
            </w:r>
          </w:p>
        </w:tc>
        <w:tc>
          <w:tcPr>
            <w:tcW w:w="1215"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原材料工业科</w:t>
            </w:r>
          </w:p>
        </w:tc>
        <w:tc>
          <w:tcPr>
            <w:tcW w:w="1343" w:type="dxa"/>
            <w:vMerge w:val="continue"/>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42"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10</w:t>
            </w:r>
          </w:p>
        </w:tc>
        <w:tc>
          <w:tcPr>
            <w:tcW w:w="104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政民互动</w:t>
            </w:r>
          </w:p>
        </w:tc>
        <w:tc>
          <w:tcPr>
            <w:tcW w:w="112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咨询问答</w:t>
            </w:r>
          </w:p>
        </w:tc>
        <w:tc>
          <w:tcPr>
            <w:tcW w:w="2144"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公开答复的网友咨询问答内容</w:t>
            </w:r>
          </w:p>
        </w:tc>
        <w:tc>
          <w:tcPr>
            <w:tcW w:w="1215"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shd w:val="clear" w:color="auto" w:fill="FFFFFF"/>
            <w:vAlign w:val="center"/>
          </w:tcPr>
          <w:p>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029FC"/>
    <w:rsid w:val="05A029FC"/>
    <w:rsid w:val="11E07E22"/>
    <w:rsid w:val="22FC0525"/>
    <w:rsid w:val="2C1579D9"/>
    <w:rsid w:val="2FDF026A"/>
    <w:rsid w:val="331A7E1E"/>
    <w:rsid w:val="36BA6141"/>
    <w:rsid w:val="3D432760"/>
    <w:rsid w:val="4ADA26C3"/>
    <w:rsid w:val="4CE52361"/>
    <w:rsid w:val="4FC56BA2"/>
    <w:rsid w:val="50483CCF"/>
    <w:rsid w:val="577C5465"/>
    <w:rsid w:val="61831370"/>
    <w:rsid w:val="620F7E42"/>
    <w:rsid w:val="64620B28"/>
    <w:rsid w:val="728440FB"/>
    <w:rsid w:val="78242A20"/>
    <w:rsid w:val="78FD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2022-11-22T18:50:00Z</dcterms:created>
  <dc:creator>王潇敏</dc:creator>
  <cp:lastModifiedBy>Lenovo</cp:lastModifiedBy>
  <dcterms:modified xsi:type="dcterms:W3CDTF">2024-02-27T07:10:15Z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